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69B61" w14:textId="77777777" w:rsidR="001E531A" w:rsidRDefault="001E531A" w:rsidP="000C55C1">
      <w:pPr>
        <w:rPr>
          <w:sz w:val="40"/>
          <w:szCs w:val="40"/>
        </w:rPr>
      </w:pPr>
      <w:bookmarkStart w:id="0" w:name="_Toc526847744"/>
      <w:bookmarkStart w:id="1" w:name="_Toc527048093"/>
      <w:bookmarkStart w:id="2" w:name="_Hlk531357749"/>
    </w:p>
    <w:p w14:paraId="1B64CAB8" w14:textId="77777777" w:rsidR="001E531A" w:rsidRDefault="001E531A" w:rsidP="000C55C1">
      <w:pPr>
        <w:rPr>
          <w:sz w:val="40"/>
          <w:szCs w:val="40"/>
        </w:rPr>
      </w:pPr>
    </w:p>
    <w:p w14:paraId="4F1F5C7F" w14:textId="24B3A8F0" w:rsidR="004D5C6B" w:rsidRDefault="00050292" w:rsidP="000C55C1">
      <w:pPr>
        <w:rPr>
          <w:rFonts w:cs="Arial"/>
          <w:b/>
          <w:color w:val="BE1D2D"/>
          <w:sz w:val="40"/>
          <w:szCs w:val="40"/>
        </w:rPr>
      </w:pPr>
      <w:r>
        <w:rPr>
          <w:sz w:val="40"/>
          <w:szCs w:val="40"/>
        </w:rPr>
        <w:t>Prvi Nacrt Integriranog energetskog i klimatskog plana za razdoblje od 2021. do 2030. godine</w:t>
      </w:r>
    </w:p>
    <w:p w14:paraId="23547754" w14:textId="5F708F9D" w:rsidR="000C55C1" w:rsidRDefault="000C55C1" w:rsidP="000C55C1">
      <w:pPr>
        <w:rPr>
          <w:rFonts w:cs="Arial"/>
          <w:b/>
          <w:color w:val="BE1D2D"/>
          <w:sz w:val="40"/>
          <w:szCs w:val="40"/>
        </w:rPr>
      </w:pPr>
      <w:r w:rsidRPr="004D5C6B">
        <w:rPr>
          <w:rFonts w:cs="Arial"/>
          <w:b/>
          <w:color w:val="BE1D2D"/>
          <w:sz w:val="40"/>
          <w:szCs w:val="40"/>
        </w:rPr>
        <w:t>ODJELJAK A: NACIONALNI PLAN</w:t>
      </w:r>
    </w:p>
    <w:p w14:paraId="22CC0CE9" w14:textId="1C473E65" w:rsidR="000C55C1" w:rsidRDefault="000C55C1" w:rsidP="000C55C1">
      <w:pPr>
        <w:pStyle w:val="Heading1"/>
      </w:pPr>
      <w:bookmarkStart w:id="3" w:name="_Toc531934942"/>
      <w:bookmarkStart w:id="4" w:name="_Toc531945068"/>
      <w:bookmarkEnd w:id="0"/>
      <w:bookmarkEnd w:id="1"/>
      <w:r>
        <w:t>PREGLED I PROCES DONOŠENJA PLANA</w:t>
      </w:r>
      <w:bookmarkEnd w:id="3"/>
      <w:bookmarkEnd w:id="4"/>
    </w:p>
    <w:p w14:paraId="5D6BE19A" w14:textId="77777777" w:rsidR="000C55C1" w:rsidRDefault="000C55C1" w:rsidP="000C55C1">
      <w:pPr>
        <w:pStyle w:val="Heading2"/>
      </w:pPr>
      <w:bookmarkStart w:id="5" w:name="_Toc531934943"/>
      <w:bookmarkStart w:id="6" w:name="_Toc531945069"/>
      <w:r>
        <w:t>Sažetak</w:t>
      </w:r>
      <w:bookmarkEnd w:id="5"/>
      <w:bookmarkEnd w:id="6"/>
    </w:p>
    <w:p w14:paraId="5A6BE4AC" w14:textId="77777777" w:rsidR="000C55C1" w:rsidRDefault="000C55C1" w:rsidP="00302043">
      <w:pPr>
        <w:pStyle w:val="Heading3"/>
      </w:pPr>
      <w:bookmarkStart w:id="7" w:name="_Toc531934944"/>
      <w:bookmarkStart w:id="8" w:name="_Toc531945070"/>
      <w:r>
        <w:t>Politički, gospodarski, okolišni i socijalni kontekst plana</w:t>
      </w:r>
      <w:bookmarkEnd w:id="7"/>
      <w:bookmarkEnd w:id="8"/>
    </w:p>
    <w:p w14:paraId="783092AB" w14:textId="79329AA4" w:rsidR="000C55C1" w:rsidRDefault="000C55C1" w:rsidP="000C55C1">
      <w:r>
        <w:t>Republika Hrvatska članica je Europske unije</w:t>
      </w:r>
      <w:r w:rsidR="005965DD">
        <w:t xml:space="preserve"> (EU)</w:t>
      </w:r>
      <w:r>
        <w:t xml:space="preserve"> od 2013. godine te je njezino energetsko i klimatsko zakonodavstvo usklađeno s relevantnom pravnom stečevinom </w:t>
      </w:r>
      <w:r w:rsidR="005965DD">
        <w:t>EU</w:t>
      </w:r>
      <w:r>
        <w:t xml:space="preserve">. Također, </w:t>
      </w:r>
      <w:r w:rsidRPr="00497723">
        <w:t xml:space="preserve">Republika Hrvatska je stranka Okvirne konvencije UN-a o promjeni klime (UNFCCC) </w:t>
      </w:r>
      <w:r>
        <w:t xml:space="preserve">od </w:t>
      </w:r>
      <w:r w:rsidRPr="00497723">
        <w:t>1996. godine</w:t>
      </w:r>
      <w:r>
        <w:t xml:space="preserve"> i redovito podnosi izvješća o inventaru stakleničkih plinova kao i nacionalna izvješća tajništvu Konvencije. </w:t>
      </w:r>
    </w:p>
    <w:p w14:paraId="7A779172" w14:textId="48D4E370" w:rsidR="000C55C1" w:rsidRDefault="000C55C1" w:rsidP="000C55C1">
      <w:r w:rsidRPr="0050137B">
        <w:t>Hrvatska trenutno ima znatno niže stope ekonomske aktivnosti stanovništva od većine zemalja EU-a</w:t>
      </w:r>
      <w:r w:rsidR="005965DD">
        <w:t xml:space="preserve"> [</w:t>
      </w:r>
      <w:r w:rsidR="005965DD">
        <w:fldChar w:fldCharType="begin"/>
      </w:r>
      <w:r w:rsidR="005965DD">
        <w:instrText xml:space="preserve"> REF _Ref531599476 \r \h </w:instrText>
      </w:r>
      <w:r w:rsidR="005965DD">
        <w:fldChar w:fldCharType="separate"/>
      </w:r>
      <w:r w:rsidR="00E5423A">
        <w:t>1</w:t>
      </w:r>
      <w:r w:rsidR="005965DD">
        <w:fldChar w:fldCharType="end"/>
      </w:r>
      <w:r w:rsidR="005965DD">
        <w:t>]</w:t>
      </w:r>
      <w:r>
        <w:t>. U ukupnoj energetskoj bilanci Hrvatske značajna je ovisnost o uvozu nafte i električne energije. Industrijska se proizvodnja kontinuirano smanjuje, a najveći prihod postiže prerađivačka industrija.</w:t>
      </w:r>
    </w:p>
    <w:p w14:paraId="5813AED6" w14:textId="12916303" w:rsidR="000C55C1" w:rsidRDefault="000C55C1" w:rsidP="000C55C1">
      <w:r>
        <w:t xml:space="preserve">Izvješća o stanju okoliša objavljuje Hrvatska agencija za okoliš i prirodu. Posljednje izvješće odnosi se na razdoblje 2009. – 2012., objavljeno je 2014. godine i sadrži zaključke o stanju i trendovima u domeni zaštite okoliša, gospodarstva i društvenih kretanja, kao i preporuke za unapređenje provedbe politike zaštite okoliša i održivog </w:t>
      </w:r>
      <w:r w:rsidRPr="00B4224E">
        <w:t>razvitka</w:t>
      </w:r>
      <w:r w:rsidR="006639F2" w:rsidRPr="00B4224E">
        <w:t xml:space="preserve"> [</w:t>
      </w:r>
      <w:r w:rsidR="000C30F2" w:rsidRPr="00520FA2">
        <w:fldChar w:fldCharType="begin"/>
      </w:r>
      <w:r w:rsidR="000C30F2" w:rsidRPr="00520FA2">
        <w:instrText xml:space="preserve"> REF _Ref531599550 \r \h </w:instrText>
      </w:r>
      <w:r w:rsidR="000C30F2">
        <w:instrText xml:space="preserve"> \* MERGEFORMAT </w:instrText>
      </w:r>
      <w:r w:rsidR="000C30F2" w:rsidRPr="00520FA2">
        <w:fldChar w:fldCharType="separate"/>
      </w:r>
      <w:r w:rsidR="00E5423A">
        <w:t>2</w:t>
      </w:r>
      <w:r w:rsidR="000C30F2" w:rsidRPr="00520FA2">
        <w:fldChar w:fldCharType="end"/>
      </w:r>
      <w:r w:rsidR="006639F2" w:rsidRPr="00B4224E">
        <w:t>]</w:t>
      </w:r>
      <w:r w:rsidRPr="00B4224E">
        <w:t>. Emisije</w:t>
      </w:r>
      <w:r>
        <w:t xml:space="preserve"> glavnih onečišćujućih tvari u zrak (SO</w:t>
      </w:r>
      <w:r w:rsidRPr="007D03FB">
        <w:rPr>
          <w:vertAlign w:val="subscript"/>
        </w:rPr>
        <w:t>2</w:t>
      </w:r>
      <w:r>
        <w:t>, NH</w:t>
      </w:r>
      <w:r w:rsidRPr="007D03FB">
        <w:rPr>
          <w:vertAlign w:val="subscript"/>
        </w:rPr>
        <w:t>3</w:t>
      </w:r>
      <w:r>
        <w:t>, NO</w:t>
      </w:r>
      <w:r w:rsidRPr="007D03FB">
        <w:rPr>
          <w:vertAlign w:val="subscript"/>
        </w:rPr>
        <w:t>X</w:t>
      </w:r>
      <w:r>
        <w:t xml:space="preserve">, NMHOS) u odnosu na baznu 1990. godinu pokazuju opći trend smanjenja. </w:t>
      </w:r>
      <w:r w:rsidRPr="00015736">
        <w:t>Emisije stakleničkih plinova se smanjuju.</w:t>
      </w:r>
      <w:r>
        <w:t xml:space="preserve"> </w:t>
      </w:r>
      <w:r w:rsidRPr="004B3398">
        <w:t>Prema brojnosti i količinama ispuštanja i prijenosa onečišćujućih tvari u vode i/ili more, najopterećenije je vodno područje sliva Save</w:t>
      </w:r>
      <w:r>
        <w:t>.</w:t>
      </w:r>
      <w:r w:rsidRPr="00706761">
        <w:t xml:space="preserve"> </w:t>
      </w:r>
      <w:r>
        <w:t>Minski sumnjive površine su i dalje prisutne.</w:t>
      </w:r>
    </w:p>
    <w:p w14:paraId="254EADAB" w14:textId="2A271136" w:rsidR="000C55C1" w:rsidRPr="007C7CC6" w:rsidRDefault="000C55C1" w:rsidP="000C55C1">
      <w:r>
        <w:t>U pogledu socijalnog konteksta plana, razvitak regija Hrvatske i naseljavanje prostora su neravnomjerni, sa sve jačim pritiscima na veće gradove</w:t>
      </w:r>
      <w:r w:rsidR="006639F2">
        <w:t xml:space="preserve"> </w:t>
      </w:r>
      <w:r w:rsidR="000C30F2" w:rsidRPr="00765552">
        <w:t>[</w:t>
      </w:r>
      <w:r w:rsidR="000C30F2" w:rsidRPr="00765552">
        <w:fldChar w:fldCharType="begin"/>
      </w:r>
      <w:r w:rsidR="000C30F2" w:rsidRPr="00765552">
        <w:instrText xml:space="preserve"> REF _Ref531599550 \r \h </w:instrText>
      </w:r>
      <w:r w:rsidR="000C30F2">
        <w:instrText xml:space="preserve"> \* MERGEFORMAT </w:instrText>
      </w:r>
      <w:r w:rsidR="000C30F2" w:rsidRPr="00765552">
        <w:fldChar w:fldCharType="separate"/>
      </w:r>
      <w:r w:rsidR="00E5423A">
        <w:t>2</w:t>
      </w:r>
      <w:r w:rsidR="000C30F2" w:rsidRPr="00765552">
        <w:fldChar w:fldCharType="end"/>
      </w:r>
      <w:r w:rsidR="000C30F2" w:rsidRPr="00765552">
        <w:t>].</w:t>
      </w:r>
      <w:r>
        <w:t xml:space="preserve"> Nastavlja se trend napuštanja ruralnih područja. Z</w:t>
      </w:r>
      <w:r w:rsidRPr="00C847E4">
        <w:t xml:space="preserve">bog emigracije dijela stanovništva u radnoj dobi i oporavka gospodarstva, dinamika smanjenja stope nezaposlenosti znatno </w:t>
      </w:r>
      <w:r>
        <w:t xml:space="preserve">je </w:t>
      </w:r>
      <w:r w:rsidRPr="00C847E4">
        <w:t>brža od dinamike predviđene u europskim projekcijama</w:t>
      </w:r>
      <w:r>
        <w:t xml:space="preserve">. Broj stanovnika RH kontinuirano opada, pri čemu se povećava udio stanovništva u dobnoj skupini iznad 65 godina, </w:t>
      </w:r>
      <w:r w:rsidRPr="003F206A">
        <w:t>na račun smanjenja dobn</w:t>
      </w:r>
      <w:r w:rsidR="0083392B">
        <w:t>ih</w:t>
      </w:r>
      <w:r w:rsidRPr="003F206A">
        <w:t xml:space="preserve"> skupina s visokim stopama aktivnosti</w:t>
      </w:r>
      <w:r>
        <w:t xml:space="preserve">. </w:t>
      </w:r>
      <w:r w:rsidR="351A17E0">
        <w:t xml:space="preserve">2]. Nastavlja se trend napuštanja ruralnih područja. Zbog emigracije dijela stanovništva u radnoj dobi i oporavka gospodarstva, dinamika smanjenja stope nezaposlenosti znatno je brža od dinamike predviđene u europskim projekcijama. Broj stanovnika RH kontinuirano opada, pri čemu se povećava udio stanovništva u dobnoj skupini iznad 65 godina, na račun smanjenja dobnih skupina s visokim stopama aktivnosti. </w:t>
      </w:r>
    </w:p>
    <w:p w14:paraId="56692D0C" w14:textId="77777777" w:rsidR="000C55C1" w:rsidRDefault="000C55C1" w:rsidP="00302043">
      <w:pPr>
        <w:pStyle w:val="Heading3"/>
      </w:pPr>
      <w:bookmarkStart w:id="9" w:name="_Toc531934945"/>
      <w:bookmarkStart w:id="10" w:name="_Toc531945071"/>
      <w:r>
        <w:t>Strategija koja se odnosi na pet dimenzija energetske unije</w:t>
      </w:r>
      <w:bookmarkEnd w:id="9"/>
      <w:bookmarkEnd w:id="10"/>
    </w:p>
    <w:p w14:paraId="1BF1FA7B" w14:textId="2A29DDAA" w:rsidR="000C55C1" w:rsidRDefault="000C55C1" w:rsidP="000C55C1">
      <w:r>
        <w:t xml:space="preserve">Pet dimenzija Energetske unije su dekarbonizacija, energetska učinkovitost, energetska sigurnost, unutarnje energetsko tržište te istraživanje, inovacije i konkurentnost. Dimenzija dekarbonizacije, koja uključuje emisije i uklanjanje stakleničkih </w:t>
      </w:r>
      <w:r w:rsidR="00093614">
        <w:t>plinova</w:t>
      </w:r>
      <w:r w:rsidR="00D13604">
        <w:t>,</w:t>
      </w:r>
      <w:r>
        <w:t xml:space="preserve"> razrađena je u Nacrtu </w:t>
      </w:r>
      <w:r w:rsidR="00FB0B28">
        <w:t xml:space="preserve">Strategije niskougljičnog razvoja </w:t>
      </w:r>
      <w:r>
        <w:t>Republike Hrvatske za razdoblje do 2030. godine, s pogledom na 2050. godinu</w:t>
      </w:r>
      <w:r w:rsidR="006639F2">
        <w:t xml:space="preserve"> [</w:t>
      </w:r>
      <w:r w:rsidR="000C30F2">
        <w:rPr>
          <w:highlight w:val="yellow"/>
        </w:rPr>
        <w:fldChar w:fldCharType="begin"/>
      </w:r>
      <w:r w:rsidR="000C30F2">
        <w:instrText xml:space="preserve"> REF _Ref531599957 \r \h </w:instrText>
      </w:r>
      <w:r w:rsidR="000C30F2">
        <w:rPr>
          <w:highlight w:val="yellow"/>
        </w:rPr>
      </w:r>
      <w:r w:rsidR="000C30F2">
        <w:rPr>
          <w:highlight w:val="yellow"/>
        </w:rPr>
        <w:fldChar w:fldCharType="separate"/>
      </w:r>
      <w:r w:rsidR="00E5423A">
        <w:t>3</w:t>
      </w:r>
      <w:r w:rsidR="000C30F2">
        <w:rPr>
          <w:highlight w:val="yellow"/>
        </w:rPr>
        <w:fldChar w:fldCharType="end"/>
      </w:r>
      <w:r w:rsidR="006639F2">
        <w:t>]</w:t>
      </w:r>
      <w:r w:rsidR="000C30F2">
        <w:t xml:space="preserve"> (dalje u tekstu: Niskougljična strategija)</w:t>
      </w:r>
      <w:r>
        <w:t>.</w:t>
      </w:r>
      <w:r w:rsidR="000C30F2">
        <w:t xml:space="preserve"> Izrada Niskougljične strategije i Akcijskog plana za provedbu Niskougljične strategije za razdoblje od pet godina obveza je koja slijedi iz </w:t>
      </w:r>
      <w:r w:rsidR="000C30F2" w:rsidRPr="000C30F2">
        <w:t>Zakon</w:t>
      </w:r>
      <w:r w:rsidR="000C30F2">
        <w:t>a</w:t>
      </w:r>
      <w:r w:rsidR="000C30F2" w:rsidRPr="000C30F2">
        <w:t xml:space="preserve"> o zaštiti zraka (</w:t>
      </w:r>
      <w:r w:rsidR="004B2CEF" w:rsidRPr="004B2CEF">
        <w:t>NN 130/11, 47/14, 61/17</w:t>
      </w:r>
      <w:r w:rsidR="000C30F2" w:rsidRPr="000C30F2">
        <w:t xml:space="preserve">). </w:t>
      </w:r>
      <w:r w:rsidR="000C30F2">
        <w:t xml:space="preserve">Nacrt Niskougljične strategije izrađen je </w:t>
      </w:r>
      <w:r>
        <w:t>tijekom 2017. godine, kad je prošao i javnu raspravu, a odnosi se na sektore energetike, industrije, prometa, opće potrošnje, poljoprivrede, otpada i korištenja zemljišta.</w:t>
      </w:r>
    </w:p>
    <w:p w14:paraId="2D230159" w14:textId="0B6CCDA8" w:rsidR="000C55C1" w:rsidRDefault="000C55C1" w:rsidP="000C55C1">
      <w:r>
        <w:t>Konačno usvajanje Nacrta Strategije niskougljičnog razvoja odgođeno je kako bi se</w:t>
      </w:r>
      <w:r w:rsidR="004B2CEF">
        <w:t xml:space="preserve"> us</w:t>
      </w:r>
      <w:r w:rsidR="00906B3B">
        <w:t>k</w:t>
      </w:r>
      <w:r w:rsidR="004B2CEF">
        <w:t xml:space="preserve">ladila sa </w:t>
      </w:r>
      <w:r>
        <w:t>Strategij</w:t>
      </w:r>
      <w:r w:rsidR="004B2CEF">
        <w:t>om</w:t>
      </w:r>
      <w:r>
        <w:t xml:space="preserve"> energetskog razvoja Republike Hrvatske do 2030. godine, s pogledom na 2050. godin</w:t>
      </w:r>
      <w:r w:rsidR="000C30F2">
        <w:t>u (dalje u tekstu: Energetska strategija)</w:t>
      </w:r>
      <w:r>
        <w:t xml:space="preserve">. </w:t>
      </w:r>
      <w:r w:rsidR="004B2CEF">
        <w:t>Izrada Energetske strategije obveza je koja slijedi iz Zakona o energiji (</w:t>
      </w:r>
      <w:r w:rsidR="004B2CEF" w:rsidRPr="004B2CEF">
        <w:t>NN 120/12, 14/14, 95/15, 102/15, 68/18</w:t>
      </w:r>
      <w:r w:rsidR="004B2CEF">
        <w:t xml:space="preserve">). </w:t>
      </w:r>
      <w:r>
        <w:t xml:space="preserve">Za potrebe izrade </w:t>
      </w:r>
      <w:r w:rsidR="004B2CEF">
        <w:t>Energetske s</w:t>
      </w:r>
      <w:r>
        <w:t>trategije izrađene su analitičke podloge (</w:t>
      </w:r>
      <w:r w:rsidR="006639F2">
        <w:t xml:space="preserve">tzv. </w:t>
      </w:r>
      <w:r>
        <w:t xml:space="preserve">Zelena </w:t>
      </w:r>
      <w:r w:rsidRPr="00B4224E">
        <w:t>knjiga</w:t>
      </w:r>
      <w:r w:rsidR="006639F2" w:rsidRPr="00B4224E">
        <w:t xml:space="preserve"> [</w:t>
      </w:r>
      <w:r w:rsidR="000C30F2" w:rsidRPr="00977626">
        <w:fldChar w:fldCharType="begin"/>
      </w:r>
      <w:r w:rsidR="000C30F2" w:rsidRPr="00977626">
        <w:instrText xml:space="preserve"> REF _Ref531599476 \r \h </w:instrText>
      </w:r>
      <w:r w:rsidR="000C30F2">
        <w:instrText xml:space="preserve"> \* MERGEFORMAT </w:instrText>
      </w:r>
      <w:r w:rsidR="000C30F2" w:rsidRPr="00977626">
        <w:fldChar w:fldCharType="separate"/>
      </w:r>
      <w:r w:rsidR="00E5423A">
        <w:t>1</w:t>
      </w:r>
      <w:r w:rsidR="000C30F2" w:rsidRPr="00977626">
        <w:fldChar w:fldCharType="end"/>
      </w:r>
      <w:r w:rsidR="006639F2" w:rsidRPr="00B4224E">
        <w:t>]</w:t>
      </w:r>
      <w:r w:rsidRPr="00B4224E">
        <w:t>)</w:t>
      </w:r>
      <w:r>
        <w:t xml:space="preserve"> koje su predstavljene stručnoj i zainteresiranoj javnosti na radionicama održanim u studenom 2018. godine. Zelena knjiga sadrži razrađene ciljeve za korištenje obnovljivih izvora energije, energetsku učinkovitost, unutarnje energetsko tržište i energetsku sigurnost, koji će po finalnom usvajanju biti integrirani i u konačnu verziju </w:t>
      </w:r>
      <w:r w:rsidR="00455DE5">
        <w:t>Niskougljične s</w:t>
      </w:r>
      <w:r>
        <w:t>trategije</w:t>
      </w:r>
      <w:r w:rsidR="00FB0B28">
        <w:t xml:space="preserve"> </w:t>
      </w:r>
      <w:r>
        <w:t xml:space="preserve">te su predstavljeni i u ovom dokumentu. Potrebno je napomenuti </w:t>
      </w:r>
      <w:r w:rsidR="000C30F2">
        <w:t xml:space="preserve">kako </w:t>
      </w:r>
      <w:r>
        <w:t xml:space="preserve">se u nastavku rada na </w:t>
      </w:r>
      <w:r w:rsidR="00FD2157">
        <w:t>oba dokumenta</w:t>
      </w:r>
      <w:r>
        <w:t xml:space="preserve"> mogu očekivati izmjene</w:t>
      </w:r>
      <w:r w:rsidR="0069014D">
        <w:t xml:space="preserve">, koje također mogu potaknuti </w:t>
      </w:r>
      <w:r>
        <w:t xml:space="preserve">izmjene </w:t>
      </w:r>
      <w:r w:rsidR="002D67AD">
        <w:t xml:space="preserve">unutar </w:t>
      </w:r>
      <w:r>
        <w:t>ovog dokumenta.</w:t>
      </w:r>
    </w:p>
    <w:p w14:paraId="32F783CE" w14:textId="59247CA7" w:rsidR="000C55C1" w:rsidRDefault="000C55C1" w:rsidP="000C55C1">
      <w:r>
        <w:t xml:space="preserve">Jedan od ciljeva u okviru dimenzije dekarbonizacije je i prilagodba klimatskim promjenama, koju razrađuje Nacrt Strategije prilagodbe klimatskim </w:t>
      </w:r>
      <w:r w:rsidRPr="00977626">
        <w:t>promjenama s akcijskim planom</w:t>
      </w:r>
      <w:r w:rsidR="006639F2" w:rsidRPr="00977626">
        <w:t xml:space="preserve"> [</w:t>
      </w:r>
      <w:r w:rsidR="007314FC">
        <w:fldChar w:fldCharType="begin"/>
      </w:r>
      <w:r w:rsidR="007314FC">
        <w:instrText xml:space="preserve"> REF _Ref531802168 \r \h </w:instrText>
      </w:r>
      <w:r w:rsidR="007314FC">
        <w:fldChar w:fldCharType="separate"/>
      </w:r>
      <w:r w:rsidR="00E5423A">
        <w:t>4</w:t>
      </w:r>
      <w:r w:rsidR="007314FC">
        <w:fldChar w:fldCharType="end"/>
      </w:r>
      <w:r w:rsidR="006639F2" w:rsidRPr="00977626">
        <w:t>]</w:t>
      </w:r>
      <w:r w:rsidRPr="00977626">
        <w:t>. Nacrt</w:t>
      </w:r>
      <w:r>
        <w:t xml:space="preserve"> Strategije prošao je savjetovanje s nadležnim tijelima i institucijama te sa zainteresiranom javnošću, a usvajanje dokumenta očekuje se po usvajanju Strategije niskougljičnog razvoja. </w:t>
      </w:r>
    </w:p>
    <w:p w14:paraId="74DE2C16" w14:textId="62E38F69" w:rsidR="000C55C1" w:rsidRPr="007C208A" w:rsidRDefault="000C55C1" w:rsidP="000C55C1">
      <w:r>
        <w:t>Nacionalne strategije koje su relevantne za dimenziju istraživanje, inovacije i konkurentnost su Strategija pametne specijalizacije Republike Hrvatske za razdoblje od 2016. do 2020. godine</w:t>
      </w:r>
      <w:r w:rsidR="006639F2">
        <w:t xml:space="preserve"> </w:t>
      </w:r>
      <w:r w:rsidR="006639F2" w:rsidRPr="00B4224E">
        <w:t>[</w:t>
      </w:r>
      <w:r w:rsidR="00455DE5" w:rsidRPr="00977626">
        <w:fldChar w:fldCharType="begin"/>
      </w:r>
      <w:r w:rsidR="00455DE5" w:rsidRPr="00977626">
        <w:instrText xml:space="preserve"> REF _Ref531600731 \r \h </w:instrText>
      </w:r>
      <w:r w:rsidR="0090031F">
        <w:instrText xml:space="preserve"> \* MERGEFORMAT </w:instrText>
      </w:r>
      <w:r w:rsidR="00455DE5" w:rsidRPr="00977626">
        <w:fldChar w:fldCharType="separate"/>
      </w:r>
      <w:r w:rsidR="00E5423A">
        <w:t>5</w:t>
      </w:r>
      <w:r w:rsidR="00455DE5" w:rsidRPr="00977626">
        <w:fldChar w:fldCharType="end"/>
      </w:r>
      <w:r w:rsidR="006639F2" w:rsidRPr="00B4224E">
        <w:t>]</w:t>
      </w:r>
      <w:r w:rsidRPr="00B4224E">
        <w:t xml:space="preserve"> i</w:t>
      </w:r>
      <w:r>
        <w:t xml:space="preserve"> Strategija poticanja inovacija Republike Hrvatske 2014. -2020. godine</w:t>
      </w:r>
      <w:r w:rsidR="006639F2">
        <w:t xml:space="preserve"> [</w:t>
      </w:r>
      <w:r w:rsidR="0090031F">
        <w:fldChar w:fldCharType="begin"/>
      </w:r>
      <w:r w:rsidR="0090031F">
        <w:instrText xml:space="preserve"> REF _Ref531600795 \r \h </w:instrText>
      </w:r>
      <w:r w:rsidR="0090031F">
        <w:fldChar w:fldCharType="separate"/>
      </w:r>
      <w:r w:rsidR="00E5423A">
        <w:t>6</w:t>
      </w:r>
      <w:r w:rsidR="0090031F">
        <w:fldChar w:fldCharType="end"/>
      </w:r>
      <w:r w:rsidR="006639F2">
        <w:t>]</w:t>
      </w:r>
      <w:r>
        <w:t>. U ovom su dokumentu istaknute i sistematizirane mjere za koje se očekuj</w:t>
      </w:r>
      <w:r w:rsidR="00077080">
        <w:t>e</w:t>
      </w:r>
      <w:r>
        <w:t xml:space="preserve"> da </w:t>
      </w:r>
      <w:r w:rsidR="00077080">
        <w:t xml:space="preserve">će </w:t>
      </w:r>
      <w:r>
        <w:t>doprinijeti istraživanju, inovacijama i konkurentnosti hrvatskog gospodarstva u sektorima relevant</w:t>
      </w:r>
      <w:r w:rsidR="00F947B4">
        <w:t>n</w:t>
      </w:r>
      <w:r>
        <w:t>ima za energetsku tranziciju.</w:t>
      </w:r>
    </w:p>
    <w:p w14:paraId="0A4E341E" w14:textId="77777777" w:rsidR="000C55C1" w:rsidRDefault="000C55C1" w:rsidP="00302043">
      <w:pPr>
        <w:pStyle w:val="Heading3"/>
      </w:pPr>
      <w:bookmarkStart w:id="11" w:name="_Toc531934946"/>
      <w:bookmarkStart w:id="12" w:name="_Toc531945072"/>
      <w:r>
        <w:t>Tablični prikaz ključnih ciljeva, politika i mjera plana</w:t>
      </w:r>
      <w:bookmarkEnd w:id="11"/>
      <w:bookmarkEnd w:id="12"/>
    </w:p>
    <w:p w14:paraId="249B629C" w14:textId="56BC517A" w:rsidR="00E36E50" w:rsidRDefault="00E36E50" w:rsidP="00E36E50">
      <w:r>
        <w:t xml:space="preserve">Cilj smanjenja emisija stakleničkih plinova za Republiku Hrvatsku za 2030. godinu zadan je </w:t>
      </w:r>
      <w:r w:rsidR="00D96F0E" w:rsidRPr="00D96F0E">
        <w:t>Direktivom (EU) 2018/410</w:t>
      </w:r>
      <w:r>
        <w:t xml:space="preserve"> </w:t>
      </w:r>
      <w:r w:rsidR="00547A23">
        <w:t xml:space="preserve">i </w:t>
      </w:r>
      <w:r w:rsidR="00547A23" w:rsidRPr="00547A23">
        <w:t>Uredb</w:t>
      </w:r>
      <w:r w:rsidR="00547A23">
        <w:t>om</w:t>
      </w:r>
      <w:r w:rsidR="00547A23" w:rsidRPr="00547A23">
        <w:t xml:space="preserve"> (EU) 2018/842</w:t>
      </w:r>
      <w:r>
        <w:t xml:space="preserve">, zasebno za </w:t>
      </w:r>
      <w:r w:rsidR="00547A23">
        <w:t xml:space="preserve">sudionike </w:t>
      </w:r>
      <w:r w:rsidR="00D44F38">
        <w:t xml:space="preserve">sustava </w:t>
      </w:r>
      <w:r>
        <w:t>trgovanj</w:t>
      </w:r>
      <w:r w:rsidR="00D44F38">
        <w:t>a</w:t>
      </w:r>
      <w:r>
        <w:t xml:space="preserve"> emisijskim jedinicama</w:t>
      </w:r>
      <w:r w:rsidR="00D44F38">
        <w:t xml:space="preserve"> (ETS sektor)</w:t>
      </w:r>
      <w:r>
        <w:t xml:space="preserve"> i za sektore koji ne sudjeluju u trgovanju</w:t>
      </w:r>
      <w:r w:rsidR="00D44F38">
        <w:t xml:space="preserve"> (ne ETS sektori)</w:t>
      </w:r>
      <w:r>
        <w:t xml:space="preserve">. Prikazuje ih </w:t>
      </w:r>
      <w:r>
        <w:fldChar w:fldCharType="begin"/>
      </w:r>
      <w:r>
        <w:instrText xml:space="preserve"> REF _Ref531506675 \h </w:instrText>
      </w:r>
      <w:r>
        <w:fldChar w:fldCharType="separate"/>
      </w:r>
      <w:r w:rsidR="00E5423A">
        <w:t xml:space="preserve">Tablica </w:t>
      </w:r>
      <w:r w:rsidR="00E5423A">
        <w:rPr>
          <w:noProof/>
        </w:rPr>
        <w:t>1</w:t>
      </w:r>
      <w:r w:rsidR="00E5423A">
        <w:noBreakHyphen/>
      </w:r>
      <w:r w:rsidR="00E5423A">
        <w:rPr>
          <w:noProof/>
        </w:rPr>
        <w:t>1</w:t>
      </w:r>
      <w:r>
        <w:fldChar w:fldCharType="end"/>
      </w:r>
      <w:r>
        <w:t>.</w:t>
      </w:r>
    </w:p>
    <w:p w14:paraId="74F2B70B" w14:textId="5BFDC496" w:rsidR="00E36E50" w:rsidRDefault="00E36E50" w:rsidP="00B23FAC">
      <w:pPr>
        <w:pStyle w:val="Caption"/>
      </w:pPr>
      <w:bookmarkStart w:id="13" w:name="_Ref531506675"/>
      <w:bookmarkStart w:id="14" w:name="_Toc531935321"/>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w:t>
      </w:r>
      <w:r w:rsidR="00B22048">
        <w:rPr>
          <w:noProof/>
        </w:rPr>
        <w:fldChar w:fldCharType="end"/>
      </w:r>
      <w:bookmarkEnd w:id="13"/>
      <w:r w:rsidR="00A87274">
        <w:rPr>
          <w:noProof/>
        </w:rPr>
        <w:t xml:space="preserve"> </w:t>
      </w:r>
      <w:r>
        <w:t>Ciljevi smanjenja emisija stakleničkih plinova za RH u 2030. godini</w:t>
      </w:r>
      <w:bookmarkEnd w:id="14"/>
    </w:p>
    <w:tbl>
      <w:tblPr>
        <w:tblW w:w="6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2"/>
        <w:gridCol w:w="1583"/>
        <w:gridCol w:w="1583"/>
        <w:gridCol w:w="1583"/>
      </w:tblGrid>
      <w:tr w:rsidR="006B6ED6" w:rsidRPr="000F35BC" w14:paraId="77DAC002" w14:textId="77777777" w:rsidTr="00977626">
        <w:trPr>
          <w:trHeight w:val="601"/>
        </w:trPr>
        <w:tc>
          <w:tcPr>
            <w:tcW w:w="1582" w:type="dxa"/>
            <w:shd w:val="clear" w:color="auto" w:fill="auto"/>
            <w:tcMar>
              <w:top w:w="15" w:type="dxa"/>
              <w:left w:w="108" w:type="dxa"/>
              <w:bottom w:w="0" w:type="dxa"/>
              <w:right w:w="108" w:type="dxa"/>
            </w:tcMar>
            <w:vAlign w:val="center"/>
            <w:hideMark/>
          </w:tcPr>
          <w:p w14:paraId="168988AD" w14:textId="77777777" w:rsidR="006B6ED6" w:rsidRPr="00977626" w:rsidRDefault="006B6ED6" w:rsidP="00977626">
            <w:pPr>
              <w:spacing w:before="0" w:after="0" w:line="240" w:lineRule="auto"/>
              <w:jc w:val="center"/>
            </w:pPr>
            <w:r w:rsidRPr="00977626">
              <w:rPr>
                <w:b/>
                <w:bCs/>
              </w:rPr>
              <w:t>U odnosu na godinu</w:t>
            </w:r>
          </w:p>
        </w:tc>
        <w:tc>
          <w:tcPr>
            <w:tcW w:w="1583" w:type="dxa"/>
            <w:shd w:val="clear" w:color="auto" w:fill="auto"/>
            <w:tcMar>
              <w:top w:w="15" w:type="dxa"/>
              <w:left w:w="108" w:type="dxa"/>
              <w:bottom w:w="0" w:type="dxa"/>
              <w:right w:w="108" w:type="dxa"/>
            </w:tcMar>
            <w:vAlign w:val="center"/>
            <w:hideMark/>
          </w:tcPr>
          <w:p w14:paraId="354D0447" w14:textId="77777777" w:rsidR="006B6ED6" w:rsidRPr="00977626" w:rsidRDefault="006B6ED6" w:rsidP="00977626">
            <w:pPr>
              <w:spacing w:before="0" w:after="0" w:line="240" w:lineRule="auto"/>
              <w:jc w:val="center"/>
            </w:pPr>
            <w:r w:rsidRPr="00977626">
              <w:rPr>
                <w:b/>
                <w:bCs/>
              </w:rPr>
              <w:t>Opseg</w:t>
            </w:r>
          </w:p>
        </w:tc>
        <w:tc>
          <w:tcPr>
            <w:tcW w:w="1583" w:type="dxa"/>
            <w:shd w:val="clear" w:color="auto" w:fill="auto"/>
            <w:tcMar>
              <w:top w:w="15" w:type="dxa"/>
              <w:left w:w="108" w:type="dxa"/>
              <w:bottom w:w="0" w:type="dxa"/>
              <w:right w:w="108" w:type="dxa"/>
            </w:tcMar>
            <w:vAlign w:val="center"/>
            <w:hideMark/>
          </w:tcPr>
          <w:p w14:paraId="208806F3" w14:textId="77777777" w:rsidR="006B6ED6" w:rsidRPr="00977626" w:rsidRDefault="006B6ED6" w:rsidP="00977626">
            <w:pPr>
              <w:spacing w:before="0" w:after="0" w:line="240" w:lineRule="auto"/>
              <w:jc w:val="center"/>
            </w:pPr>
            <w:r w:rsidRPr="00977626">
              <w:rPr>
                <w:b/>
                <w:bCs/>
              </w:rPr>
              <w:t>Ostvareno 2015. god</w:t>
            </w:r>
          </w:p>
        </w:tc>
        <w:tc>
          <w:tcPr>
            <w:tcW w:w="1583" w:type="dxa"/>
            <w:shd w:val="clear" w:color="auto" w:fill="auto"/>
            <w:tcMar>
              <w:top w:w="15" w:type="dxa"/>
              <w:left w:w="108" w:type="dxa"/>
              <w:bottom w:w="0" w:type="dxa"/>
              <w:right w:w="108" w:type="dxa"/>
            </w:tcMar>
            <w:vAlign w:val="center"/>
            <w:hideMark/>
          </w:tcPr>
          <w:p w14:paraId="38841189" w14:textId="4E5CED7B" w:rsidR="006B6ED6" w:rsidRPr="00977626" w:rsidRDefault="006B6ED6" w:rsidP="00977626">
            <w:pPr>
              <w:spacing w:before="0" w:after="0" w:line="240" w:lineRule="auto"/>
              <w:jc w:val="center"/>
            </w:pPr>
            <w:r>
              <w:rPr>
                <w:b/>
                <w:bCs/>
              </w:rPr>
              <w:t xml:space="preserve">Cilj za </w:t>
            </w:r>
            <w:r w:rsidRPr="00977626">
              <w:rPr>
                <w:b/>
                <w:bCs/>
              </w:rPr>
              <w:t>2030.</w:t>
            </w:r>
            <w:r w:rsidR="006964CC">
              <w:rPr>
                <w:b/>
                <w:bCs/>
              </w:rPr>
              <w:t xml:space="preserve"> god</w:t>
            </w:r>
          </w:p>
        </w:tc>
      </w:tr>
      <w:tr w:rsidR="000629B7" w:rsidRPr="000F35BC" w14:paraId="5BB83C6F" w14:textId="77777777" w:rsidTr="001021F1">
        <w:trPr>
          <w:trHeight w:val="508"/>
        </w:trPr>
        <w:tc>
          <w:tcPr>
            <w:tcW w:w="1582" w:type="dxa"/>
            <w:vMerge w:val="restart"/>
            <w:shd w:val="clear" w:color="auto" w:fill="auto"/>
            <w:tcMar>
              <w:top w:w="15" w:type="dxa"/>
              <w:left w:w="108" w:type="dxa"/>
              <w:bottom w:w="0" w:type="dxa"/>
              <w:right w:w="108" w:type="dxa"/>
            </w:tcMar>
            <w:vAlign w:val="center"/>
            <w:hideMark/>
          </w:tcPr>
          <w:p w14:paraId="1E04FF5F" w14:textId="0E2E03FD" w:rsidR="006B6ED6" w:rsidRPr="00977626" w:rsidRDefault="006B6ED6" w:rsidP="00977626">
            <w:pPr>
              <w:spacing w:before="0" w:after="0" w:line="240" w:lineRule="auto"/>
              <w:jc w:val="center"/>
            </w:pPr>
            <w:r>
              <w:rPr>
                <w:b/>
                <w:bCs/>
              </w:rPr>
              <w:t>2005</w:t>
            </w:r>
            <w:r w:rsidRPr="00977626">
              <w:rPr>
                <w:b/>
                <w:bCs/>
              </w:rPr>
              <w:t>.</w:t>
            </w:r>
          </w:p>
        </w:tc>
        <w:tc>
          <w:tcPr>
            <w:tcW w:w="1583" w:type="dxa"/>
            <w:shd w:val="clear" w:color="auto" w:fill="auto"/>
            <w:tcMar>
              <w:top w:w="15" w:type="dxa"/>
              <w:left w:w="108" w:type="dxa"/>
              <w:bottom w:w="0" w:type="dxa"/>
              <w:right w:w="108" w:type="dxa"/>
            </w:tcMar>
            <w:vAlign w:val="center"/>
            <w:hideMark/>
          </w:tcPr>
          <w:p w14:paraId="40C58FB1" w14:textId="165BB19E" w:rsidR="006B6ED6" w:rsidRPr="00977626" w:rsidRDefault="006B6ED6" w:rsidP="00977626">
            <w:pPr>
              <w:spacing w:before="0" w:after="0" w:line="240" w:lineRule="auto"/>
              <w:jc w:val="center"/>
            </w:pPr>
            <w:r>
              <w:t>ETS sektor</w:t>
            </w:r>
          </w:p>
        </w:tc>
        <w:tc>
          <w:tcPr>
            <w:tcW w:w="1583" w:type="dxa"/>
            <w:shd w:val="clear" w:color="auto" w:fill="auto"/>
            <w:tcMar>
              <w:top w:w="15" w:type="dxa"/>
              <w:left w:w="108" w:type="dxa"/>
              <w:bottom w:w="0" w:type="dxa"/>
              <w:right w:w="108" w:type="dxa"/>
            </w:tcMar>
            <w:vAlign w:val="center"/>
            <w:hideMark/>
          </w:tcPr>
          <w:p w14:paraId="36228B55" w14:textId="56B9B06C" w:rsidR="006B6ED6" w:rsidRPr="00977626" w:rsidRDefault="006B6ED6" w:rsidP="00977626">
            <w:pPr>
              <w:spacing w:before="0" w:after="0" w:line="240" w:lineRule="auto"/>
              <w:jc w:val="center"/>
            </w:pPr>
            <w:r w:rsidRPr="00977626">
              <w:t>-2</w:t>
            </w:r>
            <w:r>
              <w:t>1</w:t>
            </w:r>
            <w:r w:rsidRPr="00977626">
              <w:t>,1%</w:t>
            </w:r>
          </w:p>
        </w:tc>
        <w:tc>
          <w:tcPr>
            <w:tcW w:w="1583" w:type="dxa"/>
            <w:shd w:val="clear" w:color="auto" w:fill="auto"/>
            <w:tcMar>
              <w:top w:w="15" w:type="dxa"/>
              <w:left w:w="108" w:type="dxa"/>
              <w:bottom w:w="0" w:type="dxa"/>
              <w:right w:w="108" w:type="dxa"/>
            </w:tcMar>
            <w:vAlign w:val="center"/>
            <w:hideMark/>
          </w:tcPr>
          <w:p w14:paraId="7242F5E1" w14:textId="2CB1F7A7" w:rsidR="006B6ED6" w:rsidRPr="00977626" w:rsidRDefault="006B6ED6" w:rsidP="00977626">
            <w:pPr>
              <w:spacing w:before="0" w:after="0" w:line="240" w:lineRule="auto"/>
              <w:jc w:val="center"/>
            </w:pPr>
            <w:r w:rsidRPr="00977626">
              <w:t>-4</w:t>
            </w:r>
            <w:r>
              <w:t>3</w:t>
            </w:r>
            <w:r w:rsidRPr="00977626">
              <w:t>%</w:t>
            </w:r>
          </w:p>
        </w:tc>
      </w:tr>
      <w:tr w:rsidR="000629B7" w:rsidRPr="000F35BC" w14:paraId="75043F8A" w14:textId="77777777" w:rsidTr="001021F1">
        <w:trPr>
          <w:trHeight w:val="508"/>
        </w:trPr>
        <w:tc>
          <w:tcPr>
            <w:tcW w:w="1582" w:type="dxa"/>
            <w:vMerge/>
            <w:shd w:val="clear" w:color="auto" w:fill="auto"/>
            <w:tcMar>
              <w:top w:w="15" w:type="dxa"/>
              <w:left w:w="108" w:type="dxa"/>
              <w:bottom w:w="0" w:type="dxa"/>
              <w:right w:w="108" w:type="dxa"/>
            </w:tcMar>
            <w:vAlign w:val="center"/>
          </w:tcPr>
          <w:p w14:paraId="3465DC1F" w14:textId="77777777" w:rsidR="006B6ED6" w:rsidRPr="006B6ED6" w:rsidRDefault="006B6ED6" w:rsidP="00977626">
            <w:pPr>
              <w:spacing w:before="0" w:after="0" w:line="240" w:lineRule="auto"/>
              <w:jc w:val="center"/>
              <w:rPr>
                <w:b/>
                <w:bCs/>
              </w:rPr>
            </w:pPr>
          </w:p>
        </w:tc>
        <w:tc>
          <w:tcPr>
            <w:tcW w:w="1583" w:type="dxa"/>
            <w:shd w:val="clear" w:color="auto" w:fill="auto"/>
            <w:tcMar>
              <w:top w:w="15" w:type="dxa"/>
              <w:left w:w="108" w:type="dxa"/>
              <w:bottom w:w="0" w:type="dxa"/>
              <w:right w:w="108" w:type="dxa"/>
            </w:tcMar>
            <w:vAlign w:val="center"/>
          </w:tcPr>
          <w:p w14:paraId="42BA71FF" w14:textId="72FBB92D" w:rsidR="006B6ED6" w:rsidRPr="006B6ED6" w:rsidRDefault="006B6ED6" w:rsidP="00977626">
            <w:pPr>
              <w:spacing w:before="0" w:after="0" w:line="240" w:lineRule="auto"/>
              <w:jc w:val="center"/>
            </w:pPr>
            <w:r>
              <w:t>Sektori izvan ETS-a</w:t>
            </w:r>
          </w:p>
        </w:tc>
        <w:tc>
          <w:tcPr>
            <w:tcW w:w="1583" w:type="dxa"/>
            <w:shd w:val="clear" w:color="auto" w:fill="auto"/>
            <w:tcMar>
              <w:top w:w="15" w:type="dxa"/>
              <w:left w:w="108" w:type="dxa"/>
              <w:bottom w:w="0" w:type="dxa"/>
              <w:right w:w="108" w:type="dxa"/>
            </w:tcMar>
            <w:vAlign w:val="center"/>
          </w:tcPr>
          <w:p w14:paraId="66F8E43A" w14:textId="4728CAE4" w:rsidR="006B6ED6" w:rsidRPr="006B6ED6" w:rsidRDefault="006B6ED6" w:rsidP="00977626">
            <w:pPr>
              <w:spacing w:before="0" w:after="0" w:line="240" w:lineRule="auto"/>
              <w:jc w:val="center"/>
            </w:pPr>
            <w:r>
              <w:t>-18,2%</w:t>
            </w:r>
          </w:p>
        </w:tc>
        <w:tc>
          <w:tcPr>
            <w:tcW w:w="1583" w:type="dxa"/>
            <w:shd w:val="clear" w:color="auto" w:fill="auto"/>
            <w:tcMar>
              <w:top w:w="15" w:type="dxa"/>
              <w:left w:w="108" w:type="dxa"/>
              <w:bottom w:w="0" w:type="dxa"/>
              <w:right w:w="108" w:type="dxa"/>
            </w:tcMar>
            <w:vAlign w:val="center"/>
          </w:tcPr>
          <w:p w14:paraId="5DAA9ADF" w14:textId="2F691056" w:rsidR="006B6ED6" w:rsidRPr="006B6ED6" w:rsidRDefault="006B6ED6" w:rsidP="00977626">
            <w:pPr>
              <w:spacing w:before="0" w:after="0" w:line="240" w:lineRule="auto"/>
              <w:jc w:val="center"/>
            </w:pPr>
            <w:r>
              <w:t>-7%</w:t>
            </w:r>
          </w:p>
        </w:tc>
      </w:tr>
    </w:tbl>
    <w:p w14:paraId="3DFB972E" w14:textId="77777777" w:rsidR="000C1DB4" w:rsidRDefault="000C1DB4" w:rsidP="00F16666">
      <w:pPr>
        <w:rPr>
          <w:highlight w:val="yellow"/>
        </w:rPr>
      </w:pPr>
    </w:p>
    <w:p w14:paraId="52E9CCAB" w14:textId="3A9F4701" w:rsidR="000527F4" w:rsidRDefault="00E36E50" w:rsidP="000C55C1">
      <w:r>
        <w:t>U</w:t>
      </w:r>
      <w:r w:rsidR="000527F4">
        <w:t xml:space="preserve"> okviru izrade Strategije energetskog razvoja Republike Hrvatske do 2030. godine, s pogledom na 2050. godinu, u studenom 2018. godine izrađene su analitičke podloge – tzv.</w:t>
      </w:r>
      <w:r w:rsidR="00E35991">
        <w:t xml:space="preserve"> </w:t>
      </w:r>
      <w:r w:rsidR="000527F4">
        <w:t xml:space="preserve">Zelena </w:t>
      </w:r>
      <w:r w:rsidR="000527F4" w:rsidRPr="00B4224E">
        <w:t>knjiga</w:t>
      </w:r>
      <w:r w:rsidRPr="00B4224E">
        <w:t xml:space="preserve"> [</w:t>
      </w:r>
      <w:r w:rsidR="0090031F" w:rsidRPr="00977626">
        <w:fldChar w:fldCharType="begin"/>
      </w:r>
      <w:r w:rsidR="0090031F" w:rsidRPr="00977626">
        <w:instrText xml:space="preserve"> REF _Ref531599476 \r \h </w:instrText>
      </w:r>
      <w:r w:rsidR="0090031F">
        <w:instrText xml:space="preserve"> \* MERGEFORMAT </w:instrText>
      </w:r>
      <w:r w:rsidR="0090031F" w:rsidRPr="00977626">
        <w:fldChar w:fldCharType="separate"/>
      </w:r>
      <w:r w:rsidR="00E5423A">
        <w:t>1</w:t>
      </w:r>
      <w:r w:rsidR="0090031F" w:rsidRPr="00977626">
        <w:fldChar w:fldCharType="end"/>
      </w:r>
      <w:r w:rsidRPr="00B4224E">
        <w:t>]</w:t>
      </w:r>
      <w:r w:rsidR="00FB0B28" w:rsidRPr="00B4224E">
        <w:t xml:space="preserve">. </w:t>
      </w:r>
      <w:r w:rsidR="000F4301">
        <w:t xml:space="preserve">Ciljeve u </w:t>
      </w:r>
      <w:r w:rsidR="00FB0B28">
        <w:t xml:space="preserve">2030. godini prikazuje ih </w:t>
      </w:r>
      <w:r>
        <w:fldChar w:fldCharType="begin"/>
      </w:r>
      <w:r>
        <w:instrText xml:space="preserve"> REF _Ref531506783 \h </w:instrText>
      </w:r>
      <w:r>
        <w:fldChar w:fldCharType="separate"/>
      </w:r>
      <w:r w:rsidR="00E5423A">
        <w:t xml:space="preserve">Tablica </w:t>
      </w:r>
      <w:r w:rsidR="00E5423A">
        <w:rPr>
          <w:noProof/>
        </w:rPr>
        <w:t>1</w:t>
      </w:r>
      <w:r w:rsidR="00E5423A">
        <w:noBreakHyphen/>
      </w:r>
      <w:r w:rsidR="00E5423A">
        <w:rPr>
          <w:noProof/>
        </w:rPr>
        <w:t>2</w:t>
      </w:r>
      <w:r>
        <w:fldChar w:fldCharType="end"/>
      </w:r>
      <w:r w:rsidR="00FB0B28">
        <w:t>.</w:t>
      </w:r>
    </w:p>
    <w:p w14:paraId="173C01DB" w14:textId="341A7F90" w:rsidR="004E0694" w:rsidRDefault="00E36E50" w:rsidP="00977626">
      <w:pPr>
        <w:pStyle w:val="Caption"/>
      </w:pPr>
      <w:bookmarkStart w:id="15" w:name="_Ref531506783"/>
      <w:bookmarkStart w:id="16" w:name="_Toc531935322"/>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2</w:t>
      </w:r>
      <w:r w:rsidR="00B22048">
        <w:rPr>
          <w:noProof/>
        </w:rPr>
        <w:fldChar w:fldCharType="end"/>
      </w:r>
      <w:bookmarkEnd w:id="15"/>
      <w:r w:rsidR="00A87274">
        <w:rPr>
          <w:noProof/>
        </w:rPr>
        <w:t xml:space="preserve"> </w:t>
      </w:r>
      <w:r>
        <w:t>Projekcije vrijednosti ključnih indikatora, Zelena knjiga</w:t>
      </w:r>
      <w:bookmarkEnd w:id="16"/>
    </w:p>
    <w:tbl>
      <w:tblPr>
        <w:tblStyle w:val="TableGrid"/>
        <w:tblW w:w="3333" w:type="pct"/>
        <w:tblLook w:val="04A0" w:firstRow="1" w:lastRow="0" w:firstColumn="1" w:lastColumn="0" w:noHBand="0" w:noVBand="1"/>
      </w:tblPr>
      <w:tblGrid>
        <w:gridCol w:w="3020"/>
        <w:gridCol w:w="3021"/>
      </w:tblGrid>
      <w:tr w:rsidR="00FD2288" w14:paraId="1E8563C9" w14:textId="77777777" w:rsidTr="00FD2288">
        <w:tc>
          <w:tcPr>
            <w:tcW w:w="2500" w:type="pct"/>
          </w:tcPr>
          <w:p w14:paraId="741FDE6F" w14:textId="77777777" w:rsidR="00FD2288" w:rsidRDefault="00FD2288" w:rsidP="00574ADC">
            <w:bookmarkStart w:id="17" w:name="_Hlk531807782"/>
          </w:p>
        </w:tc>
        <w:tc>
          <w:tcPr>
            <w:tcW w:w="2500" w:type="pct"/>
          </w:tcPr>
          <w:p w14:paraId="3140D057" w14:textId="0A194972" w:rsidR="00FD2288" w:rsidRDefault="00FD2288" w:rsidP="00574ADC">
            <w:r>
              <w:t>Cilj za 2030.</w:t>
            </w:r>
          </w:p>
        </w:tc>
      </w:tr>
      <w:tr w:rsidR="00FD2288" w14:paraId="056A1BD3" w14:textId="77777777" w:rsidTr="00FD2288">
        <w:tc>
          <w:tcPr>
            <w:tcW w:w="2500" w:type="pct"/>
            <w:shd w:val="clear" w:color="auto" w:fill="FFFFFF" w:themeFill="background1"/>
          </w:tcPr>
          <w:p w14:paraId="7AEE5B6B" w14:textId="689BC98E" w:rsidR="00FD2288" w:rsidRDefault="00FD2288" w:rsidP="00791586">
            <w:r>
              <w:t>Udio OIE u ukupnoj finalnoj potrošnji energije</w:t>
            </w:r>
          </w:p>
        </w:tc>
        <w:tc>
          <w:tcPr>
            <w:tcW w:w="2500" w:type="pct"/>
            <w:shd w:val="clear" w:color="auto" w:fill="FFFFFF" w:themeFill="background1"/>
            <w:vAlign w:val="top"/>
          </w:tcPr>
          <w:p w14:paraId="27911F4A" w14:textId="0E645FE6" w:rsidR="00FD2288" w:rsidRDefault="00FD2288" w:rsidP="00791586">
            <w:r w:rsidRPr="00027DAA">
              <w:t>3</w:t>
            </w:r>
            <w:r>
              <w:t>6</w:t>
            </w:r>
            <w:r w:rsidRPr="00027DAA">
              <w:t>,</w:t>
            </w:r>
            <w:r>
              <w:t>4 %</w:t>
            </w:r>
          </w:p>
        </w:tc>
      </w:tr>
      <w:tr w:rsidR="00FD2288" w14:paraId="300B9906" w14:textId="77777777" w:rsidTr="00FD2288">
        <w:tc>
          <w:tcPr>
            <w:tcW w:w="2500" w:type="pct"/>
            <w:shd w:val="clear" w:color="auto" w:fill="FFFFFF" w:themeFill="background1"/>
          </w:tcPr>
          <w:p w14:paraId="6ACD1EA1" w14:textId="77777777" w:rsidR="00FD2288" w:rsidRDefault="00FD2288" w:rsidP="00574ADC">
            <w:r>
              <w:t>Energetska učinkovitost</w:t>
            </w:r>
          </w:p>
          <w:p w14:paraId="71B33B78" w14:textId="77777777" w:rsidR="00FD2288" w:rsidRDefault="00FD2288" w:rsidP="00574ADC">
            <w:r>
              <w:t>Primarna potrošnja</w:t>
            </w:r>
          </w:p>
          <w:p w14:paraId="52BA1B22" w14:textId="7F6579F2" w:rsidR="00FD2288" w:rsidRDefault="00FD2288" w:rsidP="00574ADC">
            <w:r>
              <w:t>Neposredna potrošnja</w:t>
            </w:r>
          </w:p>
        </w:tc>
        <w:tc>
          <w:tcPr>
            <w:tcW w:w="2500" w:type="pct"/>
            <w:shd w:val="clear" w:color="auto" w:fill="FFFFFF" w:themeFill="background1"/>
          </w:tcPr>
          <w:p w14:paraId="215D46E5" w14:textId="77777777" w:rsidR="00FD2288" w:rsidRDefault="00FD2288" w:rsidP="0090031F"/>
          <w:p w14:paraId="5F1978CB" w14:textId="502CFCCA" w:rsidR="00FD2288" w:rsidRDefault="00FD2288" w:rsidP="0090031F">
            <w:r>
              <w:t>367,76 PJ</w:t>
            </w:r>
          </w:p>
          <w:p w14:paraId="1B0BD589" w14:textId="515C67C7" w:rsidR="00FD2288" w:rsidRDefault="00FD2288" w:rsidP="0090031F">
            <w:r>
              <w:t>286,91 PJ</w:t>
            </w:r>
          </w:p>
        </w:tc>
      </w:tr>
    </w:tbl>
    <w:bookmarkEnd w:id="17"/>
    <w:p w14:paraId="78080A43" w14:textId="1D70F05E" w:rsidR="004E0694" w:rsidRDefault="00791586" w:rsidP="004E0694">
      <w:r>
        <w:t>M</w:t>
      </w:r>
      <w:r w:rsidR="004E0694">
        <w:t xml:space="preserve">jere </w:t>
      </w:r>
      <w:r w:rsidR="0090031F">
        <w:t>relevantne za pojedine dimenzije energetske unije</w:t>
      </w:r>
      <w:r w:rsidR="004E0694">
        <w:t xml:space="preserve"> prikazuje </w:t>
      </w:r>
      <w:r w:rsidR="006639F2">
        <w:fldChar w:fldCharType="begin"/>
      </w:r>
      <w:r w:rsidR="006639F2">
        <w:instrText xml:space="preserve"> REF _Ref531506913 \h </w:instrText>
      </w:r>
      <w:r w:rsidR="006639F2">
        <w:fldChar w:fldCharType="separate"/>
      </w:r>
      <w:r w:rsidR="00E5423A">
        <w:t xml:space="preserve">Tablica </w:t>
      </w:r>
      <w:r w:rsidR="00E5423A">
        <w:rPr>
          <w:noProof/>
        </w:rPr>
        <w:t>1</w:t>
      </w:r>
      <w:r w:rsidR="00E5423A">
        <w:noBreakHyphen/>
      </w:r>
      <w:r w:rsidR="00E5423A">
        <w:rPr>
          <w:noProof/>
        </w:rPr>
        <w:t>3</w:t>
      </w:r>
      <w:r w:rsidR="006639F2">
        <w:fldChar w:fldCharType="end"/>
      </w:r>
      <w:r w:rsidR="004E0694">
        <w:t>.</w:t>
      </w:r>
    </w:p>
    <w:p w14:paraId="18BB3479" w14:textId="71ED2DB9" w:rsidR="004E0694" w:rsidRDefault="006639F2" w:rsidP="00B23FAC">
      <w:pPr>
        <w:pStyle w:val="Caption"/>
      </w:pPr>
      <w:bookmarkStart w:id="18" w:name="_Ref531506913"/>
      <w:bookmarkStart w:id="19" w:name="_Toc531935323"/>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3</w:t>
      </w:r>
      <w:r w:rsidR="00B22048">
        <w:rPr>
          <w:noProof/>
        </w:rPr>
        <w:fldChar w:fldCharType="end"/>
      </w:r>
      <w:bookmarkEnd w:id="18"/>
      <w:r w:rsidR="00A87274">
        <w:rPr>
          <w:noProof/>
        </w:rPr>
        <w:t xml:space="preserve"> </w:t>
      </w:r>
      <w:r>
        <w:t>Pregled mjera</w:t>
      </w:r>
      <w:bookmarkEnd w:id="19"/>
    </w:p>
    <w:tbl>
      <w:tblPr>
        <w:tblStyle w:val="TableGrid"/>
        <w:tblW w:w="9067" w:type="dxa"/>
        <w:tblLook w:val="04A0" w:firstRow="1" w:lastRow="0" w:firstColumn="1" w:lastColumn="0" w:noHBand="0" w:noVBand="1"/>
      </w:tblPr>
      <w:tblGrid>
        <w:gridCol w:w="1129"/>
        <w:gridCol w:w="7938"/>
      </w:tblGrid>
      <w:tr w:rsidR="00977626" w14:paraId="57A4A150" w14:textId="77777777" w:rsidTr="007145ED">
        <w:tc>
          <w:tcPr>
            <w:tcW w:w="1129" w:type="dxa"/>
          </w:tcPr>
          <w:p w14:paraId="10C0B5C2" w14:textId="77777777" w:rsidR="00977626" w:rsidRPr="007145ED" w:rsidRDefault="00977626" w:rsidP="007145ED">
            <w:pPr>
              <w:spacing w:after="0"/>
              <w:rPr>
                <w:sz w:val="20"/>
              </w:rPr>
            </w:pPr>
            <w:r>
              <w:t>Kratica</w:t>
            </w:r>
          </w:p>
          <w:p w14:paraId="03CE84A0" w14:textId="44411B4A" w:rsidR="00294EA7" w:rsidRDefault="00294EA7" w:rsidP="007145ED">
            <w:pPr>
              <w:spacing w:after="240"/>
            </w:pPr>
          </w:p>
        </w:tc>
        <w:tc>
          <w:tcPr>
            <w:tcW w:w="7938" w:type="dxa"/>
          </w:tcPr>
          <w:p w14:paraId="24C29396" w14:textId="77E2A845" w:rsidR="00977626" w:rsidRDefault="00977626" w:rsidP="007145ED">
            <w:r>
              <w:t>Naziv</w:t>
            </w:r>
          </w:p>
        </w:tc>
      </w:tr>
      <w:tr w:rsidR="00167198" w14:paraId="241C1C53" w14:textId="77777777" w:rsidTr="007145ED">
        <w:tc>
          <w:tcPr>
            <w:tcW w:w="9067" w:type="dxa"/>
            <w:gridSpan w:val="2"/>
            <w:shd w:val="clear" w:color="auto" w:fill="FFFFFF" w:themeFill="background1"/>
            <w:vAlign w:val="top"/>
          </w:tcPr>
          <w:p w14:paraId="1CE1F90D" w14:textId="07FE45C2" w:rsidR="00167198" w:rsidRDefault="00167198" w:rsidP="007145ED">
            <w:r>
              <w:t>Dekarbonizacija</w:t>
            </w:r>
          </w:p>
        </w:tc>
      </w:tr>
      <w:tr w:rsidR="00977626" w14:paraId="28C78396" w14:textId="77777777" w:rsidTr="007145ED">
        <w:tc>
          <w:tcPr>
            <w:tcW w:w="1129" w:type="dxa"/>
            <w:shd w:val="clear" w:color="auto" w:fill="FFFFFF" w:themeFill="background1"/>
          </w:tcPr>
          <w:p w14:paraId="007B4EA4" w14:textId="36AB0168" w:rsidR="00977626" w:rsidRPr="007145ED" w:rsidRDefault="00167198" w:rsidP="007145ED">
            <w:r w:rsidRPr="007145ED">
              <w:t>MS-1</w:t>
            </w:r>
          </w:p>
        </w:tc>
        <w:tc>
          <w:tcPr>
            <w:tcW w:w="7938" w:type="dxa"/>
            <w:shd w:val="clear" w:color="auto" w:fill="FFFFFF" w:themeFill="background1"/>
          </w:tcPr>
          <w:p w14:paraId="04616E0C" w14:textId="3C5D26AF" w:rsidR="00977626" w:rsidRPr="007145ED" w:rsidRDefault="00167198" w:rsidP="007145ED">
            <w:r w:rsidRPr="007145ED">
              <w:t>Povjerenstvo za međusektorsku koordinaciju za politiku i mjera za ublaživanje i prilagodbu klimatskim promjenama</w:t>
            </w:r>
          </w:p>
        </w:tc>
      </w:tr>
      <w:tr w:rsidR="00167198" w14:paraId="6005ECE5" w14:textId="77777777" w:rsidTr="007145ED">
        <w:tc>
          <w:tcPr>
            <w:tcW w:w="1129" w:type="dxa"/>
            <w:shd w:val="clear" w:color="auto" w:fill="FFFFFF" w:themeFill="background1"/>
          </w:tcPr>
          <w:p w14:paraId="1B7813E6" w14:textId="703D3F43" w:rsidR="00167198" w:rsidRPr="007145ED" w:rsidRDefault="00167198" w:rsidP="007145ED">
            <w:r w:rsidRPr="007145ED">
              <w:t>MS-2</w:t>
            </w:r>
          </w:p>
        </w:tc>
        <w:tc>
          <w:tcPr>
            <w:tcW w:w="7938" w:type="dxa"/>
            <w:shd w:val="clear" w:color="auto" w:fill="FFFFFF" w:themeFill="background1"/>
          </w:tcPr>
          <w:p w14:paraId="68A01301" w14:textId="3B4F675D" w:rsidR="00167198" w:rsidRPr="007145ED" w:rsidRDefault="00167198" w:rsidP="007145ED">
            <w:r w:rsidRPr="007145ED">
              <w:t>Promicanje korištenja inovativnih informacijskih i komunikacijskih tehnologija (ICT) radi smanjenja emisija stakleničkih plinova</w:t>
            </w:r>
          </w:p>
        </w:tc>
      </w:tr>
      <w:tr w:rsidR="00167198" w14:paraId="70510D08" w14:textId="77777777" w:rsidTr="007145ED">
        <w:tc>
          <w:tcPr>
            <w:tcW w:w="1129" w:type="dxa"/>
            <w:shd w:val="clear" w:color="auto" w:fill="FFFFFF" w:themeFill="background1"/>
          </w:tcPr>
          <w:p w14:paraId="4D6F2F07" w14:textId="31574ADC" w:rsidR="00167198" w:rsidRPr="007145ED" w:rsidRDefault="00167198" w:rsidP="007145ED">
            <w:r w:rsidRPr="007145ED">
              <w:t>MS-3</w:t>
            </w:r>
          </w:p>
        </w:tc>
        <w:tc>
          <w:tcPr>
            <w:tcW w:w="7938" w:type="dxa"/>
            <w:shd w:val="clear" w:color="auto" w:fill="FFFFFF" w:themeFill="background1"/>
          </w:tcPr>
          <w:p w14:paraId="3D6BEC32" w14:textId="2DDDA3A1" w:rsidR="00167198" w:rsidRPr="007145ED" w:rsidRDefault="00167198" w:rsidP="007145ED">
            <w:r w:rsidRPr="007145ED">
              <w:t>Europski sustav trgovanja emisijskim jedinicama</w:t>
            </w:r>
          </w:p>
        </w:tc>
      </w:tr>
      <w:tr w:rsidR="00167198" w14:paraId="6136A1B9" w14:textId="77777777" w:rsidTr="007145ED">
        <w:tc>
          <w:tcPr>
            <w:tcW w:w="1129" w:type="dxa"/>
            <w:shd w:val="clear" w:color="auto" w:fill="FFFFFF" w:themeFill="background1"/>
          </w:tcPr>
          <w:p w14:paraId="358024B5" w14:textId="35ACFA1D" w:rsidR="00167198" w:rsidRPr="007145ED" w:rsidRDefault="00167198" w:rsidP="007145ED">
            <w:r w:rsidRPr="007145ED">
              <w:t>MS-4</w:t>
            </w:r>
          </w:p>
        </w:tc>
        <w:tc>
          <w:tcPr>
            <w:tcW w:w="7938" w:type="dxa"/>
            <w:shd w:val="clear" w:color="auto" w:fill="FFFFFF" w:themeFill="background1"/>
          </w:tcPr>
          <w:p w14:paraId="100D16F6" w14:textId="3F399C36" w:rsidR="00167198" w:rsidRPr="007145ED" w:rsidRDefault="00167198" w:rsidP="007145ED">
            <w:r w:rsidRPr="007145ED">
              <w:t>Korištenje sredstava dobivenih od prodaje emisijskih jedinica putem dražbi u okviru EU ETS-a za mjere za smanjenje emisija stakleničkih plinova</w:t>
            </w:r>
          </w:p>
        </w:tc>
      </w:tr>
      <w:tr w:rsidR="00167198" w14:paraId="213EAF79" w14:textId="77777777" w:rsidTr="007145ED">
        <w:tc>
          <w:tcPr>
            <w:tcW w:w="1129" w:type="dxa"/>
            <w:shd w:val="clear" w:color="auto" w:fill="FFFFFF" w:themeFill="background1"/>
          </w:tcPr>
          <w:p w14:paraId="76FDB8EA" w14:textId="14BDAB45" w:rsidR="00167198" w:rsidRPr="007145ED" w:rsidRDefault="00167198" w:rsidP="007145ED">
            <w:r w:rsidRPr="007145ED">
              <w:t>MS-5</w:t>
            </w:r>
          </w:p>
        </w:tc>
        <w:tc>
          <w:tcPr>
            <w:tcW w:w="7938" w:type="dxa"/>
            <w:shd w:val="clear" w:color="auto" w:fill="FFFFFF" w:themeFill="background1"/>
          </w:tcPr>
          <w:p w14:paraId="7EABD606" w14:textId="31188546" w:rsidR="00167198" w:rsidRPr="007145ED" w:rsidRDefault="00167198" w:rsidP="007145ED">
            <w:r w:rsidRPr="007145ED">
              <w:t>Porez na emisiju CO</w:t>
            </w:r>
            <w:r w:rsidRPr="007145ED">
              <w:rPr>
                <w:vertAlign w:val="subscript"/>
              </w:rPr>
              <w:t>2</w:t>
            </w:r>
            <w:r w:rsidRPr="007145ED">
              <w:t xml:space="preserve"> za stacionarne izvore koji nisu u EU ETS-u</w:t>
            </w:r>
          </w:p>
        </w:tc>
      </w:tr>
      <w:tr w:rsidR="00167198" w14:paraId="0C63DD25" w14:textId="77777777" w:rsidTr="007145ED">
        <w:tc>
          <w:tcPr>
            <w:tcW w:w="1129" w:type="dxa"/>
            <w:shd w:val="clear" w:color="auto" w:fill="FFFFFF" w:themeFill="background1"/>
          </w:tcPr>
          <w:p w14:paraId="5A22F50F" w14:textId="5F0936F8" w:rsidR="00167198" w:rsidRPr="007145ED" w:rsidRDefault="00167198" w:rsidP="007145ED">
            <w:r w:rsidRPr="007145ED">
              <w:t>MS-6</w:t>
            </w:r>
          </w:p>
        </w:tc>
        <w:tc>
          <w:tcPr>
            <w:tcW w:w="7938" w:type="dxa"/>
            <w:shd w:val="clear" w:color="auto" w:fill="FFFFFF" w:themeFill="background1"/>
          </w:tcPr>
          <w:p w14:paraId="0A2018CB" w14:textId="646703CA" w:rsidR="00167198" w:rsidRPr="007145ED" w:rsidRDefault="00167198" w:rsidP="007145ED">
            <w:r w:rsidRPr="007145ED">
              <w:t>Sporazum gradonačelnika za klimu i energiju u Republici Hrvatskoj</w:t>
            </w:r>
          </w:p>
        </w:tc>
      </w:tr>
      <w:tr w:rsidR="00167198" w14:paraId="41279641" w14:textId="77777777" w:rsidTr="007145ED">
        <w:tc>
          <w:tcPr>
            <w:tcW w:w="1129" w:type="dxa"/>
            <w:shd w:val="clear" w:color="auto" w:fill="FFFFFF" w:themeFill="background1"/>
          </w:tcPr>
          <w:p w14:paraId="28CCB7BC" w14:textId="16BEA54C" w:rsidR="00167198" w:rsidRPr="007145ED" w:rsidRDefault="00167198" w:rsidP="007145ED">
            <w:r w:rsidRPr="007145ED">
              <w:t>MS-7</w:t>
            </w:r>
          </w:p>
        </w:tc>
        <w:tc>
          <w:tcPr>
            <w:tcW w:w="7938" w:type="dxa"/>
            <w:shd w:val="clear" w:color="auto" w:fill="FFFFFF" w:themeFill="background1"/>
          </w:tcPr>
          <w:p w14:paraId="50B16975" w14:textId="59CBCA46" w:rsidR="00167198" w:rsidRPr="007145ED" w:rsidRDefault="00167198" w:rsidP="007145ED">
            <w:r w:rsidRPr="007145ED">
              <w:t>Provedba interdisciplinarnog istraživanja potencijala za geološko skladištenje CO</w:t>
            </w:r>
            <w:r w:rsidRPr="007145ED">
              <w:rPr>
                <w:vertAlign w:val="subscript"/>
              </w:rPr>
              <w:t>2</w:t>
            </w:r>
            <w:r w:rsidRPr="007145ED">
              <w:t xml:space="preserve"> u Republici Hrvatskoj</w:t>
            </w:r>
          </w:p>
        </w:tc>
      </w:tr>
      <w:tr w:rsidR="00B528B3" w14:paraId="458DADF8" w14:textId="77777777" w:rsidTr="007145ED">
        <w:tc>
          <w:tcPr>
            <w:tcW w:w="1129" w:type="dxa"/>
            <w:shd w:val="clear" w:color="auto" w:fill="FFFFFF" w:themeFill="background1"/>
          </w:tcPr>
          <w:p w14:paraId="7965085B" w14:textId="5520C50F" w:rsidR="00B528B3" w:rsidRPr="007145ED" w:rsidRDefault="00B528B3" w:rsidP="007145ED">
            <w:r>
              <w:t>MS-8</w:t>
            </w:r>
          </w:p>
        </w:tc>
        <w:tc>
          <w:tcPr>
            <w:tcW w:w="7938" w:type="dxa"/>
            <w:shd w:val="clear" w:color="auto" w:fill="FFFFFF" w:themeFill="background1"/>
          </w:tcPr>
          <w:p w14:paraId="33FE8053" w14:textId="3140B268" w:rsidR="00B528B3" w:rsidRPr="007145ED" w:rsidRDefault="00B528B3" w:rsidP="007145ED">
            <w:r>
              <w:t>Unaprjeđenje održivosti urbanih sredina</w:t>
            </w:r>
          </w:p>
        </w:tc>
      </w:tr>
      <w:tr w:rsidR="00167198" w14:paraId="53A6E3DB" w14:textId="77777777" w:rsidTr="007145ED">
        <w:tc>
          <w:tcPr>
            <w:tcW w:w="1129" w:type="dxa"/>
            <w:shd w:val="clear" w:color="auto" w:fill="FFFFFF" w:themeFill="background1"/>
          </w:tcPr>
          <w:p w14:paraId="3B89F8AC" w14:textId="6C95E005" w:rsidR="00167198" w:rsidRPr="007145ED" w:rsidRDefault="00167198" w:rsidP="007145ED">
            <w:r w:rsidRPr="007145ED">
              <w:rPr>
                <w:rFonts w:cs="Arial"/>
              </w:rPr>
              <w:t>IP-1</w:t>
            </w:r>
          </w:p>
        </w:tc>
        <w:tc>
          <w:tcPr>
            <w:tcW w:w="7938" w:type="dxa"/>
            <w:shd w:val="clear" w:color="auto" w:fill="FFFFFF" w:themeFill="background1"/>
          </w:tcPr>
          <w:p w14:paraId="37159FF9" w14:textId="7C127EC2" w:rsidR="00167198" w:rsidRPr="007145ED" w:rsidRDefault="00167198" w:rsidP="007145ED">
            <w:r w:rsidRPr="007145ED">
              <w:rPr>
                <w:rFonts w:cs="Arial"/>
              </w:rPr>
              <w:t>Smanjenje emisije hlapljivih organskih spojeva u sektoru uporabe otapala</w:t>
            </w:r>
          </w:p>
        </w:tc>
      </w:tr>
      <w:tr w:rsidR="00167198" w14:paraId="587C9D27" w14:textId="77777777" w:rsidTr="007145ED">
        <w:tc>
          <w:tcPr>
            <w:tcW w:w="1129" w:type="dxa"/>
            <w:shd w:val="clear" w:color="auto" w:fill="FFFFFF" w:themeFill="background1"/>
          </w:tcPr>
          <w:p w14:paraId="67E7C489" w14:textId="429EB53A" w:rsidR="00167198" w:rsidRPr="007145ED" w:rsidRDefault="00167198" w:rsidP="007145ED">
            <w:r w:rsidRPr="007145ED">
              <w:rPr>
                <w:rFonts w:cs="Arial"/>
              </w:rPr>
              <w:t>IP-2</w:t>
            </w:r>
          </w:p>
        </w:tc>
        <w:tc>
          <w:tcPr>
            <w:tcW w:w="7938" w:type="dxa"/>
            <w:shd w:val="clear" w:color="auto" w:fill="FFFFFF" w:themeFill="background1"/>
          </w:tcPr>
          <w:p w14:paraId="416B9D41" w14:textId="601C2251" w:rsidR="00167198" w:rsidRPr="007145ED" w:rsidRDefault="00167198" w:rsidP="007145ED">
            <w:r w:rsidRPr="007145ED">
              <w:rPr>
                <w:rFonts w:cs="Arial"/>
              </w:rPr>
              <w:t>Postupanje s tvarima koje oštećuju ozonski sloj i fluoriranim stakleničkim plinovima</w:t>
            </w:r>
          </w:p>
        </w:tc>
      </w:tr>
      <w:tr w:rsidR="00167198" w14:paraId="5FD63083" w14:textId="77777777" w:rsidTr="007145ED">
        <w:tc>
          <w:tcPr>
            <w:tcW w:w="1129" w:type="dxa"/>
            <w:shd w:val="clear" w:color="auto" w:fill="FFFFFF" w:themeFill="background1"/>
          </w:tcPr>
          <w:p w14:paraId="0C7534F3" w14:textId="07AC4BFE" w:rsidR="00167198" w:rsidRPr="007145ED" w:rsidRDefault="00167198" w:rsidP="007145ED">
            <w:r w:rsidRPr="007145ED">
              <w:rPr>
                <w:rFonts w:cs="Arial"/>
              </w:rPr>
              <w:t>IP-3</w:t>
            </w:r>
          </w:p>
        </w:tc>
        <w:tc>
          <w:tcPr>
            <w:tcW w:w="7938" w:type="dxa"/>
            <w:shd w:val="clear" w:color="auto" w:fill="FFFFFF" w:themeFill="background1"/>
          </w:tcPr>
          <w:p w14:paraId="077CF52B" w14:textId="7ECFDF09" w:rsidR="00167198" w:rsidRPr="007145ED" w:rsidRDefault="00167198" w:rsidP="007145ED">
            <w:r w:rsidRPr="007145ED">
              <w:rPr>
                <w:rFonts w:cs="Arial"/>
              </w:rPr>
              <w:t>Tehničke i organizacijske mjere prikupljanja, obnavljanja, oporabe i uništavanja kontroliranih tvari i fluoriranih stakleničkih plinova</w:t>
            </w:r>
          </w:p>
        </w:tc>
      </w:tr>
      <w:tr w:rsidR="00167198" w14:paraId="681ECA03" w14:textId="77777777" w:rsidTr="007145ED">
        <w:tc>
          <w:tcPr>
            <w:tcW w:w="1129" w:type="dxa"/>
            <w:shd w:val="clear" w:color="auto" w:fill="FFFFFF" w:themeFill="background1"/>
          </w:tcPr>
          <w:p w14:paraId="602A0E45" w14:textId="2F6C2ED9" w:rsidR="00167198" w:rsidRPr="007145ED" w:rsidRDefault="00167198" w:rsidP="007145ED">
            <w:r w:rsidRPr="007145ED">
              <w:rPr>
                <w:rFonts w:cs="Arial"/>
              </w:rPr>
              <w:t>IP-4</w:t>
            </w:r>
          </w:p>
        </w:tc>
        <w:tc>
          <w:tcPr>
            <w:tcW w:w="7938" w:type="dxa"/>
            <w:shd w:val="clear" w:color="auto" w:fill="FFFFFF" w:themeFill="background1"/>
          </w:tcPr>
          <w:p w14:paraId="48726879" w14:textId="7D152653" w:rsidR="00167198" w:rsidRPr="007145ED" w:rsidRDefault="00167198" w:rsidP="007145ED">
            <w:r w:rsidRPr="007145ED">
              <w:rPr>
                <w:rFonts w:cs="Arial"/>
              </w:rPr>
              <w:t>Izgradnja kapaciteta i jačanje znanja ovlaštenih servisera</w:t>
            </w:r>
          </w:p>
        </w:tc>
      </w:tr>
      <w:tr w:rsidR="00167198" w14:paraId="3598A145" w14:textId="77777777" w:rsidTr="007145ED">
        <w:tc>
          <w:tcPr>
            <w:tcW w:w="1129" w:type="dxa"/>
            <w:shd w:val="clear" w:color="auto" w:fill="FFFFFF" w:themeFill="background1"/>
          </w:tcPr>
          <w:p w14:paraId="6AA06F6A" w14:textId="24F866D5" w:rsidR="00167198" w:rsidRPr="007145ED" w:rsidRDefault="00167198" w:rsidP="007145ED">
            <w:r w:rsidRPr="007145ED">
              <w:rPr>
                <w:rFonts w:cs="Arial"/>
              </w:rPr>
              <w:t>IP-5</w:t>
            </w:r>
          </w:p>
        </w:tc>
        <w:tc>
          <w:tcPr>
            <w:tcW w:w="7938" w:type="dxa"/>
            <w:shd w:val="clear" w:color="auto" w:fill="FFFFFF" w:themeFill="background1"/>
          </w:tcPr>
          <w:p w14:paraId="27DF1E42" w14:textId="3B8B2998" w:rsidR="00167198" w:rsidRPr="007145ED" w:rsidRDefault="00167198" w:rsidP="007145ED">
            <w:r w:rsidRPr="007145ED">
              <w:rPr>
                <w:rFonts w:cs="Arial"/>
              </w:rPr>
              <w:t>Provjera propuštanja kontroliranih tvari i flu</w:t>
            </w:r>
            <w:r w:rsidR="00F947B4">
              <w:rPr>
                <w:rFonts w:cs="Arial"/>
              </w:rPr>
              <w:t>o</w:t>
            </w:r>
            <w:r w:rsidRPr="007145ED">
              <w:rPr>
                <w:rFonts w:cs="Arial"/>
              </w:rPr>
              <w:t>riranih stakleničkih plinova</w:t>
            </w:r>
          </w:p>
        </w:tc>
      </w:tr>
      <w:tr w:rsidR="00167198" w14:paraId="5F7236AD" w14:textId="77777777" w:rsidTr="007145ED">
        <w:tc>
          <w:tcPr>
            <w:tcW w:w="1129" w:type="dxa"/>
            <w:shd w:val="clear" w:color="auto" w:fill="FFFFFF" w:themeFill="background1"/>
          </w:tcPr>
          <w:p w14:paraId="03440FCB" w14:textId="50A1E3B9" w:rsidR="00167198" w:rsidRPr="007145ED" w:rsidRDefault="00167198" w:rsidP="007145ED">
            <w:r w:rsidRPr="007145ED">
              <w:rPr>
                <w:rFonts w:cs="Arial"/>
              </w:rPr>
              <w:t>IP-6</w:t>
            </w:r>
          </w:p>
        </w:tc>
        <w:tc>
          <w:tcPr>
            <w:tcW w:w="7938" w:type="dxa"/>
            <w:shd w:val="clear" w:color="auto" w:fill="FFFFFF" w:themeFill="background1"/>
          </w:tcPr>
          <w:p w14:paraId="651E88C7" w14:textId="201B4139" w:rsidR="00167198" w:rsidRPr="007145ED" w:rsidRDefault="00167198" w:rsidP="007145ED">
            <w:r w:rsidRPr="007145ED">
              <w:rPr>
                <w:rFonts w:cs="Arial"/>
              </w:rPr>
              <w:t>Naknada za pokriće troškova prikupljanja, obnavljanja, oporabe i uništavanja kontroliranih tvari i fluoriranih stakleničkih plinova</w:t>
            </w:r>
          </w:p>
        </w:tc>
      </w:tr>
      <w:tr w:rsidR="00167198" w14:paraId="24E652A2" w14:textId="77777777" w:rsidTr="007145ED">
        <w:tc>
          <w:tcPr>
            <w:tcW w:w="1129" w:type="dxa"/>
            <w:shd w:val="clear" w:color="auto" w:fill="FFFFFF" w:themeFill="background1"/>
          </w:tcPr>
          <w:p w14:paraId="32059A2D" w14:textId="6F2DC462" w:rsidR="00167198" w:rsidRPr="007145ED" w:rsidRDefault="00167198" w:rsidP="007145ED">
            <w:r w:rsidRPr="007145ED">
              <w:rPr>
                <w:rFonts w:cs="Arial"/>
              </w:rPr>
              <w:t>GO-1</w:t>
            </w:r>
          </w:p>
        </w:tc>
        <w:tc>
          <w:tcPr>
            <w:tcW w:w="7938" w:type="dxa"/>
            <w:shd w:val="clear" w:color="auto" w:fill="FFFFFF" w:themeFill="background1"/>
          </w:tcPr>
          <w:p w14:paraId="1BF86FD0" w14:textId="18D64550" w:rsidR="00167198" w:rsidRPr="007145ED" w:rsidRDefault="00167198" w:rsidP="007145ED">
            <w:r w:rsidRPr="007145ED">
              <w:rPr>
                <w:rFonts w:cs="Arial"/>
              </w:rPr>
              <w:t>Sprječavanje nastajanja i smanjivanje količine krutog komunalnog otpada</w:t>
            </w:r>
          </w:p>
        </w:tc>
      </w:tr>
      <w:tr w:rsidR="00167198" w14:paraId="25C75091" w14:textId="77777777" w:rsidTr="007145ED">
        <w:tc>
          <w:tcPr>
            <w:tcW w:w="1129" w:type="dxa"/>
            <w:shd w:val="clear" w:color="auto" w:fill="FFFFFF" w:themeFill="background1"/>
          </w:tcPr>
          <w:p w14:paraId="36AE4E00" w14:textId="77CC9CC1" w:rsidR="00167198" w:rsidRPr="007145ED" w:rsidRDefault="00167198" w:rsidP="007145ED">
            <w:r w:rsidRPr="007145ED">
              <w:rPr>
                <w:rFonts w:cs="Arial"/>
              </w:rPr>
              <w:t>GO-2</w:t>
            </w:r>
          </w:p>
        </w:tc>
        <w:tc>
          <w:tcPr>
            <w:tcW w:w="7938" w:type="dxa"/>
            <w:shd w:val="clear" w:color="auto" w:fill="FFFFFF" w:themeFill="background1"/>
          </w:tcPr>
          <w:p w14:paraId="57F32460" w14:textId="2339B474" w:rsidR="00167198" w:rsidRPr="007145ED" w:rsidRDefault="00167198" w:rsidP="007145ED">
            <w:r w:rsidRPr="007145ED">
              <w:rPr>
                <w:rFonts w:cs="Arial"/>
              </w:rPr>
              <w:t>Povećanje količine odvojeno skupljenog i recikliranog krutog komunalnog otpada</w:t>
            </w:r>
          </w:p>
        </w:tc>
      </w:tr>
      <w:tr w:rsidR="00167198" w14:paraId="4B47E17E" w14:textId="77777777" w:rsidTr="007145ED">
        <w:tc>
          <w:tcPr>
            <w:tcW w:w="1129" w:type="dxa"/>
            <w:shd w:val="clear" w:color="auto" w:fill="FFFFFF" w:themeFill="background1"/>
          </w:tcPr>
          <w:p w14:paraId="1C3ADABB" w14:textId="4A649169" w:rsidR="00167198" w:rsidRPr="007145ED" w:rsidRDefault="00167198" w:rsidP="007145ED">
            <w:pPr>
              <w:rPr>
                <w:rFonts w:cs="Arial"/>
              </w:rPr>
            </w:pPr>
            <w:r w:rsidRPr="007145ED">
              <w:rPr>
                <w:rFonts w:cs="Arial"/>
              </w:rPr>
              <w:t>GO-3</w:t>
            </w:r>
          </w:p>
        </w:tc>
        <w:tc>
          <w:tcPr>
            <w:tcW w:w="7938" w:type="dxa"/>
            <w:shd w:val="clear" w:color="auto" w:fill="FFFFFF" w:themeFill="background1"/>
          </w:tcPr>
          <w:p w14:paraId="18E60483" w14:textId="26028993" w:rsidR="00167198" w:rsidRPr="007145ED" w:rsidRDefault="00167198" w:rsidP="007145ED">
            <w:pPr>
              <w:rPr>
                <w:rFonts w:cs="Arial"/>
              </w:rPr>
            </w:pPr>
            <w:r w:rsidRPr="007145ED">
              <w:rPr>
                <w:rFonts w:cs="Arial"/>
              </w:rPr>
              <w:t>Spaljivanje metana na baklji</w:t>
            </w:r>
          </w:p>
        </w:tc>
      </w:tr>
      <w:tr w:rsidR="00167198" w14:paraId="7340C93D" w14:textId="77777777" w:rsidTr="007145ED">
        <w:tc>
          <w:tcPr>
            <w:tcW w:w="1129" w:type="dxa"/>
            <w:shd w:val="clear" w:color="auto" w:fill="FFFFFF" w:themeFill="background1"/>
          </w:tcPr>
          <w:p w14:paraId="1BDA9309" w14:textId="6079C62F" w:rsidR="00167198" w:rsidRPr="007145ED" w:rsidRDefault="00167198" w:rsidP="007145ED">
            <w:pPr>
              <w:rPr>
                <w:rFonts w:cs="Arial"/>
              </w:rPr>
            </w:pPr>
            <w:r w:rsidRPr="007145ED">
              <w:rPr>
                <w:rFonts w:cs="Arial"/>
              </w:rPr>
              <w:t>GO-4</w:t>
            </w:r>
          </w:p>
        </w:tc>
        <w:tc>
          <w:tcPr>
            <w:tcW w:w="7938" w:type="dxa"/>
            <w:shd w:val="clear" w:color="auto" w:fill="FFFFFF" w:themeFill="background1"/>
          </w:tcPr>
          <w:p w14:paraId="2B478EDF" w14:textId="5EC5AC8F" w:rsidR="00167198" w:rsidRPr="007145ED" w:rsidRDefault="00167198" w:rsidP="007145ED">
            <w:pPr>
              <w:rPr>
                <w:rFonts w:cs="Arial"/>
              </w:rPr>
            </w:pPr>
            <w:r w:rsidRPr="007145ED">
              <w:rPr>
                <w:rFonts w:cs="Arial"/>
              </w:rPr>
              <w:t>Smanjenje količine odloženog biorazgradivog krutog komunalnog otpada</w:t>
            </w:r>
          </w:p>
        </w:tc>
      </w:tr>
      <w:tr w:rsidR="00167198" w14:paraId="58B78E03" w14:textId="77777777" w:rsidTr="007145ED">
        <w:tc>
          <w:tcPr>
            <w:tcW w:w="1129" w:type="dxa"/>
            <w:shd w:val="clear" w:color="auto" w:fill="FFFFFF" w:themeFill="background1"/>
          </w:tcPr>
          <w:p w14:paraId="540F1214" w14:textId="06CC1198" w:rsidR="00167198" w:rsidRPr="007145ED" w:rsidRDefault="00167198" w:rsidP="007145ED">
            <w:pPr>
              <w:rPr>
                <w:rFonts w:cs="Arial"/>
              </w:rPr>
            </w:pPr>
            <w:r w:rsidRPr="007145ED">
              <w:rPr>
                <w:rFonts w:cs="Arial"/>
              </w:rPr>
              <w:t>GO-5</w:t>
            </w:r>
          </w:p>
        </w:tc>
        <w:tc>
          <w:tcPr>
            <w:tcW w:w="7938" w:type="dxa"/>
            <w:shd w:val="clear" w:color="auto" w:fill="FFFFFF" w:themeFill="background1"/>
          </w:tcPr>
          <w:p w14:paraId="613566D9" w14:textId="354C017D" w:rsidR="00167198" w:rsidRPr="007145ED" w:rsidRDefault="00167198" w:rsidP="007145ED">
            <w:pPr>
              <w:rPr>
                <w:rFonts w:cs="Arial"/>
              </w:rPr>
            </w:pPr>
            <w:r w:rsidRPr="007145ED">
              <w:rPr>
                <w:rFonts w:cs="Arial"/>
              </w:rPr>
              <w:t>Korištenje bioplina za proizvodnju</w:t>
            </w:r>
            <w:r w:rsidR="00336254">
              <w:rPr>
                <w:rFonts w:cs="Arial"/>
              </w:rPr>
              <w:t xml:space="preserve"> biometana,</w:t>
            </w:r>
            <w:r w:rsidRPr="007145ED">
              <w:rPr>
                <w:rFonts w:cs="Arial"/>
              </w:rPr>
              <w:t xml:space="preserve"> električne energije i topline</w:t>
            </w:r>
          </w:p>
        </w:tc>
      </w:tr>
      <w:tr w:rsidR="00167198" w14:paraId="15A42D9C" w14:textId="77777777" w:rsidTr="007145ED">
        <w:tc>
          <w:tcPr>
            <w:tcW w:w="1129" w:type="dxa"/>
            <w:shd w:val="clear" w:color="auto" w:fill="FFFFFF" w:themeFill="background1"/>
          </w:tcPr>
          <w:p w14:paraId="3C142531" w14:textId="5C30915C" w:rsidR="00167198" w:rsidRPr="007145ED" w:rsidRDefault="00167198" w:rsidP="007145ED">
            <w:pPr>
              <w:rPr>
                <w:rFonts w:cs="Arial"/>
              </w:rPr>
            </w:pPr>
            <w:r w:rsidRPr="007145ED">
              <w:rPr>
                <w:rFonts w:cs="Arial"/>
              </w:rPr>
              <w:t>POLJ-1</w:t>
            </w:r>
          </w:p>
        </w:tc>
        <w:tc>
          <w:tcPr>
            <w:tcW w:w="7938" w:type="dxa"/>
            <w:shd w:val="clear" w:color="auto" w:fill="FFFFFF" w:themeFill="background1"/>
          </w:tcPr>
          <w:p w14:paraId="6BE39A52" w14:textId="7172CD08" w:rsidR="00167198" w:rsidRPr="007145ED" w:rsidRDefault="00167198" w:rsidP="007145ED">
            <w:pPr>
              <w:rPr>
                <w:rFonts w:cs="Arial"/>
              </w:rPr>
            </w:pPr>
            <w:r w:rsidRPr="007145ED">
              <w:rPr>
                <w:rFonts w:cs="Arial"/>
              </w:rPr>
              <w:t>Promjena u prehrani stoke i svinja i kvaliteta stočne hrane</w:t>
            </w:r>
          </w:p>
        </w:tc>
      </w:tr>
      <w:tr w:rsidR="00167198" w14:paraId="0108B07D" w14:textId="77777777" w:rsidTr="007145ED">
        <w:tc>
          <w:tcPr>
            <w:tcW w:w="1129" w:type="dxa"/>
            <w:shd w:val="clear" w:color="auto" w:fill="FFFFFF" w:themeFill="background1"/>
          </w:tcPr>
          <w:p w14:paraId="60A51A85" w14:textId="4DD1560D" w:rsidR="00167198" w:rsidRPr="007145ED" w:rsidRDefault="00167198" w:rsidP="007145ED">
            <w:pPr>
              <w:rPr>
                <w:rFonts w:cs="Arial"/>
              </w:rPr>
            </w:pPr>
            <w:r w:rsidRPr="007145ED">
              <w:rPr>
                <w:rFonts w:cs="Arial"/>
              </w:rPr>
              <w:t>POLJ-2</w:t>
            </w:r>
          </w:p>
        </w:tc>
        <w:tc>
          <w:tcPr>
            <w:tcW w:w="7938" w:type="dxa"/>
            <w:shd w:val="clear" w:color="auto" w:fill="FFFFFF" w:themeFill="background1"/>
          </w:tcPr>
          <w:p w14:paraId="38F7446C" w14:textId="3855C773" w:rsidR="00167198" w:rsidRPr="007145ED" w:rsidRDefault="00167198" w:rsidP="007145ED">
            <w:pPr>
              <w:rPr>
                <w:rFonts w:cs="Arial"/>
              </w:rPr>
            </w:pPr>
            <w:r w:rsidRPr="007145ED">
              <w:rPr>
                <w:rFonts w:cs="Arial"/>
              </w:rPr>
              <w:t>Anaerobna razgradnja gnoja i proizvodnja bioplina</w:t>
            </w:r>
          </w:p>
        </w:tc>
      </w:tr>
      <w:tr w:rsidR="00167198" w14:paraId="78305495" w14:textId="77777777" w:rsidTr="007145ED">
        <w:tc>
          <w:tcPr>
            <w:tcW w:w="1129" w:type="dxa"/>
            <w:shd w:val="clear" w:color="auto" w:fill="FFFFFF" w:themeFill="background1"/>
          </w:tcPr>
          <w:p w14:paraId="3FA42E5F" w14:textId="067041F3" w:rsidR="00167198" w:rsidRPr="007145ED" w:rsidRDefault="00167198" w:rsidP="007145ED">
            <w:pPr>
              <w:rPr>
                <w:rFonts w:cs="Arial"/>
              </w:rPr>
            </w:pPr>
            <w:r w:rsidRPr="007145ED">
              <w:rPr>
                <w:rFonts w:cs="Arial"/>
              </w:rPr>
              <w:t>POLJ-3</w:t>
            </w:r>
          </w:p>
        </w:tc>
        <w:tc>
          <w:tcPr>
            <w:tcW w:w="7938" w:type="dxa"/>
            <w:shd w:val="clear" w:color="auto" w:fill="FFFFFF" w:themeFill="background1"/>
          </w:tcPr>
          <w:p w14:paraId="1893C66F" w14:textId="768FD1CB" w:rsidR="00167198" w:rsidRPr="007145ED" w:rsidRDefault="00167198" w:rsidP="007145ED">
            <w:pPr>
              <w:rPr>
                <w:rFonts w:cs="Arial"/>
              </w:rPr>
            </w:pPr>
            <w:r w:rsidRPr="007145ED">
              <w:rPr>
                <w:rFonts w:cs="Arial"/>
              </w:rPr>
              <w:t>Poboljšanje stočarskih postrojenja i sustava upravljanja životinjskim otpadom</w:t>
            </w:r>
          </w:p>
        </w:tc>
      </w:tr>
      <w:tr w:rsidR="00167198" w14:paraId="0484DB22" w14:textId="77777777" w:rsidTr="007145ED">
        <w:tc>
          <w:tcPr>
            <w:tcW w:w="1129" w:type="dxa"/>
            <w:shd w:val="clear" w:color="auto" w:fill="FFFFFF" w:themeFill="background1"/>
          </w:tcPr>
          <w:p w14:paraId="44D9A3D7" w14:textId="3865DA6D" w:rsidR="00167198" w:rsidRPr="007145ED" w:rsidRDefault="00167198" w:rsidP="007145ED">
            <w:pPr>
              <w:rPr>
                <w:rFonts w:cs="Arial"/>
              </w:rPr>
            </w:pPr>
            <w:r w:rsidRPr="007145ED">
              <w:rPr>
                <w:rFonts w:cs="Arial"/>
              </w:rPr>
              <w:t>POLJ-4</w:t>
            </w:r>
          </w:p>
        </w:tc>
        <w:tc>
          <w:tcPr>
            <w:tcW w:w="7938" w:type="dxa"/>
            <w:shd w:val="clear" w:color="auto" w:fill="FFFFFF" w:themeFill="background1"/>
          </w:tcPr>
          <w:p w14:paraId="6C6F4A5E" w14:textId="1C61C0D1" w:rsidR="00167198" w:rsidRPr="007145ED" w:rsidRDefault="00167198" w:rsidP="007145ED">
            <w:pPr>
              <w:rPr>
                <w:rFonts w:cs="Arial"/>
              </w:rPr>
            </w:pPr>
            <w:r w:rsidRPr="007145ED">
              <w:rPr>
                <w:rFonts w:cs="Arial"/>
              </w:rPr>
              <w:t>Poboljšanje metoda primjene mineralnih gnojiva</w:t>
            </w:r>
          </w:p>
        </w:tc>
      </w:tr>
      <w:tr w:rsidR="00167198" w14:paraId="2933A3CE" w14:textId="77777777" w:rsidTr="007145ED">
        <w:tc>
          <w:tcPr>
            <w:tcW w:w="1129" w:type="dxa"/>
            <w:shd w:val="clear" w:color="auto" w:fill="FFFFFF" w:themeFill="background1"/>
          </w:tcPr>
          <w:p w14:paraId="29DDDA17" w14:textId="5A409A3A" w:rsidR="00167198" w:rsidRPr="007145ED" w:rsidRDefault="00642B7C" w:rsidP="007145ED">
            <w:pPr>
              <w:rPr>
                <w:rFonts w:cs="Arial"/>
              </w:rPr>
            </w:pPr>
            <w:r w:rsidRPr="007145ED">
              <w:rPr>
                <w:rFonts w:cs="Arial"/>
              </w:rPr>
              <w:t>POLJ-5</w:t>
            </w:r>
          </w:p>
        </w:tc>
        <w:tc>
          <w:tcPr>
            <w:tcW w:w="7938" w:type="dxa"/>
            <w:shd w:val="clear" w:color="auto" w:fill="FFFFFF" w:themeFill="background1"/>
          </w:tcPr>
          <w:p w14:paraId="3F04761A" w14:textId="48720BEF" w:rsidR="00167198" w:rsidRPr="007145ED" w:rsidRDefault="00642B7C" w:rsidP="007145ED">
            <w:pPr>
              <w:rPr>
                <w:rFonts w:cs="Arial"/>
              </w:rPr>
            </w:pPr>
            <w:r w:rsidRPr="007145ED">
              <w:rPr>
                <w:rFonts w:cs="Arial"/>
              </w:rPr>
              <w:t>Hidrotehnički zahvati i sustavi zaštite od prirodnih katastrofa</w:t>
            </w:r>
          </w:p>
        </w:tc>
      </w:tr>
      <w:tr w:rsidR="00167198" w14:paraId="7504EA72" w14:textId="77777777" w:rsidTr="007145ED">
        <w:tc>
          <w:tcPr>
            <w:tcW w:w="1129" w:type="dxa"/>
            <w:shd w:val="clear" w:color="auto" w:fill="FFFFFF" w:themeFill="background1"/>
          </w:tcPr>
          <w:p w14:paraId="252A97AB" w14:textId="27825003" w:rsidR="00167198" w:rsidRPr="007145ED" w:rsidRDefault="00642B7C" w:rsidP="007145ED">
            <w:pPr>
              <w:rPr>
                <w:rFonts w:cs="Arial"/>
              </w:rPr>
            </w:pPr>
            <w:r w:rsidRPr="007145ED">
              <w:rPr>
                <w:rFonts w:cs="Arial"/>
              </w:rPr>
              <w:t>POLJ-6</w:t>
            </w:r>
          </w:p>
        </w:tc>
        <w:tc>
          <w:tcPr>
            <w:tcW w:w="7938" w:type="dxa"/>
            <w:shd w:val="clear" w:color="auto" w:fill="FFFFFF" w:themeFill="background1"/>
          </w:tcPr>
          <w:p w14:paraId="6E094765" w14:textId="4B8424BD" w:rsidR="00167198" w:rsidRPr="007145ED" w:rsidRDefault="00642B7C" w:rsidP="007145ED">
            <w:pPr>
              <w:rPr>
                <w:rFonts w:cs="Arial"/>
              </w:rPr>
            </w:pPr>
            <w:r w:rsidRPr="007145ED">
              <w:rPr>
                <w:rFonts w:cs="Arial"/>
              </w:rPr>
              <w:t>Uvođenje novih kultivara, sorti i vrsta</w:t>
            </w:r>
          </w:p>
        </w:tc>
      </w:tr>
      <w:tr w:rsidR="00167198" w14:paraId="2FD38B63" w14:textId="77777777" w:rsidTr="007145ED">
        <w:tc>
          <w:tcPr>
            <w:tcW w:w="1129" w:type="dxa"/>
            <w:shd w:val="clear" w:color="auto" w:fill="FFFFFF" w:themeFill="background1"/>
          </w:tcPr>
          <w:p w14:paraId="1F72A982" w14:textId="2BDB8954" w:rsidR="00167198" w:rsidRPr="007145ED" w:rsidRDefault="00642B7C" w:rsidP="007145ED">
            <w:pPr>
              <w:rPr>
                <w:rFonts w:cs="Arial"/>
              </w:rPr>
            </w:pPr>
            <w:r w:rsidRPr="007145ED">
              <w:rPr>
                <w:rFonts w:cs="Arial"/>
              </w:rPr>
              <w:t>POLJ-7</w:t>
            </w:r>
          </w:p>
        </w:tc>
        <w:tc>
          <w:tcPr>
            <w:tcW w:w="7938" w:type="dxa"/>
            <w:shd w:val="clear" w:color="auto" w:fill="FFFFFF" w:themeFill="background1"/>
          </w:tcPr>
          <w:p w14:paraId="0CDDB0C7" w14:textId="3CBB5F2E" w:rsidR="00167198" w:rsidRPr="007145ED" w:rsidRDefault="00642B7C" w:rsidP="007145ED">
            <w:pPr>
              <w:rPr>
                <w:rFonts w:cs="Arial"/>
              </w:rPr>
            </w:pPr>
            <w:r w:rsidRPr="007145ED">
              <w:rPr>
                <w:rFonts w:cs="Arial"/>
              </w:rPr>
              <w:t>Provedba programa ruralnog razvoja</w:t>
            </w:r>
          </w:p>
        </w:tc>
      </w:tr>
      <w:tr w:rsidR="00167198" w14:paraId="5FA399B0" w14:textId="77777777" w:rsidTr="007145ED">
        <w:tc>
          <w:tcPr>
            <w:tcW w:w="1129" w:type="dxa"/>
            <w:shd w:val="clear" w:color="auto" w:fill="FFFFFF" w:themeFill="background1"/>
          </w:tcPr>
          <w:p w14:paraId="3E2FD2E9" w14:textId="41CB072C" w:rsidR="00167198" w:rsidRPr="007145ED" w:rsidRDefault="00642B7C" w:rsidP="007145ED">
            <w:pPr>
              <w:rPr>
                <w:rFonts w:cs="Arial"/>
              </w:rPr>
            </w:pPr>
            <w:r w:rsidRPr="007145ED">
              <w:rPr>
                <w:rFonts w:cs="Arial"/>
              </w:rPr>
              <w:t>POLJ-8</w:t>
            </w:r>
          </w:p>
        </w:tc>
        <w:tc>
          <w:tcPr>
            <w:tcW w:w="7938" w:type="dxa"/>
            <w:shd w:val="clear" w:color="auto" w:fill="FFFFFF" w:themeFill="background1"/>
          </w:tcPr>
          <w:p w14:paraId="4BBAFDB3" w14:textId="3BA4F154" w:rsidR="00167198" w:rsidRPr="007145ED" w:rsidRDefault="00642B7C" w:rsidP="007145ED">
            <w:pPr>
              <w:rPr>
                <w:rFonts w:cs="Arial"/>
              </w:rPr>
            </w:pPr>
            <w:r w:rsidRPr="007145ED">
              <w:rPr>
                <w:rFonts w:cs="Arial"/>
              </w:rPr>
              <w:t>Izgradnja kapaciteta poljoprivrednika</w:t>
            </w:r>
          </w:p>
        </w:tc>
      </w:tr>
      <w:tr w:rsidR="00167198" w14:paraId="31200FC2" w14:textId="77777777" w:rsidTr="007145ED">
        <w:tc>
          <w:tcPr>
            <w:tcW w:w="1129" w:type="dxa"/>
            <w:shd w:val="clear" w:color="auto" w:fill="FFFFFF" w:themeFill="background1"/>
          </w:tcPr>
          <w:p w14:paraId="17A29348" w14:textId="20F6908B" w:rsidR="00167198" w:rsidRPr="007145ED" w:rsidRDefault="00642B7C" w:rsidP="007145ED">
            <w:pPr>
              <w:rPr>
                <w:rFonts w:cs="Arial"/>
              </w:rPr>
            </w:pPr>
            <w:r w:rsidRPr="007145ED">
              <w:rPr>
                <w:rFonts w:cs="Arial"/>
              </w:rPr>
              <w:t>POLJ-9</w:t>
            </w:r>
          </w:p>
        </w:tc>
        <w:tc>
          <w:tcPr>
            <w:tcW w:w="7938" w:type="dxa"/>
            <w:shd w:val="clear" w:color="auto" w:fill="FFFFFF" w:themeFill="background1"/>
          </w:tcPr>
          <w:p w14:paraId="52F8E2C2" w14:textId="4249B6CC" w:rsidR="00167198" w:rsidRPr="007145ED" w:rsidRDefault="00642B7C" w:rsidP="007145ED">
            <w:pPr>
              <w:rPr>
                <w:rFonts w:cs="Arial"/>
              </w:rPr>
            </w:pPr>
            <w:r w:rsidRPr="007145ED">
              <w:rPr>
                <w:rFonts w:cs="Arial"/>
              </w:rPr>
              <w:t>Unapređenje regulatornog okvira za digestat</w:t>
            </w:r>
          </w:p>
        </w:tc>
      </w:tr>
      <w:tr w:rsidR="00167198" w14:paraId="5B083847" w14:textId="77777777" w:rsidTr="007145ED">
        <w:tc>
          <w:tcPr>
            <w:tcW w:w="1129" w:type="dxa"/>
            <w:shd w:val="clear" w:color="auto" w:fill="FFFFFF" w:themeFill="background1"/>
          </w:tcPr>
          <w:p w14:paraId="710F1CBA" w14:textId="6A95D776" w:rsidR="00167198" w:rsidRPr="007145ED" w:rsidRDefault="00642B7C" w:rsidP="007145ED">
            <w:pPr>
              <w:rPr>
                <w:rFonts w:cs="Arial"/>
              </w:rPr>
            </w:pPr>
            <w:r w:rsidRPr="007145ED">
              <w:rPr>
                <w:rFonts w:cs="Arial"/>
              </w:rPr>
              <w:t>POLJ-10</w:t>
            </w:r>
          </w:p>
        </w:tc>
        <w:tc>
          <w:tcPr>
            <w:tcW w:w="7938" w:type="dxa"/>
            <w:shd w:val="clear" w:color="auto" w:fill="FFFFFF" w:themeFill="background1"/>
          </w:tcPr>
          <w:p w14:paraId="6BCE0E51" w14:textId="332D43FC" w:rsidR="00167198" w:rsidRPr="007145ED" w:rsidRDefault="00642B7C" w:rsidP="007145ED">
            <w:pPr>
              <w:rPr>
                <w:rFonts w:cs="Arial"/>
              </w:rPr>
            </w:pPr>
            <w:r w:rsidRPr="007145ED">
              <w:rPr>
                <w:rFonts w:cs="Arial"/>
              </w:rPr>
              <w:t>Uspostava sabirno-logističkih centara za biomasu</w:t>
            </w:r>
          </w:p>
        </w:tc>
      </w:tr>
      <w:tr w:rsidR="00167198" w14:paraId="2A29AE1C" w14:textId="77777777" w:rsidTr="007145ED">
        <w:tc>
          <w:tcPr>
            <w:tcW w:w="1129" w:type="dxa"/>
            <w:shd w:val="clear" w:color="auto" w:fill="FFFFFF" w:themeFill="background1"/>
          </w:tcPr>
          <w:p w14:paraId="48F7E9FC" w14:textId="0A89AD15" w:rsidR="00167198" w:rsidRPr="007145ED" w:rsidRDefault="00642B7C" w:rsidP="007145ED">
            <w:pPr>
              <w:rPr>
                <w:rFonts w:cs="Arial"/>
              </w:rPr>
            </w:pPr>
            <w:r w:rsidRPr="007145ED">
              <w:rPr>
                <w:rFonts w:cs="Arial"/>
              </w:rPr>
              <w:t>LUF-1</w:t>
            </w:r>
          </w:p>
        </w:tc>
        <w:tc>
          <w:tcPr>
            <w:tcW w:w="7938" w:type="dxa"/>
            <w:shd w:val="clear" w:color="auto" w:fill="FFFFFF" w:themeFill="background1"/>
          </w:tcPr>
          <w:p w14:paraId="69D84DB3" w14:textId="46F6F108" w:rsidR="00167198" w:rsidRPr="007145ED" w:rsidRDefault="00642B7C" w:rsidP="007145ED">
            <w:pPr>
              <w:rPr>
                <w:rFonts w:cs="Arial"/>
              </w:rPr>
            </w:pPr>
            <w:r w:rsidRPr="007145ED">
              <w:rPr>
                <w:rFonts w:cs="Arial"/>
              </w:rPr>
              <w:t>Unaprjeđenje izvješćivanja iz sektora LULUCF</w:t>
            </w:r>
          </w:p>
        </w:tc>
      </w:tr>
      <w:tr w:rsidR="00167198" w14:paraId="328E4B3D" w14:textId="77777777" w:rsidTr="007145ED">
        <w:tc>
          <w:tcPr>
            <w:tcW w:w="1129" w:type="dxa"/>
            <w:shd w:val="clear" w:color="auto" w:fill="FFFFFF" w:themeFill="background1"/>
          </w:tcPr>
          <w:p w14:paraId="3B575F3E" w14:textId="3A45BCD0" w:rsidR="00167198" w:rsidRPr="007145ED" w:rsidRDefault="00642B7C" w:rsidP="007145ED">
            <w:pPr>
              <w:rPr>
                <w:rFonts w:cs="Arial"/>
              </w:rPr>
            </w:pPr>
            <w:r w:rsidRPr="007145ED">
              <w:rPr>
                <w:rFonts w:cs="Arial"/>
              </w:rPr>
              <w:t>LUF-2</w:t>
            </w:r>
          </w:p>
        </w:tc>
        <w:tc>
          <w:tcPr>
            <w:tcW w:w="7938" w:type="dxa"/>
            <w:shd w:val="clear" w:color="auto" w:fill="FFFFFF" w:themeFill="background1"/>
          </w:tcPr>
          <w:p w14:paraId="21ED9588" w14:textId="202B5AC3" w:rsidR="00167198" w:rsidRPr="007145ED" w:rsidRDefault="00642B7C" w:rsidP="007145ED">
            <w:pPr>
              <w:rPr>
                <w:rFonts w:cs="Arial"/>
              </w:rPr>
            </w:pPr>
            <w:r w:rsidRPr="007145ED">
              <w:rPr>
                <w:rFonts w:cs="Arial"/>
              </w:rPr>
              <w:t>Izrada analize troškova i koristi pošumljavanja na novim površinama i biološke obnove šuma kao mjere povećanja odliva u LULUCF sektoru</w:t>
            </w:r>
          </w:p>
        </w:tc>
      </w:tr>
      <w:tr w:rsidR="00167198" w14:paraId="360A4B91" w14:textId="77777777" w:rsidTr="007145ED">
        <w:tc>
          <w:tcPr>
            <w:tcW w:w="1129" w:type="dxa"/>
            <w:shd w:val="clear" w:color="auto" w:fill="FFFFFF" w:themeFill="background1"/>
          </w:tcPr>
          <w:p w14:paraId="1A4822CE" w14:textId="5B74C002" w:rsidR="00167198" w:rsidRPr="007145ED" w:rsidRDefault="00642B7C" w:rsidP="007145ED">
            <w:pPr>
              <w:rPr>
                <w:rFonts w:cs="Arial"/>
              </w:rPr>
            </w:pPr>
            <w:r w:rsidRPr="007145ED">
              <w:rPr>
                <w:rFonts w:cs="Arial"/>
              </w:rPr>
              <w:t>LUF-3</w:t>
            </w:r>
          </w:p>
        </w:tc>
        <w:tc>
          <w:tcPr>
            <w:tcW w:w="7938" w:type="dxa"/>
            <w:shd w:val="clear" w:color="auto" w:fill="FFFFFF" w:themeFill="background1"/>
          </w:tcPr>
          <w:p w14:paraId="5C6BFE5E" w14:textId="4161AE9E" w:rsidR="00167198" w:rsidRPr="007145ED" w:rsidRDefault="00642B7C" w:rsidP="007145ED">
            <w:pPr>
              <w:rPr>
                <w:rFonts w:cs="Arial"/>
              </w:rPr>
            </w:pPr>
            <w:r w:rsidRPr="007145ED">
              <w:rPr>
                <w:rFonts w:cs="Arial"/>
              </w:rPr>
              <w:t>Provedba Akcijskog plana za LULUCF sektor</w:t>
            </w:r>
          </w:p>
        </w:tc>
      </w:tr>
      <w:tr w:rsidR="00167198" w14:paraId="4677015B" w14:textId="77777777" w:rsidTr="007145ED">
        <w:tc>
          <w:tcPr>
            <w:tcW w:w="1129" w:type="dxa"/>
            <w:shd w:val="clear" w:color="auto" w:fill="FFFFFF" w:themeFill="background1"/>
          </w:tcPr>
          <w:p w14:paraId="6FEF2BF0" w14:textId="471E343A" w:rsidR="00167198" w:rsidRPr="007145ED" w:rsidRDefault="00642B7C" w:rsidP="007145ED">
            <w:pPr>
              <w:rPr>
                <w:rFonts w:cs="Arial"/>
              </w:rPr>
            </w:pPr>
            <w:r w:rsidRPr="007145ED">
              <w:t>OIE-1</w:t>
            </w:r>
          </w:p>
        </w:tc>
        <w:tc>
          <w:tcPr>
            <w:tcW w:w="7938" w:type="dxa"/>
            <w:shd w:val="clear" w:color="auto" w:fill="FFFFFF" w:themeFill="background1"/>
          </w:tcPr>
          <w:p w14:paraId="45757785" w14:textId="584AC2C0" w:rsidR="00167198" w:rsidRPr="007145ED" w:rsidRDefault="00642B7C" w:rsidP="007145ED">
            <w:pPr>
              <w:rPr>
                <w:rFonts w:cs="Arial"/>
              </w:rPr>
            </w:pPr>
            <w:r w:rsidRPr="007145ED">
              <w:t>Informativno-edukativne mjere</w:t>
            </w:r>
          </w:p>
        </w:tc>
      </w:tr>
      <w:tr w:rsidR="00167198" w14:paraId="0374FB49" w14:textId="77777777" w:rsidTr="007145ED">
        <w:tc>
          <w:tcPr>
            <w:tcW w:w="1129" w:type="dxa"/>
            <w:shd w:val="clear" w:color="auto" w:fill="FFFFFF" w:themeFill="background1"/>
          </w:tcPr>
          <w:p w14:paraId="5BC80683" w14:textId="2FB180C4" w:rsidR="00167198" w:rsidRPr="007145ED" w:rsidRDefault="00642B7C" w:rsidP="007145ED">
            <w:pPr>
              <w:rPr>
                <w:rFonts w:cs="Arial"/>
              </w:rPr>
            </w:pPr>
            <w:r w:rsidRPr="007145ED">
              <w:t>OIE-2</w:t>
            </w:r>
          </w:p>
        </w:tc>
        <w:tc>
          <w:tcPr>
            <w:tcW w:w="7938" w:type="dxa"/>
            <w:shd w:val="clear" w:color="auto" w:fill="FFFFFF" w:themeFill="background1"/>
          </w:tcPr>
          <w:p w14:paraId="23AEC980" w14:textId="79E33603" w:rsidR="00167198" w:rsidRPr="007145ED" w:rsidRDefault="00371B4B" w:rsidP="007145ED">
            <w:pPr>
              <w:rPr>
                <w:rFonts w:cs="Arial"/>
              </w:rPr>
            </w:pPr>
            <w:bookmarkStart w:id="20" w:name="_Hlk531872947"/>
            <w:r w:rsidRPr="00371B4B">
              <w:t>Prostorno-planski preduvjeti za korištenje obnovljivih izvora</w:t>
            </w:r>
            <w:bookmarkEnd w:id="20"/>
          </w:p>
        </w:tc>
      </w:tr>
      <w:tr w:rsidR="00550B5B" w14:paraId="1FE5319D" w14:textId="77777777" w:rsidTr="007145ED">
        <w:tc>
          <w:tcPr>
            <w:tcW w:w="1129" w:type="dxa"/>
            <w:shd w:val="clear" w:color="auto" w:fill="FFFFFF" w:themeFill="background1"/>
          </w:tcPr>
          <w:p w14:paraId="60FC7F14" w14:textId="444A5466" w:rsidR="00550B5B" w:rsidRPr="007145ED" w:rsidRDefault="00550B5B" w:rsidP="007145ED">
            <w:r>
              <w:t>OIE-3</w:t>
            </w:r>
          </w:p>
        </w:tc>
        <w:tc>
          <w:tcPr>
            <w:tcW w:w="7938" w:type="dxa"/>
            <w:shd w:val="clear" w:color="auto" w:fill="FFFFFF" w:themeFill="background1"/>
          </w:tcPr>
          <w:p w14:paraId="51A41C79" w14:textId="3AE91A0B" w:rsidR="00550B5B" w:rsidRPr="007145ED" w:rsidRDefault="00FA631F" w:rsidP="007145ED">
            <w:r w:rsidRPr="00FA631F">
              <w:t>Poticanje korištenja obnovljivih izvora energije za proizvodnju električne</w:t>
            </w:r>
            <w:r>
              <w:t xml:space="preserve"> i toplinske</w:t>
            </w:r>
            <w:r w:rsidRPr="00FA631F">
              <w:t xml:space="preserve"> energije</w:t>
            </w:r>
          </w:p>
        </w:tc>
      </w:tr>
      <w:tr w:rsidR="00167198" w14:paraId="06623619" w14:textId="77777777" w:rsidTr="007145ED">
        <w:tc>
          <w:tcPr>
            <w:tcW w:w="1129" w:type="dxa"/>
            <w:shd w:val="clear" w:color="auto" w:fill="FFFFFF" w:themeFill="background1"/>
          </w:tcPr>
          <w:p w14:paraId="51BFF56F" w14:textId="1C9C0F46" w:rsidR="00167198" w:rsidRPr="007145ED" w:rsidRDefault="00642B7C" w:rsidP="007145ED">
            <w:pPr>
              <w:rPr>
                <w:rFonts w:cs="Arial"/>
              </w:rPr>
            </w:pPr>
            <w:r w:rsidRPr="007145ED">
              <w:t>OIE-</w:t>
            </w:r>
            <w:r w:rsidR="009F05B9">
              <w:t>4</w:t>
            </w:r>
          </w:p>
        </w:tc>
        <w:tc>
          <w:tcPr>
            <w:tcW w:w="7938" w:type="dxa"/>
            <w:shd w:val="clear" w:color="auto" w:fill="FFFFFF" w:themeFill="background1"/>
          </w:tcPr>
          <w:p w14:paraId="4C3773CC" w14:textId="245688E4" w:rsidR="00167198" w:rsidRPr="007145ED" w:rsidRDefault="00642B7C" w:rsidP="007145ED">
            <w:pPr>
              <w:rPr>
                <w:rFonts w:cs="Arial"/>
              </w:rPr>
            </w:pPr>
            <w:r w:rsidRPr="007145ED">
              <w:t>Razrada regulatornog okvira</w:t>
            </w:r>
          </w:p>
        </w:tc>
      </w:tr>
      <w:tr w:rsidR="00167198" w14:paraId="1A59CA31" w14:textId="77777777" w:rsidTr="007145ED">
        <w:tc>
          <w:tcPr>
            <w:tcW w:w="1129" w:type="dxa"/>
            <w:shd w:val="clear" w:color="auto" w:fill="FFFFFF" w:themeFill="background1"/>
          </w:tcPr>
          <w:p w14:paraId="1AB43ADE" w14:textId="2A029F69" w:rsidR="00167198" w:rsidRPr="007145ED" w:rsidRDefault="00642B7C" w:rsidP="007145ED">
            <w:pPr>
              <w:rPr>
                <w:rFonts w:cs="Arial"/>
              </w:rPr>
            </w:pPr>
            <w:r w:rsidRPr="007145ED">
              <w:t>OIE-</w:t>
            </w:r>
            <w:r w:rsidR="00013027">
              <w:t>5</w:t>
            </w:r>
          </w:p>
        </w:tc>
        <w:tc>
          <w:tcPr>
            <w:tcW w:w="7938" w:type="dxa"/>
            <w:shd w:val="clear" w:color="auto" w:fill="FFFFFF" w:themeFill="background1"/>
          </w:tcPr>
          <w:p w14:paraId="0F430D16" w14:textId="5A8E23E9" w:rsidR="00167198" w:rsidRPr="007145ED" w:rsidRDefault="00642B7C" w:rsidP="007145ED">
            <w:pPr>
              <w:rPr>
                <w:rFonts w:cs="Arial"/>
              </w:rPr>
            </w:pPr>
            <w:r w:rsidRPr="007145ED">
              <w:t>Poticanje korištenja OIE na mjestu potrošnje</w:t>
            </w:r>
          </w:p>
        </w:tc>
      </w:tr>
      <w:tr w:rsidR="00167198" w14:paraId="655F23CE" w14:textId="77777777" w:rsidTr="007145ED">
        <w:tc>
          <w:tcPr>
            <w:tcW w:w="1129" w:type="dxa"/>
            <w:shd w:val="clear" w:color="auto" w:fill="FFFFFF" w:themeFill="background1"/>
          </w:tcPr>
          <w:p w14:paraId="68F3ADE6" w14:textId="41AA54B6" w:rsidR="00167198" w:rsidRPr="007145ED" w:rsidRDefault="00642B7C" w:rsidP="007145ED">
            <w:pPr>
              <w:rPr>
                <w:rFonts w:cs="Arial"/>
              </w:rPr>
            </w:pPr>
            <w:r w:rsidRPr="007145ED">
              <w:t>OIE-</w:t>
            </w:r>
            <w:r w:rsidR="00013027">
              <w:t>6</w:t>
            </w:r>
          </w:p>
        </w:tc>
        <w:tc>
          <w:tcPr>
            <w:tcW w:w="7938" w:type="dxa"/>
            <w:shd w:val="clear" w:color="auto" w:fill="FFFFFF" w:themeFill="background1"/>
          </w:tcPr>
          <w:p w14:paraId="67633E6F" w14:textId="69202A5D" w:rsidR="00167198" w:rsidRPr="007145ED" w:rsidRDefault="00642B7C" w:rsidP="007145ED">
            <w:pPr>
              <w:rPr>
                <w:rFonts w:cs="Arial"/>
              </w:rPr>
            </w:pPr>
            <w:r w:rsidRPr="007145ED">
              <w:t>Poticanje poljoprivrednika i vlasnika zemljišta na uzgoj biomase za energetske potrebe</w:t>
            </w:r>
          </w:p>
        </w:tc>
      </w:tr>
      <w:tr w:rsidR="00167198" w14:paraId="19D206C1" w14:textId="77777777" w:rsidTr="007145ED">
        <w:tc>
          <w:tcPr>
            <w:tcW w:w="1129" w:type="dxa"/>
            <w:shd w:val="clear" w:color="auto" w:fill="FFFFFF" w:themeFill="background1"/>
          </w:tcPr>
          <w:p w14:paraId="142FC177" w14:textId="3E80B497" w:rsidR="00167198" w:rsidRPr="007145ED" w:rsidRDefault="00642B7C" w:rsidP="007145ED">
            <w:pPr>
              <w:rPr>
                <w:rFonts w:cs="Arial"/>
              </w:rPr>
            </w:pPr>
            <w:r w:rsidRPr="007145ED">
              <w:t>OIE-</w:t>
            </w:r>
            <w:r w:rsidR="00013027">
              <w:t>7</w:t>
            </w:r>
          </w:p>
        </w:tc>
        <w:tc>
          <w:tcPr>
            <w:tcW w:w="7938" w:type="dxa"/>
            <w:shd w:val="clear" w:color="auto" w:fill="FFFFFF" w:themeFill="background1"/>
          </w:tcPr>
          <w:p w14:paraId="071DB5BF" w14:textId="75EA4684" w:rsidR="00167198" w:rsidRPr="007145ED" w:rsidRDefault="00642B7C" w:rsidP="007145ED">
            <w:pPr>
              <w:rPr>
                <w:rFonts w:cs="Arial"/>
              </w:rPr>
            </w:pPr>
            <w:r w:rsidRPr="007145ED">
              <w:t>Poticanje biorafinerija</w:t>
            </w:r>
          </w:p>
        </w:tc>
      </w:tr>
      <w:tr w:rsidR="00167198" w14:paraId="2ABFC7EC" w14:textId="77777777" w:rsidTr="007145ED">
        <w:tc>
          <w:tcPr>
            <w:tcW w:w="1129" w:type="dxa"/>
            <w:shd w:val="clear" w:color="auto" w:fill="FFFFFF" w:themeFill="background1"/>
          </w:tcPr>
          <w:p w14:paraId="70C8736E" w14:textId="6A9CE2F7" w:rsidR="00167198" w:rsidRPr="007145ED" w:rsidRDefault="00642B7C" w:rsidP="007145ED">
            <w:pPr>
              <w:rPr>
                <w:rFonts w:cs="Arial"/>
              </w:rPr>
            </w:pPr>
            <w:r w:rsidRPr="007145ED">
              <w:t>OIE-</w:t>
            </w:r>
            <w:r w:rsidR="00013027">
              <w:t>8</w:t>
            </w:r>
          </w:p>
        </w:tc>
        <w:tc>
          <w:tcPr>
            <w:tcW w:w="7938" w:type="dxa"/>
            <w:shd w:val="clear" w:color="auto" w:fill="FFFFFF" w:themeFill="background1"/>
          </w:tcPr>
          <w:p w14:paraId="550137A0" w14:textId="2E87424C" w:rsidR="00167198" w:rsidRPr="007145ED" w:rsidRDefault="00642B7C" w:rsidP="007145ED">
            <w:pPr>
              <w:rPr>
                <w:rFonts w:cs="Arial"/>
              </w:rPr>
            </w:pPr>
            <w:r w:rsidRPr="007145ED">
              <w:t>Izgradnja kapaciteta za bioekonomiju</w:t>
            </w:r>
          </w:p>
        </w:tc>
      </w:tr>
      <w:tr w:rsidR="00167198" w14:paraId="1A41628B" w14:textId="77777777" w:rsidTr="007145ED">
        <w:tc>
          <w:tcPr>
            <w:tcW w:w="1129" w:type="dxa"/>
            <w:shd w:val="clear" w:color="auto" w:fill="FFFFFF" w:themeFill="background1"/>
          </w:tcPr>
          <w:p w14:paraId="792CCB5C" w14:textId="1E54F9DF" w:rsidR="00167198" w:rsidRPr="007145ED" w:rsidRDefault="00642B7C" w:rsidP="007145ED">
            <w:pPr>
              <w:rPr>
                <w:rFonts w:cs="Arial"/>
              </w:rPr>
            </w:pPr>
            <w:r w:rsidRPr="007145ED">
              <w:rPr>
                <w:rFonts w:cs="Arial"/>
              </w:rPr>
              <w:t>TR-1</w:t>
            </w:r>
          </w:p>
        </w:tc>
        <w:tc>
          <w:tcPr>
            <w:tcW w:w="7938" w:type="dxa"/>
            <w:shd w:val="clear" w:color="auto" w:fill="FFFFFF" w:themeFill="background1"/>
          </w:tcPr>
          <w:p w14:paraId="468292AA" w14:textId="638C7442" w:rsidR="00167198" w:rsidRPr="007145ED" w:rsidRDefault="00642B7C" w:rsidP="007145ED">
            <w:pPr>
              <w:rPr>
                <w:rFonts w:cs="Arial"/>
              </w:rPr>
            </w:pPr>
            <w:r w:rsidRPr="007145ED">
              <w:rPr>
                <w:rFonts w:cs="Arial"/>
              </w:rPr>
              <w:t>Informiranje potrošača o ekonomičnosti potrošnje goriva i emisiji CO</w:t>
            </w:r>
            <w:r w:rsidRPr="007145ED">
              <w:rPr>
                <w:rFonts w:cs="Arial"/>
                <w:vertAlign w:val="subscript"/>
              </w:rPr>
              <w:t>2</w:t>
            </w:r>
            <w:r w:rsidRPr="007145ED">
              <w:rPr>
                <w:rFonts w:cs="Arial"/>
              </w:rPr>
              <w:t xml:space="preserve"> novih osobnih automobila</w:t>
            </w:r>
          </w:p>
        </w:tc>
      </w:tr>
      <w:tr w:rsidR="00167198" w14:paraId="4DFCF737" w14:textId="77777777" w:rsidTr="007145ED">
        <w:tc>
          <w:tcPr>
            <w:tcW w:w="1129" w:type="dxa"/>
            <w:shd w:val="clear" w:color="auto" w:fill="FFFFFF" w:themeFill="background1"/>
          </w:tcPr>
          <w:p w14:paraId="155B44F9" w14:textId="0247E79C" w:rsidR="00167198" w:rsidRPr="007145ED" w:rsidRDefault="00642B7C" w:rsidP="007145ED">
            <w:pPr>
              <w:rPr>
                <w:rFonts w:cs="Arial"/>
              </w:rPr>
            </w:pPr>
            <w:r w:rsidRPr="007145ED">
              <w:rPr>
                <w:rFonts w:cs="Arial"/>
              </w:rPr>
              <w:t>TR-2</w:t>
            </w:r>
          </w:p>
        </w:tc>
        <w:tc>
          <w:tcPr>
            <w:tcW w:w="7938" w:type="dxa"/>
            <w:shd w:val="clear" w:color="auto" w:fill="FFFFFF" w:themeFill="background1"/>
          </w:tcPr>
          <w:p w14:paraId="6971CE1C" w14:textId="1FBBFCF7" w:rsidR="00167198" w:rsidRPr="007145ED" w:rsidRDefault="00642B7C" w:rsidP="007145ED">
            <w:pPr>
              <w:rPr>
                <w:rFonts w:cs="Arial"/>
              </w:rPr>
            </w:pPr>
            <w:r w:rsidRPr="007145ED">
              <w:rPr>
                <w:rFonts w:cs="Arial"/>
              </w:rPr>
              <w:t>Posebna naknada za okoliš za vozila na motorni pogon</w:t>
            </w:r>
          </w:p>
        </w:tc>
      </w:tr>
      <w:tr w:rsidR="00642B7C" w14:paraId="09575910" w14:textId="77777777" w:rsidTr="00DB7DF8">
        <w:tc>
          <w:tcPr>
            <w:tcW w:w="1129" w:type="dxa"/>
            <w:shd w:val="clear" w:color="auto" w:fill="FFFFFF" w:themeFill="background1"/>
          </w:tcPr>
          <w:p w14:paraId="0FA8A4F7" w14:textId="63BCACC0" w:rsidR="00642B7C" w:rsidRPr="007145ED" w:rsidRDefault="00642B7C" w:rsidP="007145ED">
            <w:pPr>
              <w:rPr>
                <w:rFonts w:cs="Arial"/>
              </w:rPr>
            </w:pPr>
            <w:r w:rsidRPr="00642B7C">
              <w:rPr>
                <w:rFonts w:cs="Arial"/>
              </w:rPr>
              <w:t>TR-3</w:t>
            </w:r>
          </w:p>
        </w:tc>
        <w:tc>
          <w:tcPr>
            <w:tcW w:w="7938" w:type="dxa"/>
            <w:shd w:val="clear" w:color="auto" w:fill="FFFFFF" w:themeFill="background1"/>
          </w:tcPr>
          <w:p w14:paraId="53CD62E2" w14:textId="27D2F98F" w:rsidR="00642B7C" w:rsidRPr="007145ED" w:rsidRDefault="00642B7C" w:rsidP="007145ED">
            <w:pPr>
              <w:rPr>
                <w:rFonts w:cs="Arial"/>
              </w:rPr>
            </w:pPr>
            <w:r w:rsidRPr="00642B7C">
              <w:rPr>
                <w:rFonts w:cs="Arial"/>
              </w:rPr>
              <w:t>Posebni porez za motorna vozila</w:t>
            </w:r>
          </w:p>
        </w:tc>
      </w:tr>
      <w:tr w:rsidR="00642B7C" w14:paraId="6420A13A" w14:textId="77777777" w:rsidTr="00DB7DF8">
        <w:tc>
          <w:tcPr>
            <w:tcW w:w="1129" w:type="dxa"/>
            <w:shd w:val="clear" w:color="auto" w:fill="FFFFFF" w:themeFill="background1"/>
          </w:tcPr>
          <w:p w14:paraId="4BDAE092" w14:textId="7D656E38" w:rsidR="00642B7C" w:rsidRPr="007145ED" w:rsidRDefault="00642B7C" w:rsidP="007145ED">
            <w:pPr>
              <w:rPr>
                <w:rFonts w:cs="Arial"/>
              </w:rPr>
            </w:pPr>
            <w:r w:rsidRPr="00642B7C">
              <w:rPr>
                <w:rFonts w:cs="Arial"/>
              </w:rPr>
              <w:t>TR-4</w:t>
            </w:r>
          </w:p>
        </w:tc>
        <w:tc>
          <w:tcPr>
            <w:tcW w:w="7938" w:type="dxa"/>
            <w:shd w:val="clear" w:color="auto" w:fill="FFFFFF" w:themeFill="background1"/>
          </w:tcPr>
          <w:p w14:paraId="26E61782" w14:textId="568D14D7" w:rsidR="00642B7C" w:rsidRPr="007145ED" w:rsidRDefault="00642B7C" w:rsidP="007145ED">
            <w:pPr>
              <w:rPr>
                <w:rFonts w:cs="Arial"/>
              </w:rPr>
            </w:pPr>
            <w:r w:rsidRPr="00642B7C">
              <w:rPr>
                <w:rFonts w:cs="Arial"/>
              </w:rPr>
              <w:t>Praćenje, izvještavanje i verifikacija emisija stakleničkih plinova u životnom vijeku tekućih goriva</w:t>
            </w:r>
          </w:p>
        </w:tc>
      </w:tr>
      <w:tr w:rsidR="00642B7C" w14:paraId="0E677103" w14:textId="77777777" w:rsidTr="00DB7DF8">
        <w:tc>
          <w:tcPr>
            <w:tcW w:w="1129" w:type="dxa"/>
            <w:shd w:val="clear" w:color="auto" w:fill="FFFFFF" w:themeFill="background1"/>
          </w:tcPr>
          <w:p w14:paraId="315AEBC9" w14:textId="14D51FB9" w:rsidR="00642B7C" w:rsidRPr="007145ED" w:rsidRDefault="00642B7C" w:rsidP="007145ED">
            <w:pPr>
              <w:rPr>
                <w:rFonts w:cs="Arial"/>
              </w:rPr>
            </w:pPr>
            <w:r w:rsidRPr="007145ED">
              <w:rPr>
                <w:rFonts w:cs="Arial"/>
              </w:rPr>
              <w:t>TR-5</w:t>
            </w:r>
          </w:p>
        </w:tc>
        <w:tc>
          <w:tcPr>
            <w:tcW w:w="7938" w:type="dxa"/>
            <w:shd w:val="clear" w:color="auto" w:fill="FFFFFF" w:themeFill="background1"/>
          </w:tcPr>
          <w:p w14:paraId="081450AB" w14:textId="4628586D" w:rsidR="00642B7C" w:rsidRPr="007145ED" w:rsidRDefault="00642B7C" w:rsidP="007145ED">
            <w:pPr>
              <w:rPr>
                <w:rFonts w:cs="Arial"/>
              </w:rPr>
            </w:pPr>
            <w:r w:rsidRPr="007145ED">
              <w:rPr>
                <w:rFonts w:cs="Arial"/>
              </w:rPr>
              <w:t>Obveza korištenja biogoriva u prometu</w:t>
            </w:r>
          </w:p>
        </w:tc>
      </w:tr>
      <w:tr w:rsidR="00642B7C" w14:paraId="4AB64E0D" w14:textId="77777777" w:rsidTr="00DB7DF8">
        <w:tc>
          <w:tcPr>
            <w:tcW w:w="1129" w:type="dxa"/>
            <w:shd w:val="clear" w:color="auto" w:fill="FFFFFF" w:themeFill="background1"/>
          </w:tcPr>
          <w:p w14:paraId="7578C9E1" w14:textId="56258C04" w:rsidR="00642B7C" w:rsidRPr="007145ED" w:rsidRDefault="00642B7C" w:rsidP="007145ED">
            <w:pPr>
              <w:rPr>
                <w:rFonts w:cs="Arial"/>
              </w:rPr>
            </w:pPr>
            <w:r w:rsidRPr="00642B7C">
              <w:rPr>
                <w:rFonts w:cs="Arial"/>
              </w:rPr>
              <w:t>TR-6</w:t>
            </w:r>
          </w:p>
        </w:tc>
        <w:tc>
          <w:tcPr>
            <w:tcW w:w="7938" w:type="dxa"/>
            <w:shd w:val="clear" w:color="auto" w:fill="FFFFFF" w:themeFill="background1"/>
          </w:tcPr>
          <w:p w14:paraId="35E5C4A9" w14:textId="09F34EE0" w:rsidR="00642B7C" w:rsidRPr="007145ED" w:rsidRDefault="00642B7C" w:rsidP="007145ED">
            <w:pPr>
              <w:rPr>
                <w:rFonts w:cs="Arial"/>
              </w:rPr>
            </w:pPr>
            <w:r w:rsidRPr="00642B7C">
              <w:rPr>
                <w:rFonts w:cs="Arial"/>
              </w:rPr>
              <w:t>Promicanje čistih i energetskih učinkovitih vozila u cestovnom prijevozu</w:t>
            </w:r>
          </w:p>
        </w:tc>
      </w:tr>
      <w:tr w:rsidR="00642B7C" w14:paraId="64212193" w14:textId="77777777" w:rsidTr="00DB7DF8">
        <w:tc>
          <w:tcPr>
            <w:tcW w:w="1129" w:type="dxa"/>
            <w:shd w:val="clear" w:color="auto" w:fill="FFFFFF" w:themeFill="background1"/>
          </w:tcPr>
          <w:p w14:paraId="6FD7CDDC" w14:textId="6D6D8B25" w:rsidR="00642B7C" w:rsidRPr="007145ED" w:rsidRDefault="00642B7C" w:rsidP="007145ED">
            <w:pPr>
              <w:rPr>
                <w:rFonts w:cs="Arial"/>
              </w:rPr>
            </w:pPr>
            <w:r w:rsidRPr="00642B7C">
              <w:rPr>
                <w:rFonts w:cs="Arial"/>
              </w:rPr>
              <w:t>TR-7</w:t>
            </w:r>
          </w:p>
        </w:tc>
        <w:tc>
          <w:tcPr>
            <w:tcW w:w="7938" w:type="dxa"/>
            <w:shd w:val="clear" w:color="auto" w:fill="FFFFFF" w:themeFill="background1"/>
          </w:tcPr>
          <w:p w14:paraId="45017638" w14:textId="3BE5795C" w:rsidR="00642B7C" w:rsidRPr="007145ED" w:rsidRDefault="00642B7C" w:rsidP="007145ED">
            <w:pPr>
              <w:rPr>
                <w:rFonts w:cs="Arial"/>
              </w:rPr>
            </w:pPr>
            <w:r w:rsidRPr="00642B7C">
              <w:rPr>
                <w:rFonts w:cs="Arial"/>
              </w:rPr>
              <w:t>Poticanje intermodalnog prometa</w:t>
            </w:r>
          </w:p>
        </w:tc>
      </w:tr>
      <w:tr w:rsidR="00642B7C" w14:paraId="546A61C7" w14:textId="77777777" w:rsidTr="00DB7DF8">
        <w:tc>
          <w:tcPr>
            <w:tcW w:w="1129" w:type="dxa"/>
            <w:shd w:val="clear" w:color="auto" w:fill="FFFFFF" w:themeFill="background1"/>
          </w:tcPr>
          <w:p w14:paraId="050B0F1F" w14:textId="780F85BF" w:rsidR="00642B7C" w:rsidRPr="007145ED" w:rsidRDefault="00642B7C" w:rsidP="007145ED">
            <w:pPr>
              <w:rPr>
                <w:rFonts w:cs="Arial"/>
              </w:rPr>
            </w:pPr>
            <w:r w:rsidRPr="00642B7C">
              <w:rPr>
                <w:rFonts w:cs="Arial"/>
              </w:rPr>
              <w:t>TR-8</w:t>
            </w:r>
          </w:p>
        </w:tc>
        <w:tc>
          <w:tcPr>
            <w:tcW w:w="7938" w:type="dxa"/>
            <w:shd w:val="clear" w:color="auto" w:fill="FFFFFF" w:themeFill="background1"/>
          </w:tcPr>
          <w:p w14:paraId="144FCCA4" w14:textId="472AA8F1" w:rsidR="00642B7C" w:rsidRPr="007145ED" w:rsidRDefault="00642B7C" w:rsidP="007145ED">
            <w:pPr>
              <w:rPr>
                <w:rFonts w:cs="Arial"/>
              </w:rPr>
            </w:pPr>
            <w:r w:rsidRPr="00642B7C">
              <w:rPr>
                <w:rFonts w:cs="Arial"/>
              </w:rPr>
              <w:t>Zakonodavna prilagodba odredbi o uspostavi infrastrukture za alternativna goriva</w:t>
            </w:r>
          </w:p>
        </w:tc>
      </w:tr>
      <w:tr w:rsidR="00642B7C" w14:paraId="3751968F" w14:textId="77777777" w:rsidTr="00DB7DF8">
        <w:tc>
          <w:tcPr>
            <w:tcW w:w="1129" w:type="dxa"/>
            <w:shd w:val="clear" w:color="auto" w:fill="FFFFFF" w:themeFill="background1"/>
          </w:tcPr>
          <w:p w14:paraId="2E1CC76E" w14:textId="626FC972" w:rsidR="00642B7C" w:rsidRPr="007145ED" w:rsidRDefault="00642B7C" w:rsidP="007145ED">
            <w:pPr>
              <w:rPr>
                <w:rFonts w:cs="Arial"/>
              </w:rPr>
            </w:pPr>
            <w:r w:rsidRPr="00642B7C">
              <w:rPr>
                <w:rFonts w:cs="Arial"/>
              </w:rPr>
              <w:t>TR-9</w:t>
            </w:r>
          </w:p>
        </w:tc>
        <w:tc>
          <w:tcPr>
            <w:tcW w:w="7938" w:type="dxa"/>
            <w:shd w:val="clear" w:color="auto" w:fill="FFFFFF" w:themeFill="background1"/>
          </w:tcPr>
          <w:p w14:paraId="211B81DC" w14:textId="7FF483C3" w:rsidR="00642B7C" w:rsidRPr="007145ED" w:rsidRDefault="00642B7C" w:rsidP="007145ED">
            <w:pPr>
              <w:rPr>
                <w:rFonts w:cs="Arial"/>
              </w:rPr>
            </w:pPr>
            <w:r w:rsidRPr="00642B7C">
              <w:rPr>
                <w:rFonts w:cs="Arial"/>
              </w:rPr>
              <w:t>Financijski poticaji za energetski učinkovita vozila</w:t>
            </w:r>
          </w:p>
        </w:tc>
      </w:tr>
      <w:tr w:rsidR="00642B7C" w14:paraId="02D588C1" w14:textId="77777777" w:rsidTr="00DB7DF8">
        <w:tc>
          <w:tcPr>
            <w:tcW w:w="1129" w:type="dxa"/>
            <w:shd w:val="clear" w:color="auto" w:fill="FFFFFF" w:themeFill="background1"/>
          </w:tcPr>
          <w:p w14:paraId="40BDCBEA" w14:textId="28034790" w:rsidR="00642B7C" w:rsidRPr="007145ED" w:rsidRDefault="00642B7C" w:rsidP="007145ED">
            <w:pPr>
              <w:rPr>
                <w:rFonts w:cs="Arial"/>
              </w:rPr>
            </w:pPr>
            <w:r w:rsidRPr="00642B7C">
              <w:rPr>
                <w:rFonts w:cs="Arial"/>
              </w:rPr>
              <w:t>TR-10</w:t>
            </w:r>
          </w:p>
        </w:tc>
        <w:tc>
          <w:tcPr>
            <w:tcW w:w="7938" w:type="dxa"/>
            <w:shd w:val="clear" w:color="auto" w:fill="FFFFFF" w:themeFill="background1"/>
          </w:tcPr>
          <w:p w14:paraId="4C44B4B6" w14:textId="24212E8B" w:rsidR="00642B7C" w:rsidRPr="007145ED" w:rsidRDefault="00642B7C" w:rsidP="007145ED">
            <w:pPr>
              <w:rPr>
                <w:rFonts w:cs="Arial"/>
              </w:rPr>
            </w:pPr>
            <w:r w:rsidRPr="00642B7C">
              <w:rPr>
                <w:rFonts w:cs="Arial"/>
              </w:rPr>
              <w:t>Razvoj infrastrukture za alternativna goriva</w:t>
            </w:r>
          </w:p>
        </w:tc>
      </w:tr>
      <w:tr w:rsidR="00642B7C" w14:paraId="0776CFA8" w14:textId="77777777" w:rsidTr="00DB7DF8">
        <w:tc>
          <w:tcPr>
            <w:tcW w:w="1129" w:type="dxa"/>
            <w:shd w:val="clear" w:color="auto" w:fill="FFFFFF" w:themeFill="background1"/>
          </w:tcPr>
          <w:p w14:paraId="45735B5E" w14:textId="3C9906A1" w:rsidR="00642B7C" w:rsidRPr="007145ED" w:rsidRDefault="00642B7C" w:rsidP="007145ED">
            <w:pPr>
              <w:rPr>
                <w:rFonts w:cs="Arial"/>
              </w:rPr>
            </w:pPr>
            <w:r w:rsidRPr="00642B7C">
              <w:rPr>
                <w:rFonts w:cs="Arial"/>
              </w:rPr>
              <w:t>TR-11</w:t>
            </w:r>
          </w:p>
        </w:tc>
        <w:tc>
          <w:tcPr>
            <w:tcW w:w="7938" w:type="dxa"/>
            <w:shd w:val="clear" w:color="auto" w:fill="FFFFFF" w:themeFill="background1"/>
          </w:tcPr>
          <w:p w14:paraId="7584ECA1" w14:textId="358EA692" w:rsidR="00642B7C" w:rsidRPr="007145ED" w:rsidRDefault="00642B7C" w:rsidP="007145ED">
            <w:pPr>
              <w:rPr>
                <w:rFonts w:cs="Arial"/>
              </w:rPr>
            </w:pPr>
            <w:r w:rsidRPr="00642B7C">
              <w:rPr>
                <w:rFonts w:cs="Arial"/>
              </w:rPr>
              <w:t>Promicanje integriranog i inteligentnog prometa i razvoj infrastrukture za alternativna goriva na lokalnoj i područnoj razini</w:t>
            </w:r>
          </w:p>
        </w:tc>
      </w:tr>
      <w:tr w:rsidR="00642B7C" w14:paraId="52E59E84" w14:textId="77777777" w:rsidTr="00DB7DF8">
        <w:tc>
          <w:tcPr>
            <w:tcW w:w="1129" w:type="dxa"/>
            <w:shd w:val="clear" w:color="auto" w:fill="FFFFFF" w:themeFill="background1"/>
          </w:tcPr>
          <w:p w14:paraId="3A34B9AB" w14:textId="210DAF0F" w:rsidR="00642B7C" w:rsidRPr="007145ED" w:rsidRDefault="00642B7C" w:rsidP="007145ED">
            <w:pPr>
              <w:rPr>
                <w:rFonts w:cs="Arial"/>
              </w:rPr>
            </w:pPr>
            <w:r w:rsidRPr="00642B7C">
              <w:rPr>
                <w:rFonts w:cs="Arial"/>
              </w:rPr>
              <w:t>TR-12</w:t>
            </w:r>
          </w:p>
        </w:tc>
        <w:tc>
          <w:tcPr>
            <w:tcW w:w="7938" w:type="dxa"/>
            <w:shd w:val="clear" w:color="auto" w:fill="FFFFFF" w:themeFill="background1"/>
          </w:tcPr>
          <w:p w14:paraId="13C3A034" w14:textId="49F6EDCD" w:rsidR="00642B7C" w:rsidRPr="007145ED" w:rsidRDefault="00642B7C" w:rsidP="007145ED">
            <w:pPr>
              <w:rPr>
                <w:rFonts w:cs="Arial"/>
              </w:rPr>
            </w:pPr>
            <w:r w:rsidRPr="00642B7C">
              <w:rPr>
                <w:rFonts w:cs="Arial"/>
              </w:rPr>
              <w:t>Obuka vozača cestovnih vozila za eko vožnju</w:t>
            </w:r>
          </w:p>
        </w:tc>
      </w:tr>
      <w:tr w:rsidR="00642B7C" w14:paraId="4EED1FD7" w14:textId="77777777" w:rsidTr="00DB7DF8">
        <w:tc>
          <w:tcPr>
            <w:tcW w:w="1129" w:type="dxa"/>
            <w:shd w:val="clear" w:color="auto" w:fill="FFFFFF" w:themeFill="background1"/>
          </w:tcPr>
          <w:p w14:paraId="4E7563D7" w14:textId="24019C09" w:rsidR="00642B7C" w:rsidRPr="007145ED" w:rsidRDefault="00642B7C" w:rsidP="007145ED">
            <w:pPr>
              <w:rPr>
                <w:rFonts w:cs="Arial"/>
              </w:rPr>
            </w:pPr>
            <w:r w:rsidRPr="00642B7C">
              <w:rPr>
                <w:rFonts w:cs="Arial"/>
              </w:rPr>
              <w:t>TR-13</w:t>
            </w:r>
          </w:p>
        </w:tc>
        <w:tc>
          <w:tcPr>
            <w:tcW w:w="7938" w:type="dxa"/>
            <w:shd w:val="clear" w:color="auto" w:fill="FFFFFF" w:themeFill="background1"/>
          </w:tcPr>
          <w:p w14:paraId="08841A2F" w14:textId="0CAEABCD" w:rsidR="00642B7C" w:rsidRPr="007145ED" w:rsidRDefault="00642B7C" w:rsidP="007145ED">
            <w:pPr>
              <w:rPr>
                <w:rFonts w:cs="Arial"/>
              </w:rPr>
            </w:pPr>
            <w:r w:rsidRPr="00642B7C">
              <w:rPr>
                <w:rFonts w:cs="Arial"/>
              </w:rPr>
              <w:t>Poticanje razvoja intermodalnog i integriranog prometa</w:t>
            </w:r>
          </w:p>
        </w:tc>
      </w:tr>
      <w:tr w:rsidR="002E65E3" w14:paraId="78A7AA78" w14:textId="77777777" w:rsidTr="00845396">
        <w:tc>
          <w:tcPr>
            <w:tcW w:w="9067" w:type="dxa"/>
            <w:gridSpan w:val="2"/>
            <w:shd w:val="clear" w:color="auto" w:fill="FFFFFF" w:themeFill="background1"/>
          </w:tcPr>
          <w:p w14:paraId="566EEDDA" w14:textId="1DE4D8DD" w:rsidR="002E65E3" w:rsidRPr="00555623" w:rsidRDefault="002E65E3" w:rsidP="007145ED">
            <w:pPr>
              <w:rPr>
                <w:rFonts w:cs="Arial"/>
              </w:rPr>
            </w:pPr>
            <w:r>
              <w:rPr>
                <w:rFonts w:cs="Arial"/>
              </w:rPr>
              <w:t>Energetska učinkovitost</w:t>
            </w:r>
          </w:p>
        </w:tc>
      </w:tr>
      <w:tr w:rsidR="00555623" w14:paraId="220F2EC3" w14:textId="77777777" w:rsidTr="00DB7DF8">
        <w:tc>
          <w:tcPr>
            <w:tcW w:w="1129" w:type="dxa"/>
            <w:shd w:val="clear" w:color="auto" w:fill="FFFFFF" w:themeFill="background1"/>
          </w:tcPr>
          <w:p w14:paraId="62C8D587" w14:textId="42B5F150" w:rsidR="00555623" w:rsidRPr="00642B7C" w:rsidRDefault="00555623" w:rsidP="007145ED">
            <w:pPr>
              <w:rPr>
                <w:rFonts w:cs="Arial"/>
              </w:rPr>
            </w:pPr>
            <w:r w:rsidRPr="00555623">
              <w:rPr>
                <w:rFonts w:cs="Arial"/>
              </w:rPr>
              <w:t>ENU-1</w:t>
            </w:r>
          </w:p>
        </w:tc>
        <w:tc>
          <w:tcPr>
            <w:tcW w:w="7938" w:type="dxa"/>
            <w:shd w:val="clear" w:color="auto" w:fill="FFFFFF" w:themeFill="background1"/>
          </w:tcPr>
          <w:p w14:paraId="4DB48996" w14:textId="695A27CE" w:rsidR="00555623" w:rsidRPr="00642B7C" w:rsidRDefault="00555623" w:rsidP="007145ED">
            <w:pPr>
              <w:rPr>
                <w:rFonts w:cs="Arial"/>
              </w:rPr>
            </w:pPr>
            <w:r w:rsidRPr="00555623">
              <w:rPr>
                <w:rFonts w:cs="Arial"/>
              </w:rPr>
              <w:t>Sustav obveze energetske učinkovitosti za opskrbljivače</w:t>
            </w:r>
          </w:p>
        </w:tc>
      </w:tr>
      <w:tr w:rsidR="00555623" w14:paraId="2AFB53AE" w14:textId="77777777" w:rsidTr="00DB7DF8">
        <w:tc>
          <w:tcPr>
            <w:tcW w:w="1129" w:type="dxa"/>
            <w:shd w:val="clear" w:color="auto" w:fill="FFFFFF" w:themeFill="background1"/>
          </w:tcPr>
          <w:p w14:paraId="5893BC40" w14:textId="15AA884D" w:rsidR="00555623" w:rsidRPr="00642B7C" w:rsidRDefault="00555623" w:rsidP="007145ED">
            <w:pPr>
              <w:rPr>
                <w:rFonts w:cs="Arial"/>
              </w:rPr>
            </w:pPr>
            <w:r w:rsidRPr="00555623">
              <w:rPr>
                <w:rFonts w:cs="Arial"/>
              </w:rPr>
              <w:t>ENU-2</w:t>
            </w:r>
          </w:p>
        </w:tc>
        <w:tc>
          <w:tcPr>
            <w:tcW w:w="7938" w:type="dxa"/>
            <w:shd w:val="clear" w:color="auto" w:fill="FFFFFF" w:themeFill="background1"/>
          </w:tcPr>
          <w:p w14:paraId="36A9CBC7" w14:textId="1746E421" w:rsidR="00555623" w:rsidRPr="00642B7C" w:rsidRDefault="00555623" w:rsidP="007145ED">
            <w:pPr>
              <w:rPr>
                <w:rFonts w:cs="Arial"/>
              </w:rPr>
            </w:pPr>
            <w:r w:rsidRPr="00555623">
              <w:rPr>
                <w:rFonts w:cs="Arial"/>
              </w:rPr>
              <w:t>Program povećanja zgrada s gotovo nultom potrošnjom energije</w:t>
            </w:r>
          </w:p>
        </w:tc>
      </w:tr>
      <w:tr w:rsidR="00555623" w14:paraId="38E22DB6" w14:textId="77777777" w:rsidTr="00DB7DF8">
        <w:tc>
          <w:tcPr>
            <w:tcW w:w="1129" w:type="dxa"/>
            <w:shd w:val="clear" w:color="auto" w:fill="FFFFFF" w:themeFill="background1"/>
          </w:tcPr>
          <w:p w14:paraId="7580D3CC" w14:textId="4AAC9FA4" w:rsidR="00555623" w:rsidRPr="00642B7C" w:rsidRDefault="00555623" w:rsidP="007145ED">
            <w:pPr>
              <w:rPr>
                <w:rFonts w:cs="Arial"/>
              </w:rPr>
            </w:pPr>
            <w:r w:rsidRPr="00555623">
              <w:rPr>
                <w:rFonts w:cs="Arial"/>
              </w:rPr>
              <w:t>ENU-3</w:t>
            </w:r>
          </w:p>
        </w:tc>
        <w:tc>
          <w:tcPr>
            <w:tcW w:w="7938" w:type="dxa"/>
            <w:shd w:val="clear" w:color="auto" w:fill="FFFFFF" w:themeFill="background1"/>
          </w:tcPr>
          <w:p w14:paraId="6A4A2108" w14:textId="182B2810" w:rsidR="00555623" w:rsidRPr="00642B7C" w:rsidRDefault="00555623" w:rsidP="007145ED">
            <w:pPr>
              <w:rPr>
                <w:rFonts w:cs="Arial"/>
              </w:rPr>
            </w:pPr>
            <w:r w:rsidRPr="00555623">
              <w:rPr>
                <w:rFonts w:cs="Arial"/>
              </w:rPr>
              <w:t>Program energetske obnove višestambenih zgrada</w:t>
            </w:r>
          </w:p>
        </w:tc>
      </w:tr>
      <w:tr w:rsidR="00555623" w14:paraId="6456B1EB" w14:textId="77777777" w:rsidTr="00DB7DF8">
        <w:tc>
          <w:tcPr>
            <w:tcW w:w="1129" w:type="dxa"/>
            <w:shd w:val="clear" w:color="auto" w:fill="FFFFFF" w:themeFill="background1"/>
          </w:tcPr>
          <w:p w14:paraId="35B805A9" w14:textId="70D4EF5F" w:rsidR="00555623" w:rsidRPr="00642B7C" w:rsidRDefault="00555623" w:rsidP="007145ED">
            <w:pPr>
              <w:rPr>
                <w:rFonts w:cs="Arial"/>
              </w:rPr>
            </w:pPr>
            <w:r w:rsidRPr="00555623">
              <w:rPr>
                <w:rFonts w:cs="Arial"/>
              </w:rPr>
              <w:t>ENU-4</w:t>
            </w:r>
          </w:p>
        </w:tc>
        <w:tc>
          <w:tcPr>
            <w:tcW w:w="7938" w:type="dxa"/>
            <w:shd w:val="clear" w:color="auto" w:fill="FFFFFF" w:themeFill="background1"/>
          </w:tcPr>
          <w:p w14:paraId="6FBDEDBF" w14:textId="503087C2" w:rsidR="00555623" w:rsidRPr="00642B7C" w:rsidRDefault="00555623" w:rsidP="007145ED">
            <w:pPr>
              <w:rPr>
                <w:rFonts w:cs="Arial"/>
              </w:rPr>
            </w:pPr>
            <w:r w:rsidRPr="00555623">
              <w:rPr>
                <w:rFonts w:cs="Arial"/>
              </w:rPr>
              <w:t>Program energetske obnove obiteljskih kuća</w:t>
            </w:r>
          </w:p>
        </w:tc>
      </w:tr>
      <w:tr w:rsidR="00555623" w14:paraId="7D19DC96" w14:textId="77777777" w:rsidTr="00DB7DF8">
        <w:tc>
          <w:tcPr>
            <w:tcW w:w="1129" w:type="dxa"/>
            <w:shd w:val="clear" w:color="auto" w:fill="FFFFFF" w:themeFill="background1"/>
          </w:tcPr>
          <w:p w14:paraId="7B8EC06E" w14:textId="1BDBB3B9" w:rsidR="00555623" w:rsidRPr="00642B7C" w:rsidRDefault="00555623" w:rsidP="007145ED">
            <w:pPr>
              <w:rPr>
                <w:rFonts w:cs="Arial"/>
              </w:rPr>
            </w:pPr>
            <w:r w:rsidRPr="00555623">
              <w:rPr>
                <w:rFonts w:cs="Arial"/>
              </w:rPr>
              <w:t>ENU-5</w:t>
            </w:r>
          </w:p>
        </w:tc>
        <w:tc>
          <w:tcPr>
            <w:tcW w:w="7938" w:type="dxa"/>
            <w:shd w:val="clear" w:color="auto" w:fill="FFFFFF" w:themeFill="background1"/>
          </w:tcPr>
          <w:p w14:paraId="2E79435C" w14:textId="2A871920" w:rsidR="00555623" w:rsidRPr="00642B7C" w:rsidRDefault="00555623" w:rsidP="007145ED">
            <w:pPr>
              <w:rPr>
                <w:rFonts w:cs="Arial"/>
              </w:rPr>
            </w:pPr>
            <w:r w:rsidRPr="00555623">
              <w:rPr>
                <w:rFonts w:cs="Arial"/>
              </w:rPr>
              <w:t>Program energetske obnove zgrada javnog sektora</w:t>
            </w:r>
          </w:p>
        </w:tc>
      </w:tr>
      <w:tr w:rsidR="00555623" w14:paraId="6724FA7C" w14:textId="77777777" w:rsidTr="00DB7DF8">
        <w:tc>
          <w:tcPr>
            <w:tcW w:w="1129" w:type="dxa"/>
            <w:shd w:val="clear" w:color="auto" w:fill="FFFFFF" w:themeFill="background1"/>
          </w:tcPr>
          <w:p w14:paraId="6266265A" w14:textId="55B6F76C" w:rsidR="00555623" w:rsidRPr="00642B7C" w:rsidRDefault="00555623" w:rsidP="007145ED">
            <w:pPr>
              <w:rPr>
                <w:rFonts w:cs="Arial"/>
              </w:rPr>
            </w:pPr>
            <w:r w:rsidRPr="00555623">
              <w:rPr>
                <w:rFonts w:cs="Arial"/>
              </w:rPr>
              <w:t>ENU-6</w:t>
            </w:r>
          </w:p>
        </w:tc>
        <w:tc>
          <w:tcPr>
            <w:tcW w:w="7938" w:type="dxa"/>
            <w:shd w:val="clear" w:color="auto" w:fill="FFFFFF" w:themeFill="background1"/>
          </w:tcPr>
          <w:p w14:paraId="03DA420F" w14:textId="469ED0A4" w:rsidR="00555623" w:rsidRPr="00642B7C" w:rsidRDefault="00555623" w:rsidP="007145ED">
            <w:pPr>
              <w:rPr>
                <w:rFonts w:cs="Arial"/>
              </w:rPr>
            </w:pPr>
            <w:r w:rsidRPr="00555623">
              <w:rPr>
                <w:rFonts w:cs="Arial"/>
              </w:rPr>
              <w:t>Sustavno gospodarenje energijom u javnom sektoru</w:t>
            </w:r>
          </w:p>
        </w:tc>
      </w:tr>
      <w:tr w:rsidR="00555623" w14:paraId="5EEF866D" w14:textId="77777777" w:rsidTr="00DB7DF8">
        <w:tc>
          <w:tcPr>
            <w:tcW w:w="1129" w:type="dxa"/>
            <w:shd w:val="clear" w:color="auto" w:fill="FFFFFF" w:themeFill="background1"/>
          </w:tcPr>
          <w:p w14:paraId="6B4AB8ED" w14:textId="5096789D" w:rsidR="00555623" w:rsidRPr="00642B7C" w:rsidRDefault="00555623" w:rsidP="007145ED">
            <w:pPr>
              <w:rPr>
                <w:rFonts w:cs="Arial"/>
              </w:rPr>
            </w:pPr>
            <w:r w:rsidRPr="00555623">
              <w:rPr>
                <w:rFonts w:cs="Arial"/>
              </w:rPr>
              <w:t>ENU-7</w:t>
            </w:r>
          </w:p>
        </w:tc>
        <w:tc>
          <w:tcPr>
            <w:tcW w:w="7938" w:type="dxa"/>
            <w:shd w:val="clear" w:color="auto" w:fill="FFFFFF" w:themeFill="background1"/>
          </w:tcPr>
          <w:p w14:paraId="2CA55D0D" w14:textId="6BAFC146" w:rsidR="00555623" w:rsidRPr="00642B7C" w:rsidRDefault="00555623" w:rsidP="007145ED">
            <w:pPr>
              <w:rPr>
                <w:rFonts w:cs="Arial"/>
              </w:rPr>
            </w:pPr>
            <w:r w:rsidRPr="00555623">
              <w:rPr>
                <w:rFonts w:cs="Arial"/>
              </w:rPr>
              <w:t>Program energetske obnove javne rasvjete</w:t>
            </w:r>
          </w:p>
        </w:tc>
      </w:tr>
      <w:tr w:rsidR="00555623" w14:paraId="4A2E6037" w14:textId="77777777" w:rsidTr="00DB7DF8">
        <w:tc>
          <w:tcPr>
            <w:tcW w:w="1129" w:type="dxa"/>
            <w:shd w:val="clear" w:color="auto" w:fill="FFFFFF" w:themeFill="background1"/>
          </w:tcPr>
          <w:p w14:paraId="492C5E74" w14:textId="7C84F36C" w:rsidR="00555623" w:rsidRPr="00642B7C" w:rsidRDefault="00555623" w:rsidP="007145ED">
            <w:pPr>
              <w:rPr>
                <w:rFonts w:cs="Arial"/>
              </w:rPr>
            </w:pPr>
            <w:r w:rsidRPr="00555623">
              <w:rPr>
                <w:rFonts w:cs="Arial"/>
              </w:rPr>
              <w:t>ENU-8</w:t>
            </w:r>
          </w:p>
        </w:tc>
        <w:tc>
          <w:tcPr>
            <w:tcW w:w="7938" w:type="dxa"/>
            <w:shd w:val="clear" w:color="auto" w:fill="FFFFFF" w:themeFill="background1"/>
          </w:tcPr>
          <w:p w14:paraId="463068B9" w14:textId="24236275" w:rsidR="00555623" w:rsidRPr="00642B7C" w:rsidRDefault="00555623" w:rsidP="007145ED">
            <w:pPr>
              <w:rPr>
                <w:rFonts w:cs="Arial"/>
              </w:rPr>
            </w:pPr>
            <w:r w:rsidRPr="00555623">
              <w:rPr>
                <w:rFonts w:cs="Arial"/>
              </w:rPr>
              <w:t>Zelena javna nabava</w:t>
            </w:r>
          </w:p>
        </w:tc>
      </w:tr>
      <w:tr w:rsidR="00555623" w14:paraId="6367EB96" w14:textId="77777777" w:rsidTr="00DB7DF8">
        <w:tc>
          <w:tcPr>
            <w:tcW w:w="1129" w:type="dxa"/>
            <w:shd w:val="clear" w:color="auto" w:fill="FFFFFF" w:themeFill="background1"/>
          </w:tcPr>
          <w:p w14:paraId="7EAC00F9" w14:textId="6C374BBC" w:rsidR="00555623" w:rsidRPr="00642B7C" w:rsidRDefault="00555623" w:rsidP="007145ED">
            <w:pPr>
              <w:rPr>
                <w:rFonts w:cs="Arial"/>
              </w:rPr>
            </w:pPr>
            <w:r w:rsidRPr="00555623">
              <w:rPr>
                <w:rFonts w:cs="Arial"/>
              </w:rPr>
              <w:t>ENU-9</w:t>
            </w:r>
          </w:p>
        </w:tc>
        <w:tc>
          <w:tcPr>
            <w:tcW w:w="7938" w:type="dxa"/>
            <w:shd w:val="clear" w:color="auto" w:fill="FFFFFF" w:themeFill="background1"/>
          </w:tcPr>
          <w:p w14:paraId="27AE43B3" w14:textId="797DDA94" w:rsidR="00555623" w:rsidRPr="00642B7C" w:rsidRDefault="00555623" w:rsidP="007145ED">
            <w:pPr>
              <w:rPr>
                <w:rFonts w:cs="Arial"/>
              </w:rPr>
            </w:pPr>
            <w:r w:rsidRPr="00555623">
              <w:rPr>
                <w:rFonts w:cs="Arial"/>
              </w:rPr>
              <w:t>Sustavno gospodarenje energijom u poslovnom (uslužnom i proizvodnom) sektoru</w:t>
            </w:r>
          </w:p>
        </w:tc>
      </w:tr>
      <w:tr w:rsidR="00555623" w14:paraId="24F5E3EB" w14:textId="77777777" w:rsidTr="00DB7DF8">
        <w:tc>
          <w:tcPr>
            <w:tcW w:w="1129" w:type="dxa"/>
            <w:shd w:val="clear" w:color="auto" w:fill="FFFFFF" w:themeFill="background1"/>
          </w:tcPr>
          <w:p w14:paraId="759F3D3D" w14:textId="2322E81A" w:rsidR="00555623" w:rsidRPr="00642B7C" w:rsidRDefault="00555623" w:rsidP="007145ED">
            <w:pPr>
              <w:rPr>
                <w:rFonts w:cs="Arial"/>
              </w:rPr>
            </w:pPr>
            <w:r w:rsidRPr="00555623">
              <w:rPr>
                <w:rFonts w:cs="Arial"/>
              </w:rPr>
              <w:t>ENU-10</w:t>
            </w:r>
          </w:p>
        </w:tc>
        <w:tc>
          <w:tcPr>
            <w:tcW w:w="7938" w:type="dxa"/>
            <w:shd w:val="clear" w:color="auto" w:fill="FFFFFF" w:themeFill="background1"/>
          </w:tcPr>
          <w:p w14:paraId="78FD3562" w14:textId="7769710D" w:rsidR="00555623" w:rsidRPr="00642B7C" w:rsidRDefault="00555623" w:rsidP="007145ED">
            <w:pPr>
              <w:rPr>
                <w:rFonts w:cs="Arial"/>
              </w:rPr>
            </w:pPr>
            <w:r w:rsidRPr="00555623">
              <w:rPr>
                <w:rFonts w:cs="Arial"/>
              </w:rPr>
              <w:t>Informativni računi</w:t>
            </w:r>
          </w:p>
        </w:tc>
      </w:tr>
      <w:tr w:rsidR="00555623" w14:paraId="0DD30F2E" w14:textId="77777777" w:rsidTr="00DB7DF8">
        <w:tc>
          <w:tcPr>
            <w:tcW w:w="1129" w:type="dxa"/>
            <w:shd w:val="clear" w:color="auto" w:fill="FFFFFF" w:themeFill="background1"/>
          </w:tcPr>
          <w:p w14:paraId="0BE666A4" w14:textId="6BA89915" w:rsidR="00555623" w:rsidRPr="00642B7C" w:rsidRDefault="00555623" w:rsidP="007145ED">
            <w:pPr>
              <w:rPr>
                <w:rFonts w:cs="Arial"/>
              </w:rPr>
            </w:pPr>
            <w:r w:rsidRPr="00555623">
              <w:rPr>
                <w:rFonts w:cs="Arial"/>
              </w:rPr>
              <w:t>ENU-11</w:t>
            </w:r>
          </w:p>
        </w:tc>
        <w:tc>
          <w:tcPr>
            <w:tcW w:w="7938" w:type="dxa"/>
            <w:shd w:val="clear" w:color="auto" w:fill="FFFFFF" w:themeFill="background1"/>
          </w:tcPr>
          <w:p w14:paraId="20FC659E" w14:textId="641DF0B7" w:rsidR="00555623" w:rsidRPr="00642B7C" w:rsidRDefault="00555623" w:rsidP="007145ED">
            <w:pPr>
              <w:rPr>
                <w:rFonts w:cs="Arial"/>
              </w:rPr>
            </w:pPr>
            <w:r w:rsidRPr="00555623">
              <w:rPr>
                <w:rFonts w:cs="Arial"/>
              </w:rPr>
              <w:t>Informiranje o energetskoj učinkovitosti</w:t>
            </w:r>
          </w:p>
        </w:tc>
      </w:tr>
      <w:tr w:rsidR="00555623" w14:paraId="710902A3" w14:textId="77777777" w:rsidTr="00DB7DF8">
        <w:tc>
          <w:tcPr>
            <w:tcW w:w="1129" w:type="dxa"/>
            <w:shd w:val="clear" w:color="auto" w:fill="FFFFFF" w:themeFill="background1"/>
          </w:tcPr>
          <w:p w14:paraId="46284DC0" w14:textId="7B529351" w:rsidR="00555623" w:rsidRPr="00642B7C" w:rsidRDefault="00555623" w:rsidP="007145ED">
            <w:pPr>
              <w:rPr>
                <w:rFonts w:cs="Arial"/>
              </w:rPr>
            </w:pPr>
            <w:r w:rsidRPr="00555623">
              <w:rPr>
                <w:rFonts w:cs="Arial"/>
              </w:rPr>
              <w:t>ENU-12</w:t>
            </w:r>
          </w:p>
        </w:tc>
        <w:tc>
          <w:tcPr>
            <w:tcW w:w="7938" w:type="dxa"/>
            <w:shd w:val="clear" w:color="auto" w:fill="FFFFFF" w:themeFill="background1"/>
          </w:tcPr>
          <w:p w14:paraId="133B9D2A" w14:textId="615E5793" w:rsidR="00555623" w:rsidRPr="00642B7C" w:rsidRDefault="00555623" w:rsidP="007145ED">
            <w:pPr>
              <w:rPr>
                <w:rFonts w:cs="Arial"/>
              </w:rPr>
            </w:pPr>
            <w:r w:rsidRPr="00555623">
              <w:rPr>
                <w:rFonts w:cs="Arial"/>
              </w:rPr>
              <w:t>Obrazovanje u području energetske učinkovitosti</w:t>
            </w:r>
          </w:p>
        </w:tc>
      </w:tr>
      <w:tr w:rsidR="00555623" w14:paraId="710F811D" w14:textId="77777777" w:rsidTr="00DB7DF8">
        <w:tc>
          <w:tcPr>
            <w:tcW w:w="1129" w:type="dxa"/>
            <w:shd w:val="clear" w:color="auto" w:fill="FFFFFF" w:themeFill="background1"/>
          </w:tcPr>
          <w:p w14:paraId="6919B43A" w14:textId="57BD1B81" w:rsidR="00555623" w:rsidRPr="00642B7C" w:rsidRDefault="00555623" w:rsidP="007145ED">
            <w:pPr>
              <w:rPr>
                <w:rFonts w:cs="Arial"/>
              </w:rPr>
            </w:pPr>
            <w:r w:rsidRPr="00555623">
              <w:rPr>
                <w:rFonts w:cs="Arial"/>
              </w:rPr>
              <w:t>ENU-13</w:t>
            </w:r>
          </w:p>
        </w:tc>
        <w:tc>
          <w:tcPr>
            <w:tcW w:w="7938" w:type="dxa"/>
            <w:shd w:val="clear" w:color="auto" w:fill="FFFFFF" w:themeFill="background1"/>
          </w:tcPr>
          <w:p w14:paraId="1A23F8E1" w14:textId="143887C4" w:rsidR="00555623" w:rsidRPr="00642B7C" w:rsidRDefault="00555623" w:rsidP="007145ED">
            <w:pPr>
              <w:rPr>
                <w:rFonts w:cs="Arial"/>
              </w:rPr>
            </w:pPr>
            <w:r>
              <w:rPr>
                <w:rFonts w:cs="Arial"/>
              </w:rPr>
              <w:t>I</w:t>
            </w:r>
            <w:r w:rsidRPr="00555623">
              <w:rPr>
                <w:rFonts w:cs="Arial"/>
              </w:rPr>
              <w:t>ntegrirani informacijski sustav za praćenje energetske učinkovitosti</w:t>
            </w:r>
          </w:p>
        </w:tc>
      </w:tr>
      <w:tr w:rsidR="00555623" w14:paraId="1D296BB6" w14:textId="77777777" w:rsidTr="00DB7DF8">
        <w:tc>
          <w:tcPr>
            <w:tcW w:w="1129" w:type="dxa"/>
            <w:shd w:val="clear" w:color="auto" w:fill="FFFFFF" w:themeFill="background1"/>
          </w:tcPr>
          <w:p w14:paraId="07FFBDD1" w14:textId="1F4777DA" w:rsidR="00555623" w:rsidRPr="00642B7C" w:rsidRDefault="00555623" w:rsidP="007145ED">
            <w:pPr>
              <w:rPr>
                <w:rFonts w:cs="Arial"/>
              </w:rPr>
            </w:pPr>
            <w:r w:rsidRPr="00555623">
              <w:rPr>
                <w:rFonts w:cs="Arial"/>
              </w:rPr>
              <w:t>ENU-14</w:t>
            </w:r>
          </w:p>
        </w:tc>
        <w:tc>
          <w:tcPr>
            <w:tcW w:w="7938" w:type="dxa"/>
            <w:shd w:val="clear" w:color="auto" w:fill="FFFFFF" w:themeFill="background1"/>
          </w:tcPr>
          <w:p w14:paraId="7921B4FE" w14:textId="56052ACA" w:rsidR="00555623" w:rsidRPr="00642B7C" w:rsidRDefault="00555623" w:rsidP="007145ED">
            <w:pPr>
              <w:rPr>
                <w:rFonts w:cs="Arial"/>
              </w:rPr>
            </w:pPr>
            <w:r w:rsidRPr="00555623">
              <w:rPr>
                <w:rFonts w:cs="Arial"/>
              </w:rPr>
              <w:t>Vođenje pogona elektroenergetskog sustava te razvoj prijenosne mreže</w:t>
            </w:r>
          </w:p>
        </w:tc>
      </w:tr>
      <w:tr w:rsidR="00555623" w14:paraId="69B77CA2" w14:textId="77777777" w:rsidTr="00DB7DF8">
        <w:tc>
          <w:tcPr>
            <w:tcW w:w="1129" w:type="dxa"/>
            <w:shd w:val="clear" w:color="auto" w:fill="FFFFFF" w:themeFill="background1"/>
          </w:tcPr>
          <w:p w14:paraId="5E35FE0A" w14:textId="719643D1" w:rsidR="00555623" w:rsidRPr="00642B7C" w:rsidRDefault="00555623" w:rsidP="007145ED">
            <w:pPr>
              <w:rPr>
                <w:rFonts w:cs="Arial"/>
              </w:rPr>
            </w:pPr>
            <w:r w:rsidRPr="00555623">
              <w:rPr>
                <w:rFonts w:cs="Arial"/>
              </w:rPr>
              <w:t>ENU-15</w:t>
            </w:r>
          </w:p>
        </w:tc>
        <w:tc>
          <w:tcPr>
            <w:tcW w:w="7938" w:type="dxa"/>
            <w:shd w:val="clear" w:color="auto" w:fill="FFFFFF" w:themeFill="background1"/>
          </w:tcPr>
          <w:p w14:paraId="585FAE88" w14:textId="55888655" w:rsidR="00555623" w:rsidRPr="00642B7C" w:rsidRDefault="00555623" w:rsidP="007145ED">
            <w:pPr>
              <w:rPr>
                <w:rFonts w:cs="Arial"/>
              </w:rPr>
            </w:pPr>
            <w:r w:rsidRPr="00555623">
              <w:rPr>
                <w:rFonts w:cs="Arial"/>
              </w:rPr>
              <w:t>Smanjenje gubitaka u distribucijskoj elektroenergetskoj mreži i uvođenje pametnih mreža</w:t>
            </w:r>
          </w:p>
        </w:tc>
      </w:tr>
      <w:tr w:rsidR="00B528B3" w14:paraId="534F53F0" w14:textId="77777777" w:rsidTr="00DB7DF8">
        <w:tc>
          <w:tcPr>
            <w:tcW w:w="1129" w:type="dxa"/>
            <w:shd w:val="clear" w:color="auto" w:fill="FFFFFF" w:themeFill="background1"/>
          </w:tcPr>
          <w:p w14:paraId="4BFFB2FF" w14:textId="4AC6E47F" w:rsidR="00B528B3" w:rsidRPr="00555623" w:rsidRDefault="00B528B3" w:rsidP="007145ED">
            <w:pPr>
              <w:rPr>
                <w:rFonts w:cs="Arial"/>
              </w:rPr>
            </w:pPr>
            <w:r>
              <w:rPr>
                <w:u w:val="single"/>
              </w:rPr>
              <w:t>ENU-16</w:t>
            </w:r>
          </w:p>
        </w:tc>
        <w:tc>
          <w:tcPr>
            <w:tcW w:w="7938" w:type="dxa"/>
            <w:shd w:val="clear" w:color="auto" w:fill="FFFFFF" w:themeFill="background1"/>
          </w:tcPr>
          <w:p w14:paraId="2B82C86A" w14:textId="1BCD77FC" w:rsidR="00B528B3" w:rsidRPr="00CF2D4C" w:rsidRDefault="00B528B3" w:rsidP="007145ED">
            <w:pPr>
              <w:rPr>
                <w:u w:val="single"/>
              </w:rPr>
            </w:pPr>
            <w:r>
              <w:rPr>
                <w:u w:val="single"/>
              </w:rPr>
              <w:t>Povećanje učinkovitosti sustava toplinarstva</w:t>
            </w:r>
          </w:p>
        </w:tc>
      </w:tr>
      <w:tr w:rsidR="002E65E3" w14:paraId="05B8EFB0" w14:textId="77777777" w:rsidTr="00845396">
        <w:tc>
          <w:tcPr>
            <w:tcW w:w="9067" w:type="dxa"/>
            <w:gridSpan w:val="2"/>
            <w:shd w:val="clear" w:color="auto" w:fill="FFFFFF" w:themeFill="background1"/>
          </w:tcPr>
          <w:p w14:paraId="189E2332" w14:textId="0D652775" w:rsidR="002E65E3" w:rsidRPr="00555623" w:rsidRDefault="002E65E3" w:rsidP="007145ED">
            <w:pPr>
              <w:rPr>
                <w:rFonts w:cs="Arial"/>
              </w:rPr>
            </w:pPr>
            <w:r>
              <w:rPr>
                <w:rFonts w:cs="Arial"/>
              </w:rPr>
              <w:t>Energetska sigurnost</w:t>
            </w:r>
          </w:p>
        </w:tc>
      </w:tr>
      <w:tr w:rsidR="00555623" w14:paraId="67E3CA2E" w14:textId="77777777" w:rsidTr="00DB7DF8">
        <w:tc>
          <w:tcPr>
            <w:tcW w:w="1129" w:type="dxa"/>
            <w:shd w:val="clear" w:color="auto" w:fill="FFFFFF" w:themeFill="background1"/>
          </w:tcPr>
          <w:p w14:paraId="777848A6" w14:textId="0D35D0F9" w:rsidR="00555623" w:rsidRPr="00642B7C" w:rsidRDefault="00555623" w:rsidP="007145ED">
            <w:pPr>
              <w:rPr>
                <w:rFonts w:cs="Arial"/>
              </w:rPr>
            </w:pPr>
            <w:r w:rsidRPr="00555623">
              <w:rPr>
                <w:rFonts w:cs="Arial"/>
              </w:rPr>
              <w:t>ES-1</w:t>
            </w:r>
          </w:p>
        </w:tc>
        <w:tc>
          <w:tcPr>
            <w:tcW w:w="7938" w:type="dxa"/>
            <w:shd w:val="clear" w:color="auto" w:fill="FFFFFF" w:themeFill="background1"/>
          </w:tcPr>
          <w:p w14:paraId="5C87FC38" w14:textId="06A1EE0B" w:rsidR="00555623" w:rsidRPr="00642B7C" w:rsidRDefault="00555623" w:rsidP="007145ED">
            <w:pPr>
              <w:rPr>
                <w:rFonts w:cs="Arial"/>
              </w:rPr>
            </w:pPr>
            <w:r w:rsidRPr="00555623">
              <w:rPr>
                <w:rFonts w:cs="Arial"/>
              </w:rPr>
              <w:t>Integrirano planiranje sigurnosti opskrbe energijom i energentima</w:t>
            </w:r>
          </w:p>
        </w:tc>
      </w:tr>
      <w:tr w:rsidR="00555623" w14:paraId="2EAAA685" w14:textId="77777777" w:rsidTr="00DB7DF8">
        <w:tc>
          <w:tcPr>
            <w:tcW w:w="1129" w:type="dxa"/>
            <w:shd w:val="clear" w:color="auto" w:fill="FFFFFF" w:themeFill="background1"/>
          </w:tcPr>
          <w:p w14:paraId="2C51E685" w14:textId="675A1A19" w:rsidR="00555623" w:rsidRPr="00642B7C" w:rsidRDefault="00555623" w:rsidP="007145ED">
            <w:pPr>
              <w:rPr>
                <w:rFonts w:cs="Arial"/>
              </w:rPr>
            </w:pPr>
            <w:r w:rsidRPr="00555623">
              <w:rPr>
                <w:rFonts w:cs="Arial"/>
              </w:rPr>
              <w:t>ES-2</w:t>
            </w:r>
          </w:p>
        </w:tc>
        <w:tc>
          <w:tcPr>
            <w:tcW w:w="7938" w:type="dxa"/>
            <w:shd w:val="clear" w:color="auto" w:fill="FFFFFF" w:themeFill="background1"/>
          </w:tcPr>
          <w:p w14:paraId="5D054811" w14:textId="64F6B3BC" w:rsidR="00555623" w:rsidRPr="00642B7C" w:rsidRDefault="00555623" w:rsidP="007145ED">
            <w:pPr>
              <w:rPr>
                <w:rFonts w:cs="Arial"/>
              </w:rPr>
            </w:pPr>
            <w:r w:rsidRPr="00555623">
              <w:rPr>
                <w:rFonts w:cs="Arial"/>
              </w:rPr>
              <w:t>Izgradnja LNG terminala</w:t>
            </w:r>
          </w:p>
        </w:tc>
      </w:tr>
      <w:tr w:rsidR="00555623" w14:paraId="56E3D543" w14:textId="77777777" w:rsidTr="00DB7DF8">
        <w:tc>
          <w:tcPr>
            <w:tcW w:w="1129" w:type="dxa"/>
            <w:shd w:val="clear" w:color="auto" w:fill="FFFFFF" w:themeFill="background1"/>
          </w:tcPr>
          <w:p w14:paraId="723B93FB" w14:textId="7312A877" w:rsidR="00555623" w:rsidRPr="00642B7C" w:rsidRDefault="00555623" w:rsidP="007145ED">
            <w:pPr>
              <w:rPr>
                <w:rFonts w:cs="Arial"/>
              </w:rPr>
            </w:pPr>
            <w:r w:rsidRPr="00555623">
              <w:rPr>
                <w:rFonts w:cs="Arial"/>
              </w:rPr>
              <w:t>ES-3</w:t>
            </w:r>
          </w:p>
        </w:tc>
        <w:tc>
          <w:tcPr>
            <w:tcW w:w="7938" w:type="dxa"/>
            <w:shd w:val="clear" w:color="auto" w:fill="FFFFFF" w:themeFill="background1"/>
          </w:tcPr>
          <w:p w14:paraId="72A8F59F" w14:textId="5D17BF4C" w:rsidR="00555623" w:rsidRPr="00642B7C" w:rsidRDefault="00555623" w:rsidP="007145ED">
            <w:pPr>
              <w:rPr>
                <w:rFonts w:cs="Arial"/>
              </w:rPr>
            </w:pPr>
            <w:r w:rsidRPr="00555623">
              <w:rPr>
                <w:rFonts w:cs="Arial"/>
              </w:rPr>
              <w:t>Uključivanje u Jadransko-jonski plinovod</w:t>
            </w:r>
          </w:p>
        </w:tc>
      </w:tr>
      <w:tr w:rsidR="007145ED" w14:paraId="066DD5D1" w14:textId="77777777" w:rsidTr="00DB7DF8">
        <w:tc>
          <w:tcPr>
            <w:tcW w:w="1129" w:type="dxa"/>
            <w:shd w:val="clear" w:color="auto" w:fill="FFFFFF" w:themeFill="background1"/>
          </w:tcPr>
          <w:p w14:paraId="2757F694" w14:textId="510A0C44" w:rsidR="007145ED" w:rsidRPr="00555623" w:rsidRDefault="007145ED" w:rsidP="007145ED">
            <w:pPr>
              <w:rPr>
                <w:rFonts w:cs="Arial"/>
              </w:rPr>
            </w:pPr>
            <w:r w:rsidRPr="007145ED">
              <w:rPr>
                <w:rFonts w:cs="Arial"/>
              </w:rPr>
              <w:t>ES-4</w:t>
            </w:r>
          </w:p>
        </w:tc>
        <w:tc>
          <w:tcPr>
            <w:tcW w:w="7938" w:type="dxa"/>
            <w:shd w:val="clear" w:color="auto" w:fill="FFFFFF" w:themeFill="background1"/>
          </w:tcPr>
          <w:p w14:paraId="749B5737" w14:textId="05EF8691" w:rsidR="007145ED" w:rsidRPr="00555623" w:rsidRDefault="007145ED" w:rsidP="007145ED">
            <w:pPr>
              <w:rPr>
                <w:rFonts w:cs="Arial"/>
              </w:rPr>
            </w:pPr>
            <w:r w:rsidRPr="007145ED">
              <w:rPr>
                <w:rFonts w:cs="Arial"/>
              </w:rPr>
              <w:t>Izgradnja reverzibilne hidroelektrane</w:t>
            </w:r>
          </w:p>
        </w:tc>
      </w:tr>
      <w:tr w:rsidR="007145ED" w14:paraId="5CC67577" w14:textId="77777777" w:rsidTr="00DB7DF8">
        <w:tc>
          <w:tcPr>
            <w:tcW w:w="1129" w:type="dxa"/>
            <w:shd w:val="clear" w:color="auto" w:fill="FFFFFF" w:themeFill="background1"/>
          </w:tcPr>
          <w:p w14:paraId="45DEEC2D" w14:textId="3CA7DF66" w:rsidR="007145ED" w:rsidRPr="00555623" w:rsidRDefault="007145ED" w:rsidP="007145ED">
            <w:pPr>
              <w:rPr>
                <w:rFonts w:cs="Arial"/>
              </w:rPr>
            </w:pPr>
            <w:r w:rsidRPr="007145ED">
              <w:rPr>
                <w:rFonts w:cs="Arial"/>
              </w:rPr>
              <w:t>ES-5</w:t>
            </w:r>
          </w:p>
        </w:tc>
        <w:tc>
          <w:tcPr>
            <w:tcW w:w="7938" w:type="dxa"/>
            <w:shd w:val="clear" w:color="auto" w:fill="FFFFFF" w:themeFill="background1"/>
          </w:tcPr>
          <w:p w14:paraId="14174BDF" w14:textId="1967C2C6" w:rsidR="007145ED" w:rsidRPr="00555623" w:rsidRDefault="007145ED" w:rsidP="007145ED">
            <w:pPr>
              <w:rPr>
                <w:rFonts w:cs="Arial"/>
              </w:rPr>
            </w:pPr>
            <w:r w:rsidRPr="007145ED">
              <w:rPr>
                <w:rFonts w:cs="Arial"/>
              </w:rPr>
              <w:t>Dogradnja skladišta plina Grubišno Polje</w:t>
            </w:r>
          </w:p>
        </w:tc>
      </w:tr>
      <w:tr w:rsidR="007145ED" w14:paraId="3571EFCA" w14:textId="77777777" w:rsidTr="00DB7DF8">
        <w:tc>
          <w:tcPr>
            <w:tcW w:w="1129" w:type="dxa"/>
            <w:shd w:val="clear" w:color="auto" w:fill="FFFFFF" w:themeFill="background1"/>
          </w:tcPr>
          <w:p w14:paraId="2881F7EE" w14:textId="55BC7302" w:rsidR="007145ED" w:rsidRPr="00555623" w:rsidRDefault="007145ED" w:rsidP="007145ED">
            <w:pPr>
              <w:rPr>
                <w:rFonts w:cs="Arial"/>
              </w:rPr>
            </w:pPr>
            <w:r w:rsidRPr="007145ED">
              <w:rPr>
                <w:rFonts w:cs="Arial"/>
              </w:rPr>
              <w:t>ES-6</w:t>
            </w:r>
          </w:p>
        </w:tc>
        <w:tc>
          <w:tcPr>
            <w:tcW w:w="7938" w:type="dxa"/>
            <w:shd w:val="clear" w:color="auto" w:fill="FFFFFF" w:themeFill="background1"/>
          </w:tcPr>
          <w:p w14:paraId="1D1122D4" w14:textId="009E58AC" w:rsidR="007145ED" w:rsidRPr="00555623" w:rsidRDefault="007145ED" w:rsidP="007145ED">
            <w:pPr>
              <w:rPr>
                <w:rFonts w:cs="Arial"/>
              </w:rPr>
            </w:pPr>
            <w:r w:rsidRPr="007145ED">
              <w:rPr>
                <w:rFonts w:cs="Arial"/>
              </w:rPr>
              <w:t>Uvođenje naprednih brojila na razini potrošnje</w:t>
            </w:r>
          </w:p>
        </w:tc>
      </w:tr>
      <w:tr w:rsidR="007145ED" w14:paraId="12248C13" w14:textId="77777777" w:rsidTr="00DB7DF8">
        <w:tc>
          <w:tcPr>
            <w:tcW w:w="1129" w:type="dxa"/>
            <w:shd w:val="clear" w:color="auto" w:fill="FFFFFF" w:themeFill="background1"/>
          </w:tcPr>
          <w:p w14:paraId="3D414758" w14:textId="3259DBF7" w:rsidR="007145ED" w:rsidRPr="00555623" w:rsidRDefault="007145ED" w:rsidP="007145ED">
            <w:pPr>
              <w:rPr>
                <w:rFonts w:cs="Arial"/>
              </w:rPr>
            </w:pPr>
            <w:r w:rsidRPr="007145ED">
              <w:rPr>
                <w:rFonts w:cs="Arial"/>
              </w:rPr>
              <w:t>ES-7</w:t>
            </w:r>
          </w:p>
        </w:tc>
        <w:tc>
          <w:tcPr>
            <w:tcW w:w="7938" w:type="dxa"/>
            <w:shd w:val="clear" w:color="auto" w:fill="FFFFFF" w:themeFill="background1"/>
          </w:tcPr>
          <w:p w14:paraId="0C5ACAD9" w14:textId="1819D700" w:rsidR="007145ED" w:rsidRPr="00555623" w:rsidRDefault="007145ED" w:rsidP="007145ED">
            <w:pPr>
              <w:rPr>
                <w:rFonts w:cs="Arial"/>
              </w:rPr>
            </w:pPr>
            <w:r w:rsidRPr="007145ED">
              <w:rPr>
                <w:rFonts w:cs="Arial"/>
              </w:rPr>
              <w:t>Pokretanje pilot projekata pružanja pomoćnih usluga</w:t>
            </w:r>
          </w:p>
        </w:tc>
      </w:tr>
      <w:tr w:rsidR="007145ED" w14:paraId="3F62EBA9" w14:textId="77777777" w:rsidTr="00DB7DF8">
        <w:tc>
          <w:tcPr>
            <w:tcW w:w="1129" w:type="dxa"/>
            <w:shd w:val="clear" w:color="auto" w:fill="FFFFFF" w:themeFill="background1"/>
          </w:tcPr>
          <w:p w14:paraId="39EB709E" w14:textId="09EA6259" w:rsidR="007145ED" w:rsidRPr="00555623" w:rsidRDefault="007145ED" w:rsidP="007145ED">
            <w:pPr>
              <w:rPr>
                <w:rFonts w:cs="Arial"/>
              </w:rPr>
            </w:pPr>
            <w:r w:rsidRPr="007145ED">
              <w:rPr>
                <w:rFonts w:cs="Arial"/>
              </w:rPr>
              <w:t>ES-8</w:t>
            </w:r>
          </w:p>
        </w:tc>
        <w:tc>
          <w:tcPr>
            <w:tcW w:w="7938" w:type="dxa"/>
            <w:shd w:val="clear" w:color="auto" w:fill="FFFFFF" w:themeFill="background1"/>
          </w:tcPr>
          <w:p w14:paraId="184C3A3D" w14:textId="09E46467" w:rsidR="007145ED" w:rsidRPr="00555623" w:rsidRDefault="007145ED" w:rsidP="007145ED">
            <w:pPr>
              <w:rPr>
                <w:rFonts w:cs="Arial"/>
              </w:rPr>
            </w:pPr>
            <w:r w:rsidRPr="007145ED">
              <w:rPr>
                <w:rFonts w:cs="Arial"/>
              </w:rPr>
              <w:t>Istraživanje potencijalnih ležišta ugljikovodika u Slavoniji, Dinaridima i južnom Jadranu</w:t>
            </w:r>
          </w:p>
        </w:tc>
      </w:tr>
      <w:tr w:rsidR="007145ED" w14:paraId="6C378D6C" w14:textId="77777777" w:rsidTr="00DB7DF8">
        <w:tc>
          <w:tcPr>
            <w:tcW w:w="1129" w:type="dxa"/>
            <w:shd w:val="clear" w:color="auto" w:fill="FFFFFF" w:themeFill="background1"/>
          </w:tcPr>
          <w:p w14:paraId="68670B7D" w14:textId="7F7DF008" w:rsidR="007145ED" w:rsidRPr="007145ED" w:rsidRDefault="007145ED" w:rsidP="007145ED">
            <w:pPr>
              <w:rPr>
                <w:rFonts w:cs="Arial"/>
              </w:rPr>
            </w:pPr>
            <w:r w:rsidRPr="007145ED">
              <w:rPr>
                <w:rFonts w:cs="Arial"/>
              </w:rPr>
              <w:t>ES-9</w:t>
            </w:r>
          </w:p>
        </w:tc>
        <w:tc>
          <w:tcPr>
            <w:tcW w:w="7938" w:type="dxa"/>
            <w:shd w:val="clear" w:color="auto" w:fill="FFFFFF" w:themeFill="background1"/>
          </w:tcPr>
          <w:p w14:paraId="5430B90A" w14:textId="5F34967C" w:rsidR="007145ED" w:rsidRPr="007145ED" w:rsidRDefault="007145ED" w:rsidP="007145ED">
            <w:pPr>
              <w:rPr>
                <w:rFonts w:cs="Arial"/>
              </w:rPr>
            </w:pPr>
            <w:r w:rsidRPr="007145ED">
              <w:rPr>
                <w:rFonts w:cs="Arial"/>
              </w:rPr>
              <w:t>Razvoj i vođenje elektroenergetskog sustava</w:t>
            </w:r>
          </w:p>
        </w:tc>
      </w:tr>
      <w:tr w:rsidR="002E65E3" w14:paraId="21F1843F" w14:textId="77777777" w:rsidTr="00845396">
        <w:tc>
          <w:tcPr>
            <w:tcW w:w="9067" w:type="dxa"/>
            <w:gridSpan w:val="2"/>
            <w:shd w:val="clear" w:color="auto" w:fill="FFFFFF" w:themeFill="background1"/>
          </w:tcPr>
          <w:p w14:paraId="2D43ED40" w14:textId="66D490FF" w:rsidR="002E65E3" w:rsidRPr="007145ED" w:rsidRDefault="002E65E3" w:rsidP="007145ED">
            <w:pPr>
              <w:rPr>
                <w:rFonts w:cs="Arial"/>
              </w:rPr>
            </w:pPr>
            <w:r>
              <w:rPr>
                <w:rFonts w:cs="Arial"/>
              </w:rPr>
              <w:t>Unutarnje energetsko tržište</w:t>
            </w:r>
          </w:p>
        </w:tc>
      </w:tr>
      <w:tr w:rsidR="007145ED" w14:paraId="7317CE13" w14:textId="77777777" w:rsidTr="00DB7DF8">
        <w:tc>
          <w:tcPr>
            <w:tcW w:w="1129" w:type="dxa"/>
            <w:shd w:val="clear" w:color="auto" w:fill="FFFFFF" w:themeFill="background1"/>
          </w:tcPr>
          <w:p w14:paraId="46202920" w14:textId="2ECD400C" w:rsidR="007145ED" w:rsidRPr="007145ED" w:rsidRDefault="007145ED" w:rsidP="007145ED">
            <w:pPr>
              <w:rPr>
                <w:rFonts w:cs="Arial"/>
              </w:rPr>
            </w:pPr>
            <w:r w:rsidRPr="007145ED">
              <w:rPr>
                <w:rFonts w:cs="Arial"/>
              </w:rPr>
              <w:t>UET-1</w:t>
            </w:r>
          </w:p>
        </w:tc>
        <w:tc>
          <w:tcPr>
            <w:tcW w:w="7938" w:type="dxa"/>
            <w:shd w:val="clear" w:color="auto" w:fill="FFFFFF" w:themeFill="background1"/>
          </w:tcPr>
          <w:p w14:paraId="5AD68777" w14:textId="6AFE09DC" w:rsidR="007145ED" w:rsidRPr="007145ED" w:rsidRDefault="007145ED" w:rsidP="007145ED">
            <w:pPr>
              <w:rPr>
                <w:rFonts w:cs="Arial"/>
              </w:rPr>
            </w:pPr>
            <w:r w:rsidRPr="007145ED">
              <w:rPr>
                <w:rFonts w:cs="Arial"/>
              </w:rPr>
              <w:t>Provedba desetgodišnjeg plana razvoja prijenosne elektroenergetske mreže</w:t>
            </w:r>
          </w:p>
        </w:tc>
      </w:tr>
      <w:tr w:rsidR="007145ED" w14:paraId="556EF1C8" w14:textId="77777777" w:rsidTr="00DB7DF8">
        <w:tc>
          <w:tcPr>
            <w:tcW w:w="1129" w:type="dxa"/>
            <w:shd w:val="clear" w:color="auto" w:fill="FFFFFF" w:themeFill="background1"/>
          </w:tcPr>
          <w:p w14:paraId="44727409" w14:textId="299A01AF" w:rsidR="007145ED" w:rsidRPr="007145ED" w:rsidRDefault="007145ED" w:rsidP="007145ED">
            <w:pPr>
              <w:rPr>
                <w:rFonts w:cs="Arial"/>
              </w:rPr>
            </w:pPr>
            <w:r w:rsidRPr="007145ED">
              <w:rPr>
                <w:rFonts w:cs="Arial"/>
              </w:rPr>
              <w:t>UET-2</w:t>
            </w:r>
          </w:p>
        </w:tc>
        <w:tc>
          <w:tcPr>
            <w:tcW w:w="7938" w:type="dxa"/>
            <w:shd w:val="clear" w:color="auto" w:fill="FFFFFF" w:themeFill="background1"/>
          </w:tcPr>
          <w:p w14:paraId="75DA5EAC" w14:textId="75C88B6E" w:rsidR="007145ED" w:rsidRPr="007145ED" w:rsidRDefault="007145ED" w:rsidP="007145ED">
            <w:pPr>
              <w:rPr>
                <w:rFonts w:cs="Arial"/>
              </w:rPr>
            </w:pPr>
            <w:r w:rsidRPr="007145ED">
              <w:rPr>
                <w:rFonts w:cs="Arial"/>
              </w:rPr>
              <w:t>Provedba desetgodišnjeg plana razvoja plinskog transportnog sustava</w:t>
            </w:r>
          </w:p>
        </w:tc>
      </w:tr>
      <w:tr w:rsidR="007145ED" w14:paraId="3C48F0F3" w14:textId="77777777" w:rsidTr="00DB7DF8">
        <w:tc>
          <w:tcPr>
            <w:tcW w:w="1129" w:type="dxa"/>
            <w:shd w:val="clear" w:color="auto" w:fill="FFFFFF" w:themeFill="background1"/>
          </w:tcPr>
          <w:p w14:paraId="4DDD12B7" w14:textId="64853061" w:rsidR="007145ED" w:rsidRPr="007145ED" w:rsidRDefault="007145ED" w:rsidP="007145ED">
            <w:pPr>
              <w:rPr>
                <w:rFonts w:cs="Arial"/>
              </w:rPr>
            </w:pPr>
            <w:r w:rsidRPr="007145ED">
              <w:rPr>
                <w:rFonts w:cs="Arial"/>
              </w:rPr>
              <w:t>UET-3</w:t>
            </w:r>
          </w:p>
        </w:tc>
        <w:tc>
          <w:tcPr>
            <w:tcW w:w="7938" w:type="dxa"/>
            <w:shd w:val="clear" w:color="auto" w:fill="FFFFFF" w:themeFill="background1"/>
          </w:tcPr>
          <w:p w14:paraId="3523DFAE" w14:textId="1AB25A66" w:rsidR="007145ED" w:rsidRPr="007145ED" w:rsidRDefault="007145ED" w:rsidP="007145ED">
            <w:pPr>
              <w:rPr>
                <w:rFonts w:cs="Arial"/>
              </w:rPr>
            </w:pPr>
            <w:r>
              <w:rPr>
                <w:rFonts w:cs="Arial"/>
              </w:rPr>
              <w:t>Osiguranje u</w:t>
            </w:r>
            <w:r w:rsidRPr="007145ED">
              <w:rPr>
                <w:rFonts w:cs="Arial"/>
              </w:rPr>
              <w:t>ravnoteženj</w:t>
            </w:r>
            <w:r>
              <w:rPr>
                <w:rFonts w:cs="Arial"/>
              </w:rPr>
              <w:t>a elektroenergetskog</w:t>
            </w:r>
            <w:r w:rsidRPr="007145ED">
              <w:rPr>
                <w:rFonts w:cs="Arial"/>
              </w:rPr>
              <w:t xml:space="preserve"> sustava</w:t>
            </w:r>
          </w:p>
        </w:tc>
      </w:tr>
      <w:tr w:rsidR="007145ED" w14:paraId="17CCDFEB" w14:textId="77777777" w:rsidTr="00DB7DF8">
        <w:tc>
          <w:tcPr>
            <w:tcW w:w="1129" w:type="dxa"/>
            <w:shd w:val="clear" w:color="auto" w:fill="FFFFFF" w:themeFill="background1"/>
          </w:tcPr>
          <w:p w14:paraId="1D6ED64A" w14:textId="47A5709A" w:rsidR="007145ED" w:rsidRPr="007145ED" w:rsidRDefault="007145ED" w:rsidP="007145ED">
            <w:pPr>
              <w:rPr>
                <w:rFonts w:cs="Arial"/>
              </w:rPr>
            </w:pPr>
            <w:r w:rsidRPr="007145ED">
              <w:rPr>
                <w:rFonts w:cs="Arial"/>
              </w:rPr>
              <w:t>UET 4</w:t>
            </w:r>
          </w:p>
        </w:tc>
        <w:tc>
          <w:tcPr>
            <w:tcW w:w="7938" w:type="dxa"/>
            <w:shd w:val="clear" w:color="auto" w:fill="FFFFFF" w:themeFill="background1"/>
          </w:tcPr>
          <w:p w14:paraId="401F9CBD" w14:textId="76E844D4" w:rsidR="007145ED" w:rsidRPr="007145ED" w:rsidRDefault="007145ED" w:rsidP="007145ED">
            <w:pPr>
              <w:rPr>
                <w:rFonts w:cs="Arial"/>
              </w:rPr>
            </w:pPr>
            <w:r w:rsidRPr="007145ED">
              <w:rPr>
                <w:rFonts w:cs="Arial"/>
              </w:rPr>
              <w:t>Razrada regulatornog okvira za aktivno sudjelovanje kupaca na tržištu električne energije</w:t>
            </w:r>
          </w:p>
        </w:tc>
      </w:tr>
      <w:tr w:rsidR="007145ED" w14:paraId="7B8D231C" w14:textId="77777777" w:rsidTr="00DB7DF8">
        <w:tc>
          <w:tcPr>
            <w:tcW w:w="1129" w:type="dxa"/>
            <w:shd w:val="clear" w:color="auto" w:fill="FFFFFF" w:themeFill="background1"/>
          </w:tcPr>
          <w:p w14:paraId="0E547A2D" w14:textId="07E4F2E1" w:rsidR="007145ED" w:rsidRPr="007145ED" w:rsidRDefault="007145ED" w:rsidP="007145ED">
            <w:pPr>
              <w:rPr>
                <w:rFonts w:cs="Arial"/>
              </w:rPr>
            </w:pPr>
            <w:r w:rsidRPr="007145ED">
              <w:rPr>
                <w:rFonts w:cs="Arial"/>
              </w:rPr>
              <w:t>UET-5</w:t>
            </w:r>
          </w:p>
        </w:tc>
        <w:tc>
          <w:tcPr>
            <w:tcW w:w="7938" w:type="dxa"/>
            <w:shd w:val="clear" w:color="auto" w:fill="FFFFFF" w:themeFill="background1"/>
          </w:tcPr>
          <w:p w14:paraId="59DFD8CD" w14:textId="19EC80A3" w:rsidR="007145ED" w:rsidRPr="007145ED" w:rsidRDefault="007145ED" w:rsidP="007145ED">
            <w:pPr>
              <w:rPr>
                <w:rFonts w:cs="Arial"/>
              </w:rPr>
            </w:pPr>
            <w:r w:rsidRPr="007145ED">
              <w:rPr>
                <w:rFonts w:cs="Arial"/>
              </w:rPr>
              <w:t>Prove</w:t>
            </w:r>
            <w:r>
              <w:rPr>
                <w:rFonts w:cs="Arial"/>
              </w:rPr>
              <w:t>d</w:t>
            </w:r>
            <w:r w:rsidRPr="007145ED">
              <w:rPr>
                <w:rFonts w:cs="Arial"/>
              </w:rPr>
              <w:t>ba Programa suzbijanja energetsk</w:t>
            </w:r>
            <w:r w:rsidR="00682831">
              <w:rPr>
                <w:rFonts w:cs="Arial"/>
              </w:rPr>
              <w:t>og siromaštva</w:t>
            </w:r>
          </w:p>
        </w:tc>
      </w:tr>
      <w:tr w:rsidR="002E65E3" w14:paraId="32AC7D32" w14:textId="77777777" w:rsidTr="00845396">
        <w:tc>
          <w:tcPr>
            <w:tcW w:w="9067" w:type="dxa"/>
            <w:gridSpan w:val="2"/>
            <w:shd w:val="clear" w:color="auto" w:fill="FFFFFF" w:themeFill="background1"/>
          </w:tcPr>
          <w:p w14:paraId="2FDFAAE9" w14:textId="695E359C" w:rsidR="002E65E3" w:rsidRPr="007145ED" w:rsidRDefault="002E65E3" w:rsidP="007145ED">
            <w:pPr>
              <w:rPr>
                <w:rFonts w:cs="Arial"/>
              </w:rPr>
            </w:pPr>
            <w:r>
              <w:rPr>
                <w:rFonts w:cs="Arial"/>
              </w:rPr>
              <w:t>Istraživanje, inovacije i konkurentnost</w:t>
            </w:r>
          </w:p>
        </w:tc>
      </w:tr>
      <w:tr w:rsidR="007145ED" w14:paraId="4C971D67" w14:textId="77777777" w:rsidTr="00DB7DF8">
        <w:tc>
          <w:tcPr>
            <w:tcW w:w="1129" w:type="dxa"/>
            <w:shd w:val="clear" w:color="auto" w:fill="FFFFFF" w:themeFill="background1"/>
          </w:tcPr>
          <w:p w14:paraId="2BD9E2E1" w14:textId="212EFB95" w:rsidR="007145ED" w:rsidRPr="007145ED" w:rsidRDefault="00483D4C" w:rsidP="007145ED">
            <w:pPr>
              <w:rPr>
                <w:rFonts w:cs="Arial"/>
              </w:rPr>
            </w:pPr>
            <w:r w:rsidRPr="00483D4C">
              <w:rPr>
                <w:rFonts w:cs="Arial"/>
              </w:rPr>
              <w:t>IIK-1</w:t>
            </w:r>
          </w:p>
        </w:tc>
        <w:tc>
          <w:tcPr>
            <w:tcW w:w="7938" w:type="dxa"/>
            <w:shd w:val="clear" w:color="auto" w:fill="FFFFFF" w:themeFill="background1"/>
          </w:tcPr>
          <w:p w14:paraId="60E1AC2D" w14:textId="48F6051D" w:rsidR="007145ED" w:rsidRPr="007145ED" w:rsidRDefault="00483D4C" w:rsidP="007145ED">
            <w:pPr>
              <w:rPr>
                <w:rFonts w:cs="Arial"/>
              </w:rPr>
            </w:pPr>
            <w:r w:rsidRPr="00483D4C">
              <w:rPr>
                <w:rFonts w:cs="Arial"/>
              </w:rPr>
              <w:t>Poticanje istraživanja i razvoja tehnologija čiste energije i niskougljičnih tehnologija</w:t>
            </w:r>
          </w:p>
        </w:tc>
      </w:tr>
      <w:tr w:rsidR="00483D4C" w14:paraId="141E1E72" w14:textId="77777777" w:rsidTr="00DB7DF8">
        <w:tc>
          <w:tcPr>
            <w:tcW w:w="1129" w:type="dxa"/>
            <w:shd w:val="clear" w:color="auto" w:fill="FFFFFF" w:themeFill="background1"/>
          </w:tcPr>
          <w:p w14:paraId="78793610" w14:textId="5C9A4C8E" w:rsidR="00483D4C" w:rsidRPr="007145ED" w:rsidRDefault="00483D4C" w:rsidP="007145ED">
            <w:pPr>
              <w:rPr>
                <w:rFonts w:cs="Arial"/>
              </w:rPr>
            </w:pPr>
            <w:r w:rsidRPr="00483D4C">
              <w:rPr>
                <w:rFonts w:cs="Arial"/>
              </w:rPr>
              <w:t>IIK-2</w:t>
            </w:r>
          </w:p>
        </w:tc>
        <w:tc>
          <w:tcPr>
            <w:tcW w:w="7938" w:type="dxa"/>
            <w:shd w:val="clear" w:color="auto" w:fill="FFFFFF" w:themeFill="background1"/>
          </w:tcPr>
          <w:p w14:paraId="5D1BF1F5" w14:textId="5E11669C" w:rsidR="00483D4C" w:rsidRPr="00483D4C" w:rsidRDefault="00483D4C" w:rsidP="007145ED">
            <w:pPr>
              <w:rPr>
                <w:rFonts w:cs="Arial"/>
              </w:rPr>
            </w:pPr>
            <w:r w:rsidRPr="00483D4C">
              <w:rPr>
                <w:rFonts w:cs="Arial"/>
              </w:rPr>
              <w:t>Tematske radne skupine za ključne aktivnosti SET-plana</w:t>
            </w:r>
          </w:p>
        </w:tc>
      </w:tr>
    </w:tbl>
    <w:p w14:paraId="6B6CE85F" w14:textId="4C1B7DAC" w:rsidR="00977626" w:rsidRDefault="00977626" w:rsidP="00955D8B"/>
    <w:p w14:paraId="55B0FE62" w14:textId="77777777" w:rsidR="00977626" w:rsidRPr="007145ED" w:rsidRDefault="00977626" w:rsidP="007145ED"/>
    <w:p w14:paraId="190B9CB3" w14:textId="0FB7F5D4" w:rsidR="00FF0CF3" w:rsidRDefault="00FF0CF3" w:rsidP="00FF0CF3">
      <w:pPr>
        <w:pStyle w:val="Heading2"/>
      </w:pPr>
      <w:bookmarkStart w:id="21" w:name="_Toc531702922"/>
      <w:bookmarkStart w:id="22" w:name="_Toc531801472"/>
      <w:bookmarkStart w:id="23" w:name="_Toc531801601"/>
      <w:bookmarkStart w:id="24" w:name="_Toc531801727"/>
      <w:bookmarkStart w:id="25" w:name="_Toc531801855"/>
      <w:bookmarkStart w:id="26" w:name="_Toc531702925"/>
      <w:bookmarkStart w:id="27" w:name="_Toc531801475"/>
      <w:bookmarkStart w:id="28" w:name="_Toc531801604"/>
      <w:bookmarkStart w:id="29" w:name="_Toc531801730"/>
      <w:bookmarkStart w:id="30" w:name="_Toc531801858"/>
      <w:bookmarkStart w:id="31" w:name="_Toc531702928"/>
      <w:bookmarkStart w:id="32" w:name="_Toc531801478"/>
      <w:bookmarkStart w:id="33" w:name="_Toc531801607"/>
      <w:bookmarkStart w:id="34" w:name="_Toc531801733"/>
      <w:bookmarkStart w:id="35" w:name="_Toc531801861"/>
      <w:bookmarkStart w:id="36" w:name="_Toc531702931"/>
      <w:bookmarkStart w:id="37" w:name="_Toc531801481"/>
      <w:bookmarkStart w:id="38" w:name="_Toc531801610"/>
      <w:bookmarkStart w:id="39" w:name="_Toc531801736"/>
      <w:bookmarkStart w:id="40" w:name="_Toc531801864"/>
      <w:bookmarkStart w:id="41" w:name="_Toc531702932"/>
      <w:bookmarkStart w:id="42" w:name="_Toc531801482"/>
      <w:bookmarkStart w:id="43" w:name="_Toc531801611"/>
      <w:bookmarkStart w:id="44" w:name="_Toc531801737"/>
      <w:bookmarkStart w:id="45" w:name="_Toc531801865"/>
      <w:bookmarkStart w:id="46" w:name="_Toc531702933"/>
      <w:bookmarkStart w:id="47" w:name="_Toc531801483"/>
      <w:bookmarkStart w:id="48" w:name="_Toc531801612"/>
      <w:bookmarkStart w:id="49" w:name="_Toc531801738"/>
      <w:bookmarkStart w:id="50" w:name="_Toc531801866"/>
      <w:bookmarkStart w:id="51" w:name="_Toc531934947"/>
      <w:bookmarkStart w:id="52" w:name="_Toc53194507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Pregled trenutačnog stanja u pogledu politika</w:t>
      </w:r>
      <w:bookmarkEnd w:id="51"/>
      <w:bookmarkEnd w:id="52"/>
      <w:r>
        <w:t xml:space="preserve"> </w:t>
      </w:r>
    </w:p>
    <w:p w14:paraId="205961CC" w14:textId="77777777" w:rsidR="00D95386" w:rsidRDefault="00D95386" w:rsidP="00D95386">
      <w:pPr>
        <w:pStyle w:val="Heading3"/>
      </w:pPr>
      <w:bookmarkStart w:id="53" w:name="_Toc531934948"/>
      <w:bookmarkStart w:id="54" w:name="_Toc531945074"/>
      <w:r>
        <w:t>Nacionalni energetski sustav i energetski sustav EU-a te kontekst politika nacionalnog plana</w:t>
      </w:r>
      <w:bookmarkEnd w:id="53"/>
      <w:bookmarkEnd w:id="54"/>
    </w:p>
    <w:p w14:paraId="2009989E" w14:textId="7C925279" w:rsidR="00D95386" w:rsidRDefault="00D95386" w:rsidP="00D95386">
      <w:r w:rsidRPr="00311542">
        <w:t>Osnovni pokazatelji razvoja potrošnje energije i ekonomski pokazatelji za RH u razdoblju od 2011. do 2016. godine prikaz</w:t>
      </w:r>
      <w:r w:rsidR="006639F2">
        <w:t xml:space="preserve">uje </w:t>
      </w:r>
      <w:r w:rsidR="006639F2">
        <w:fldChar w:fldCharType="begin"/>
      </w:r>
      <w:r w:rsidR="006639F2">
        <w:instrText xml:space="preserve"> REF _Ref531507336 \h </w:instrText>
      </w:r>
      <w:r w:rsidR="006639F2">
        <w:fldChar w:fldCharType="separate"/>
      </w:r>
      <w:r w:rsidR="00E5423A">
        <w:t xml:space="preserve">Slika </w:t>
      </w:r>
      <w:r w:rsidR="00E5423A">
        <w:rPr>
          <w:noProof/>
        </w:rPr>
        <w:t>1</w:t>
      </w:r>
      <w:r w:rsidR="00E5423A">
        <w:noBreakHyphen/>
      </w:r>
      <w:r w:rsidR="00E5423A">
        <w:rPr>
          <w:noProof/>
        </w:rPr>
        <w:t>1</w:t>
      </w:r>
      <w:r w:rsidR="006639F2">
        <w:fldChar w:fldCharType="end"/>
      </w:r>
      <w:r w:rsidR="006639F2">
        <w:t xml:space="preserve"> [</w:t>
      </w:r>
      <w:r w:rsidR="0090031F">
        <w:fldChar w:fldCharType="begin"/>
      </w:r>
      <w:r w:rsidR="0090031F">
        <w:instrText xml:space="preserve"> REF _Ref531601146 \r \h </w:instrText>
      </w:r>
      <w:r w:rsidR="0090031F">
        <w:fldChar w:fldCharType="separate"/>
      </w:r>
      <w:r w:rsidR="00E5423A">
        <w:t>7</w:t>
      </w:r>
      <w:r w:rsidR="0090031F">
        <w:fldChar w:fldCharType="end"/>
      </w:r>
      <w:r w:rsidR="006639F2">
        <w:t>]</w:t>
      </w:r>
      <w:r>
        <w:t>.</w:t>
      </w:r>
    </w:p>
    <w:p w14:paraId="2B30A025" w14:textId="77777777" w:rsidR="00D95386" w:rsidRDefault="00D95386" w:rsidP="00D95386">
      <w:r w:rsidRPr="00462AD9">
        <w:rPr>
          <w:noProof/>
        </w:rPr>
        <w:drawing>
          <wp:inline distT="0" distB="0" distL="0" distR="0" wp14:anchorId="76C5317A" wp14:editId="0607FFA6">
            <wp:extent cx="5400000" cy="3528000"/>
            <wp:effectExtent l="0" t="0" r="0" b="0"/>
            <wp:docPr id="2" name="Picture 127646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00000" cy="3528000"/>
                    </a:xfrm>
                    <a:prstGeom prst="rect">
                      <a:avLst/>
                    </a:prstGeom>
                    <a:noFill/>
                    <a:ln>
                      <a:noFill/>
                    </a:ln>
                  </pic:spPr>
                </pic:pic>
              </a:graphicData>
            </a:graphic>
          </wp:inline>
        </w:drawing>
      </w:r>
    </w:p>
    <w:p w14:paraId="037C6E82" w14:textId="0469FD0B" w:rsidR="00D95386" w:rsidRDefault="006639F2" w:rsidP="007145ED">
      <w:pPr>
        <w:pStyle w:val="Caption"/>
      </w:pPr>
      <w:bookmarkStart w:id="55" w:name="_Ref531507336"/>
      <w:bookmarkStart w:id="56" w:name="_Toc531935278"/>
      <w:r>
        <w:t xml:space="preserve">Slika </w:t>
      </w:r>
      <w:fldSimple w:instr=" STYLEREF 1 \s ">
        <w:r w:rsidR="00856D97">
          <w:rPr>
            <w:noProof/>
          </w:rPr>
          <w:t>1</w:t>
        </w:r>
      </w:fldSimple>
      <w:r w:rsidR="00856D97">
        <w:noBreakHyphen/>
      </w:r>
      <w:fldSimple w:instr=" SEQ Slika \* ARABIC \s 1 ">
        <w:r w:rsidR="00856D97">
          <w:rPr>
            <w:noProof/>
          </w:rPr>
          <w:t>1</w:t>
        </w:r>
      </w:fldSimple>
      <w:bookmarkEnd w:id="55"/>
      <w:r w:rsidR="00A87274">
        <w:t xml:space="preserve"> </w:t>
      </w:r>
      <w:r>
        <w:t>Osnovni pokazatelji razvoja potrošnje energije i ekonomski pokazatelji u RH u razdoblju 2011.-2016. godine</w:t>
      </w:r>
      <w:bookmarkEnd w:id="56"/>
    </w:p>
    <w:p w14:paraId="66199BA4" w14:textId="77777777" w:rsidR="00D95386" w:rsidRDefault="00D95386" w:rsidP="00D95386">
      <w:r w:rsidRPr="00534939">
        <w:t>U potrošnji električne energije ostvarene</w:t>
      </w:r>
      <w:r>
        <w:t xml:space="preserve"> su</w:t>
      </w:r>
      <w:r w:rsidRPr="00534939">
        <w:t xml:space="preserve"> negativne stope pa su tako ukupna potrošnja električne energije i neto potrošnja električne energije ostvarile smanjenje s prosječnom godišnjom stopom od 0,2 posto. Gubici prijenosa i razdiobe električne energije također su smanjeni s prosječnom godišnjom stopom od 1,3 posto.</w:t>
      </w:r>
      <w:r>
        <w:t xml:space="preserve"> </w:t>
      </w:r>
      <w:r w:rsidRPr="00860DCE">
        <w:t>U razdoblju od 2011. do 2016. godine bruto i neto potrošnja električne energije smanjivala se prosječnom godišnjom stopom od 0,2 posto.</w:t>
      </w:r>
    </w:p>
    <w:p w14:paraId="7F74D85D" w14:textId="043808A8" w:rsidR="00D95386" w:rsidRDefault="006639F2" w:rsidP="00D95386">
      <w:r>
        <w:t xml:space="preserve">Trendove u proizvodnji primarne energije prikazuje </w:t>
      </w:r>
      <w:r w:rsidR="002C233C">
        <w:fldChar w:fldCharType="begin"/>
      </w:r>
      <w:r w:rsidR="002C233C">
        <w:instrText xml:space="preserve"> REF _Ref531507501 \h </w:instrText>
      </w:r>
      <w:r w:rsidR="002C233C">
        <w:fldChar w:fldCharType="separate"/>
      </w:r>
      <w:r w:rsidR="00E5423A">
        <w:t xml:space="preserve">Slika </w:t>
      </w:r>
      <w:r w:rsidR="00E5423A">
        <w:rPr>
          <w:noProof/>
        </w:rPr>
        <w:t>1</w:t>
      </w:r>
      <w:r w:rsidR="00E5423A">
        <w:noBreakHyphen/>
      </w:r>
      <w:r w:rsidR="00E5423A">
        <w:rPr>
          <w:noProof/>
        </w:rPr>
        <w:t>2</w:t>
      </w:r>
      <w:r w:rsidR="002C233C">
        <w:fldChar w:fldCharType="end"/>
      </w:r>
      <w:r>
        <w:t xml:space="preserve"> </w:t>
      </w:r>
      <w:r w:rsidRPr="00B4224E">
        <w:t>[</w:t>
      </w:r>
      <w:r w:rsidR="0090031F" w:rsidRPr="007145ED">
        <w:fldChar w:fldCharType="begin"/>
      </w:r>
      <w:r w:rsidR="0090031F" w:rsidRPr="007145ED">
        <w:instrText xml:space="preserve"> REF _Ref531601146 \r \h </w:instrText>
      </w:r>
      <w:r w:rsidR="0090031F">
        <w:instrText xml:space="preserve"> \* MERGEFORMAT </w:instrText>
      </w:r>
      <w:r w:rsidR="0090031F" w:rsidRPr="007145ED">
        <w:fldChar w:fldCharType="separate"/>
      </w:r>
      <w:r w:rsidR="00E5423A">
        <w:t>7</w:t>
      </w:r>
      <w:r w:rsidR="0090031F" w:rsidRPr="007145ED">
        <w:fldChar w:fldCharType="end"/>
      </w:r>
      <w:r w:rsidRPr="00B4224E">
        <w:t>]</w:t>
      </w:r>
      <w:r>
        <w:t xml:space="preserve">. </w:t>
      </w:r>
      <w:r w:rsidR="00D95386" w:rsidRPr="004D773C">
        <w:t>Tijekom šestogodišnjeg razdoblja od 2011. do 2016. godine proizvodnja primarne energije u Hrvatskoj povećavala se s prosječnom godišnjom stopom od 0,8 posto. Trend smanjenja ostvaren je u proizvodnji prirodnog plina, dok je proizvodnja ostalih primarnih oblika energije ostvarila trend povećanja. Proizvodnja prirodnog plina smanjivala se s prosječnim godišnjim stopama od 7,5 posto. Najbrže je rasla proizvodnja energije iz obnovljivih izvora gdje je ostvarena godišnja stopa rasta od 34,8 posto, dok je energija iskorištenih vodnih snaga rasla s prosječnom godišnjom stopom od 6,6 posto. Proizvodnja sirove nafte i toplinska energija proizvedene u dizalicama topline ostvarile su trend porasta s prosječnom godišnjom stopom od 2,1 posto. U proizvodnji ogrjevnog drva i ostale krute biomase trend porasta proizvodnje iznosio je 1,7 posto godišnje.</w:t>
      </w:r>
    </w:p>
    <w:p w14:paraId="409D564E" w14:textId="77777777" w:rsidR="00D95386" w:rsidRDefault="00D95386" w:rsidP="00D95386">
      <w:r w:rsidRPr="00462AD9">
        <w:rPr>
          <w:noProof/>
        </w:rPr>
        <w:drawing>
          <wp:inline distT="0" distB="0" distL="0" distR="0" wp14:anchorId="7BE72D30" wp14:editId="6EBD78E1">
            <wp:extent cx="5400000" cy="3297600"/>
            <wp:effectExtent l="0" t="0" r="0" b="0"/>
            <wp:docPr id="4" name="Picture 12764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00000" cy="3297600"/>
                    </a:xfrm>
                    <a:prstGeom prst="rect">
                      <a:avLst/>
                    </a:prstGeom>
                    <a:noFill/>
                    <a:ln>
                      <a:noFill/>
                    </a:ln>
                  </pic:spPr>
                </pic:pic>
              </a:graphicData>
            </a:graphic>
          </wp:inline>
        </w:drawing>
      </w:r>
    </w:p>
    <w:p w14:paraId="250D3D32" w14:textId="713E7E61" w:rsidR="00D95386" w:rsidRDefault="002C233C" w:rsidP="007145ED">
      <w:pPr>
        <w:pStyle w:val="Caption"/>
      </w:pPr>
      <w:bookmarkStart w:id="57" w:name="_Ref531507501"/>
      <w:bookmarkStart w:id="58" w:name="_Toc531935279"/>
      <w:r>
        <w:t xml:space="preserve">Slika </w:t>
      </w:r>
      <w:fldSimple w:instr=" STYLEREF 1 \s ">
        <w:r w:rsidR="00856D97">
          <w:rPr>
            <w:noProof/>
          </w:rPr>
          <w:t>1</w:t>
        </w:r>
      </w:fldSimple>
      <w:r w:rsidR="00856D97">
        <w:noBreakHyphen/>
      </w:r>
      <w:fldSimple w:instr=" SEQ Slika \* ARABIC \s 1 ">
        <w:r w:rsidR="00856D97">
          <w:rPr>
            <w:noProof/>
          </w:rPr>
          <w:t>2</w:t>
        </w:r>
      </w:fldSimple>
      <w:bookmarkEnd w:id="57"/>
      <w:r w:rsidR="00A87274">
        <w:t xml:space="preserve"> </w:t>
      </w:r>
      <w:r w:rsidRPr="002C233C">
        <w:t>Proizvodnja primarne energije</w:t>
      </w:r>
      <w:bookmarkEnd w:id="58"/>
    </w:p>
    <w:p w14:paraId="07F165BC" w14:textId="0F167158" w:rsidR="00D95386" w:rsidRDefault="002C233C" w:rsidP="00D95386">
      <w:r>
        <w:t>Tren</w:t>
      </w:r>
      <w:r w:rsidR="0070097E">
        <w:t>d</w:t>
      </w:r>
      <w:r>
        <w:t>ove u uvozu energije t</w:t>
      </w:r>
      <w:r w:rsidR="00D95386" w:rsidRPr="004175DD">
        <w:t>ijekom razdoblja od 2011. do 2016. godine</w:t>
      </w:r>
      <w:r>
        <w:t xml:space="preserve"> prikazuje </w:t>
      </w:r>
      <w:r>
        <w:fldChar w:fldCharType="begin"/>
      </w:r>
      <w:r>
        <w:instrText xml:space="preserve"> REF _Ref531507601 \h </w:instrText>
      </w:r>
      <w:r>
        <w:fldChar w:fldCharType="separate"/>
      </w:r>
      <w:r w:rsidR="00E5423A">
        <w:t xml:space="preserve">Slika </w:t>
      </w:r>
      <w:r w:rsidR="00E5423A">
        <w:rPr>
          <w:noProof/>
        </w:rPr>
        <w:t>1</w:t>
      </w:r>
      <w:r w:rsidR="00E5423A">
        <w:noBreakHyphen/>
      </w:r>
      <w:r w:rsidR="00E5423A">
        <w:rPr>
          <w:noProof/>
        </w:rPr>
        <w:t>3</w:t>
      </w:r>
      <w:r>
        <w:fldChar w:fldCharType="end"/>
      </w:r>
      <w:r>
        <w:t xml:space="preserve"> </w:t>
      </w:r>
      <w:r w:rsidR="0090031F" w:rsidRPr="00765552">
        <w:t>[</w:t>
      </w:r>
      <w:r w:rsidR="0090031F" w:rsidRPr="00765552">
        <w:fldChar w:fldCharType="begin"/>
      </w:r>
      <w:r w:rsidR="0090031F" w:rsidRPr="00765552">
        <w:instrText xml:space="preserve"> REF _Ref531601146 \r \h </w:instrText>
      </w:r>
      <w:r w:rsidR="0090031F">
        <w:instrText xml:space="preserve"> \* MERGEFORMAT </w:instrText>
      </w:r>
      <w:r w:rsidR="0090031F" w:rsidRPr="00765552">
        <w:fldChar w:fldCharType="separate"/>
      </w:r>
      <w:r w:rsidR="00E5423A">
        <w:t>7</w:t>
      </w:r>
      <w:r w:rsidR="0090031F" w:rsidRPr="00765552">
        <w:fldChar w:fldCharType="end"/>
      </w:r>
      <w:r w:rsidR="0090031F" w:rsidRPr="00765552">
        <w:t>]</w:t>
      </w:r>
      <w:r>
        <w:t xml:space="preserve">. U tom je razdoblju </w:t>
      </w:r>
      <w:r w:rsidR="00D95386" w:rsidRPr="004175DD">
        <w:t>ostvaren trend porasta uvoza energije u Hrvatsku s prosječnom godišnjom stopom od 1,3 posto. U uvozu sirove nafte ostvaren je trend smanjenja s prosječnom godišnjom stopom od 2,4 posto, dok je uvoz električne energije ostao na približno jednakoj razini. U uvozu svih ostalih oblika energije ostvaren je trend porasta pa se tako uvoz drva i biomase povećavao s prosječnom godišnjom stopom od 39,2 posto, uvoz prirodnog plina od 8,1 posto, uvoz naftnih derivata od 4,1 posto i uvoz ugljena i koksa od 1,6 posto godišnje.</w:t>
      </w:r>
      <w:r w:rsidR="351A17E0">
        <w:t>6]. U tom je razdoblju ostvaren trend porasta uvoza energije u Hrvatsku s prosječnom godišnjom stopom od 1,3 posto. U uvozu sirove nafte ostvaren je trend smanjenja s prosječnom godišnjom stopom od 2,4 posto, dok je uvoz električne energije ostao na približno jednakoj razini. U uvozu svih ostalih oblika energije ostvaren je trend porasta pa se tako uvoz drva i biomase povećavao s prosječnom godišnjom stopom od 39,2 posto, uvoz prirodnog plina od 8,1 posto, uvoz naftnih derivata od 4,1 posto i uvoz ugljena i koksa od 1,6 posto godišnje.</w:t>
      </w:r>
    </w:p>
    <w:p w14:paraId="52D8841C" w14:textId="77777777" w:rsidR="00D95386" w:rsidRDefault="00D95386" w:rsidP="00D95386">
      <w:r w:rsidRPr="00462AD9">
        <w:rPr>
          <w:noProof/>
        </w:rPr>
        <w:drawing>
          <wp:inline distT="0" distB="0" distL="0" distR="0" wp14:anchorId="75D3460C" wp14:editId="4533335E">
            <wp:extent cx="5400000" cy="3294000"/>
            <wp:effectExtent l="0" t="0" r="0" b="1905"/>
            <wp:docPr id="6" name="Picture 127646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400000" cy="3294000"/>
                    </a:xfrm>
                    <a:prstGeom prst="rect">
                      <a:avLst/>
                    </a:prstGeom>
                    <a:noFill/>
                    <a:ln>
                      <a:noFill/>
                    </a:ln>
                  </pic:spPr>
                </pic:pic>
              </a:graphicData>
            </a:graphic>
          </wp:inline>
        </w:drawing>
      </w:r>
    </w:p>
    <w:p w14:paraId="59FE7ED0" w14:textId="632A1A25" w:rsidR="00D95386" w:rsidRDefault="002C233C" w:rsidP="007145ED">
      <w:pPr>
        <w:pStyle w:val="Caption"/>
      </w:pPr>
      <w:bookmarkStart w:id="59" w:name="_Ref531507601"/>
      <w:bookmarkStart w:id="60" w:name="_Toc531935280"/>
      <w:r>
        <w:t xml:space="preserve">Slika </w:t>
      </w:r>
      <w:fldSimple w:instr=" STYLEREF 1 \s ">
        <w:r w:rsidR="00856D97">
          <w:rPr>
            <w:noProof/>
          </w:rPr>
          <w:t>1</w:t>
        </w:r>
      </w:fldSimple>
      <w:r w:rsidR="00856D97">
        <w:noBreakHyphen/>
      </w:r>
      <w:fldSimple w:instr=" SEQ Slika \* ARABIC \s 1 ">
        <w:r w:rsidR="00856D97">
          <w:rPr>
            <w:noProof/>
          </w:rPr>
          <w:t>3</w:t>
        </w:r>
      </w:fldSimple>
      <w:bookmarkEnd w:id="59"/>
      <w:r w:rsidR="00A87274">
        <w:t xml:space="preserve"> </w:t>
      </w:r>
      <w:r w:rsidRPr="002C233C">
        <w:t>Uvoz energije u Hrvatsku</w:t>
      </w:r>
      <w:bookmarkEnd w:id="60"/>
    </w:p>
    <w:p w14:paraId="1353CD34" w14:textId="77777777" w:rsidR="00D95386" w:rsidRDefault="00D95386" w:rsidP="00D95386">
      <w:r>
        <w:t>Energetsko zakonodavstvo i klimatsko zakonodavstvo usklađeni su s pravnom stečevinom Europske unije. Na provedbenoj razini, energetika i klima objedinjene su u jednom ministarstvu – Ministarstvu zaštite okoliša i energetike.</w:t>
      </w:r>
    </w:p>
    <w:p w14:paraId="10F3FCFD" w14:textId="0FDABC80" w:rsidR="00D95386" w:rsidRDefault="00D95386" w:rsidP="00D95386">
      <w:r w:rsidRPr="00211282">
        <w:t>Aktualna energetska strategija usvojena je 2009. godine</w:t>
      </w:r>
      <w:r w:rsidR="00E00C7D">
        <w:t xml:space="preserve"> (</w:t>
      </w:r>
      <w:r w:rsidR="00E00C7D" w:rsidRPr="00E00C7D">
        <w:t>NN 130/2009</w:t>
      </w:r>
      <w:r w:rsidR="00E00C7D">
        <w:t>)</w:t>
      </w:r>
      <w:r w:rsidRPr="00211282">
        <w:t>, a 2018. godine resorno je ministarstvo pristupilo izradi nove energetske strategije imajući u vidu potrebu za dugoročnim energetskim planiranjem (i nakon 2030. godine), kao i sve stroža ograničenja u pogledu emisija stakleničkih plinova. Po usvajanju Strategije energetskog razvitka, njezini će se ciljevi integrirati u Nacrt Strategije niskougljičnog razvoja, čime će se na strateškoj razini integrirati energetska i klimatska politika.</w:t>
      </w:r>
    </w:p>
    <w:p w14:paraId="7B3D391E" w14:textId="18D747CC" w:rsidR="00D95386" w:rsidRDefault="00D95386" w:rsidP="00D95386">
      <w:r>
        <w:t>U cilju koordinacije politika i mjera za ublažavanje i prilagodbu klimatskim promjenama, Vlada RH je 2014. godine donijela odluku o osnivanju Povjere</w:t>
      </w:r>
      <w:r w:rsidR="00E00C7D">
        <w:t>n</w:t>
      </w:r>
      <w:r>
        <w:t xml:space="preserve">stva za međusektorsku koordinaciju za politiku i mjere ublažavanja i prilagodbu klimatskim promjenama. Povjerenstvo djeluje kroz rad </w:t>
      </w:r>
      <w:r w:rsidRPr="00004AF8">
        <w:t>Koordinacijske skupine i Tehničke radne skupine</w:t>
      </w:r>
      <w:r>
        <w:t>.</w:t>
      </w:r>
    </w:p>
    <w:p w14:paraId="74EC17C9" w14:textId="77777777" w:rsidR="00D95386" w:rsidRPr="00F16666" w:rsidRDefault="00D95386" w:rsidP="007145ED"/>
    <w:p w14:paraId="71C8A9C7" w14:textId="77777777" w:rsidR="00FF0CF3" w:rsidRDefault="00FF0CF3" w:rsidP="00302043">
      <w:pPr>
        <w:pStyle w:val="Heading3"/>
      </w:pPr>
      <w:bookmarkStart w:id="61" w:name="_Hlk531604663"/>
      <w:bookmarkStart w:id="62" w:name="_Toc531934949"/>
      <w:bookmarkStart w:id="63" w:name="_Toc531945075"/>
      <w:r>
        <w:t xml:space="preserve">Trenutačne energetske i klimatske politike </w:t>
      </w:r>
      <w:bookmarkEnd w:id="61"/>
      <w:r>
        <w:t>i mjere koje se odnose na pet dimenzija Energetske unije</w:t>
      </w:r>
      <w:bookmarkEnd w:id="62"/>
      <w:bookmarkEnd w:id="63"/>
    </w:p>
    <w:p w14:paraId="647FB3A9" w14:textId="77777777" w:rsidR="00FF0CF3" w:rsidRPr="00816CF6" w:rsidRDefault="00FF0CF3" w:rsidP="00FF0CF3">
      <w:pPr>
        <w:shd w:val="clear" w:color="auto" w:fill="D9D9D9" w:themeFill="background1" w:themeFillShade="D9"/>
        <w:rPr>
          <w:i/>
        </w:rPr>
      </w:pPr>
      <w:r w:rsidRPr="00816CF6">
        <w:rPr>
          <w:i/>
        </w:rPr>
        <w:t xml:space="preserve">Dimenzija </w:t>
      </w:r>
      <w:r>
        <w:rPr>
          <w:i/>
        </w:rPr>
        <w:t>„Dekarbonizacija“</w:t>
      </w:r>
    </w:p>
    <w:p w14:paraId="52409D63" w14:textId="15EA21F9" w:rsidR="00634B7C" w:rsidRDefault="009D2674" w:rsidP="00FF0CF3">
      <w:r>
        <w:t xml:space="preserve">Dimenzija „Dekarbonizacija“ ima dva </w:t>
      </w:r>
      <w:r w:rsidR="001D6358">
        <w:t>ključna elementa</w:t>
      </w:r>
    </w:p>
    <w:p w14:paraId="6136FE00" w14:textId="1FFDD4DD" w:rsidR="001D6358" w:rsidRDefault="001D6358" w:rsidP="007145ED">
      <w:pPr>
        <w:pStyle w:val="ListParagraph"/>
        <w:numPr>
          <w:ilvl w:val="0"/>
          <w:numId w:val="65"/>
        </w:numPr>
      </w:pPr>
      <w:r>
        <w:t>emisije i uklanjanje emisija;</w:t>
      </w:r>
    </w:p>
    <w:p w14:paraId="67DBD6BC" w14:textId="126CC0EB" w:rsidR="001D6358" w:rsidRDefault="001D6358" w:rsidP="007145ED">
      <w:pPr>
        <w:pStyle w:val="ListParagraph"/>
        <w:numPr>
          <w:ilvl w:val="0"/>
          <w:numId w:val="65"/>
        </w:numPr>
      </w:pPr>
      <w:r>
        <w:t>obnovljivi izvori energije.</w:t>
      </w:r>
    </w:p>
    <w:p w14:paraId="2EC5276C" w14:textId="4E1918A7" w:rsidR="00FF0CF3" w:rsidRDefault="00FF0CF3" w:rsidP="007145ED">
      <w:r w:rsidRPr="0057687A">
        <w:t>Pitanje klimatskih promjena na globalnom planu rješava se Okvirnom konvencijom Ujedinjenih naroda o promjeni klime (UNFCCC).</w:t>
      </w:r>
      <w:r>
        <w:t xml:space="preserve"> Republika Hrvatska postala je stranka Okvirne konvencije UN-a o promjeni klime (UNFCCC) 1996. godine, donošenjem Zakona o njezinom potvrđivanju u Hrvatskom saboru (NN Međunarodni ugovori, 2/96). </w:t>
      </w:r>
      <w:r w:rsidR="004C54F3">
        <w:t>Najvažniji p</w:t>
      </w:r>
      <w:r>
        <w:t>ropis Republike Hrvatske kojim se uređuje područje klimatskih promjena</w:t>
      </w:r>
      <w:r w:rsidR="004C54F3">
        <w:t xml:space="preserve"> je</w:t>
      </w:r>
      <w:r w:rsidR="009D2674">
        <w:t xml:space="preserve"> </w:t>
      </w:r>
      <w:r>
        <w:t>Zakon o zaštiti zraka (</w:t>
      </w:r>
      <w:r w:rsidR="004B2CEF" w:rsidRPr="004B2CEF">
        <w:t>NN 130/11, 47/14, 61/17</w:t>
      </w:r>
      <w:r w:rsidR="004B2CEF">
        <w:t>).</w:t>
      </w:r>
    </w:p>
    <w:p w14:paraId="563598EE" w14:textId="79D5B178" w:rsidR="00892A72" w:rsidRPr="0057687A" w:rsidRDefault="00892A72" w:rsidP="007145ED">
      <w:pPr>
        <w:suppressAutoHyphens w:val="0"/>
        <w:spacing w:after="160" w:line="259" w:lineRule="auto"/>
        <w:contextualSpacing/>
      </w:pPr>
      <w:r>
        <w:t xml:space="preserve">Republika Hrvatska kao Stranka Okvirne konvencije UN-a o promjeni klime </w:t>
      </w:r>
      <w:r w:rsidR="00536D73">
        <w:t>(</w:t>
      </w:r>
      <w:r>
        <w:t>UNFCCC</w:t>
      </w:r>
      <w:r w:rsidR="00536D73">
        <w:t>)</w:t>
      </w:r>
      <w:r>
        <w:t xml:space="preserve"> svake četiri godine </w:t>
      </w:r>
      <w:r w:rsidR="009D2674">
        <w:t xml:space="preserve">izrađuje i dostavlja </w:t>
      </w:r>
      <w:r>
        <w:t xml:space="preserve">nacionalno izvješće o promjeni klime kojim izvještava o provedbi obveza Konvencije. </w:t>
      </w:r>
      <w:r w:rsidR="009D2674">
        <w:t xml:space="preserve">Najnovije izvješće je Sedmo nacionalno izvješće i treće dvogodišnje izvješće </w:t>
      </w:r>
      <w:r w:rsidR="009D2674" w:rsidRPr="00B4224E">
        <w:t>Republike Hrvatske prema Okvirnoj konvenciji Ujedinjenih Naroda o promjeni klime (UNFCCC) [</w:t>
      </w:r>
      <w:r w:rsidR="00E00C7D" w:rsidRPr="007145ED">
        <w:fldChar w:fldCharType="begin"/>
      </w:r>
      <w:r w:rsidR="00E00C7D" w:rsidRPr="007145ED">
        <w:instrText xml:space="preserve"> REF _Ref531604343 \r \h </w:instrText>
      </w:r>
      <w:r w:rsidR="00E00C7D">
        <w:instrText xml:space="preserve"> \* MERGEFORMAT </w:instrText>
      </w:r>
      <w:r w:rsidR="00E00C7D" w:rsidRPr="007145ED">
        <w:fldChar w:fldCharType="separate"/>
      </w:r>
      <w:r w:rsidR="00E5423A">
        <w:t>8</w:t>
      </w:r>
      <w:r w:rsidR="00E00C7D" w:rsidRPr="007145ED">
        <w:fldChar w:fldCharType="end"/>
      </w:r>
      <w:r w:rsidR="009D2674" w:rsidRPr="00B4224E">
        <w:t>].</w:t>
      </w:r>
    </w:p>
    <w:p w14:paraId="4E949D0C" w14:textId="0A010D69" w:rsidR="00FF0CF3" w:rsidRDefault="00892A72" w:rsidP="001D6358">
      <w:r w:rsidRPr="00892A72">
        <w:t xml:space="preserve">Kao stranka Kyotskog protokola Republika Hrvatska je uspostavila nacionalni sustav za praćenje emisija stakleničkih plinova u državi, </w:t>
      </w:r>
      <w:r w:rsidRPr="004B2CEF">
        <w:t xml:space="preserve">te </w:t>
      </w:r>
      <w:r w:rsidRPr="007145ED">
        <w:t>na godišnjoj osnovi</w:t>
      </w:r>
      <w:r w:rsidRPr="004B2CEF">
        <w:t xml:space="preserve"> izrađuje Izvješće</w:t>
      </w:r>
      <w:r w:rsidRPr="00892A72">
        <w:t xml:space="preserve"> o emisijama stakleničkih plinova i dostavlja ga u tajništvo UNFCCC (do 15. travnja tekuće godine) i Europsk</w:t>
      </w:r>
      <w:r w:rsidR="008612FD">
        <w:t>oj</w:t>
      </w:r>
      <w:r w:rsidRPr="00892A72">
        <w:t xml:space="preserve"> Komisij</w:t>
      </w:r>
      <w:r w:rsidR="008612FD">
        <w:t>i</w:t>
      </w:r>
      <w:r w:rsidRPr="00892A72">
        <w:t xml:space="preserve"> (do 15. siječnja tekuće godine).</w:t>
      </w:r>
      <w:r w:rsidR="009D2674">
        <w:t xml:space="preserve"> Najnovije </w:t>
      </w:r>
      <w:r w:rsidR="001D6358">
        <w:t>Izvješće o inventaru stakleničkih plinova na području Republike Hrvatske za razdoblje 1990.-201</w:t>
      </w:r>
      <w:r w:rsidR="000D3B40">
        <w:t>6</w:t>
      </w:r>
      <w:r w:rsidR="001D6358">
        <w:t xml:space="preserve">. objavljeno je </w:t>
      </w:r>
      <w:r w:rsidR="001D6358" w:rsidRPr="00B4224E">
        <w:t>201</w:t>
      </w:r>
      <w:r w:rsidR="000D3B40">
        <w:t>8</w:t>
      </w:r>
      <w:r w:rsidR="001D6358" w:rsidRPr="00B4224E">
        <w:t>. godine [</w:t>
      </w:r>
      <w:r w:rsidR="00E00C7D" w:rsidRPr="007145ED">
        <w:fldChar w:fldCharType="begin"/>
      </w:r>
      <w:r w:rsidR="00E00C7D" w:rsidRPr="007145ED">
        <w:instrText xml:space="preserve"> REF _Ref531604458 \r \h </w:instrText>
      </w:r>
      <w:r w:rsidR="00E00C7D">
        <w:instrText xml:space="preserve"> \* MERGEFORMAT </w:instrText>
      </w:r>
      <w:r w:rsidR="00E00C7D" w:rsidRPr="007145ED">
        <w:fldChar w:fldCharType="separate"/>
      </w:r>
      <w:r w:rsidR="00E5423A">
        <w:t>9</w:t>
      </w:r>
      <w:r w:rsidR="00E00C7D" w:rsidRPr="007145ED">
        <w:fldChar w:fldCharType="end"/>
      </w:r>
      <w:r w:rsidR="001D6358" w:rsidRPr="00B4224E">
        <w:t>].</w:t>
      </w:r>
    </w:p>
    <w:p w14:paraId="3F008DF2" w14:textId="43949E58" w:rsidR="003C4085" w:rsidRDefault="003C4085" w:rsidP="009C30B5">
      <w:r w:rsidRPr="001A3870">
        <w:t xml:space="preserve">U </w:t>
      </w:r>
      <w:r w:rsidRPr="007145ED">
        <w:rPr>
          <w:b/>
        </w:rPr>
        <w:t>sektoru prometa</w:t>
      </w:r>
      <w:r w:rsidRPr="001A3870">
        <w:t>, udio vozila s pogonom na alternativna goriva je još uvijek relativno mali (manji od 0,2 posto). Republika Hrvatska je u prosincu 2016. godine Zakonom o uspostavi infrastrukture za alternativna goriva (NN 120/2016) u pravni poredak prenijela odredbe Direktive 2014/94/EU Europskog parlamenta i Vijeća od 22. listopada 2014. o uspostavi infrastrukture za alternativna goriva u onom dijelu koji se odnosi na državu članicu. Sukladno Zakonu, zajednički okvir mjera za razvoj tržišta u pogledu alternativnih goriva u prometnom sektoru i za postavljanje odgovarajuće infrastrukture određuje se Nacionalnim okvirom politike (NOP), koji je u Hrvatskoj donesen u 2017. godini (NN 34/17). NOP-om su utvrđeni minimalni ciljevi za izgradnju infrastrukture za alternativna goriva, uključujući mjesta za punjenje, zajedničke tehničke specifikacije za mjesta za punjenje i opskrbu, zahtjevi za informiranje korisnika, kao i mjere potrebne za ostvarivanje nacionalnih ciljeva. Na sva ostala pitanja uspostave infrastrukture za alternativna goriva koja nisu uređena ovim Zakonom, odnosno NOP-om, primjenjuju se propisi kojima se uređuje područje prometne infrastrukture, područje prostornog uređenja, područje infrastrukture prostornih podataka, područje gradnje, područje energetike, područje energetske učinkovitosti, područje zaštite okoliša, te zakoni kojima su osnovani i koji određuju djelokrug Fonda za zaštitu okoliša i energetsku učinkovitost.</w:t>
      </w:r>
    </w:p>
    <w:p w14:paraId="73357C63" w14:textId="28E39CBC" w:rsidR="009C30B5" w:rsidRDefault="009C30B5" w:rsidP="009C30B5">
      <w:r>
        <w:t xml:space="preserve">Temeljni zakonski okvir za područje </w:t>
      </w:r>
      <w:r w:rsidRPr="007145ED">
        <w:rPr>
          <w:b/>
        </w:rPr>
        <w:t>obnovljivih izvora energije i kogeneraciju električne i toplinske energije</w:t>
      </w:r>
      <w:r>
        <w:t xml:space="preserve"> u Republici Hrvatskoj sadržan je u Zakonu o energiji, Zakonu o tržištu električne energije, Zakonu o Fondu za zaštitu okoliša i energetsku učinkovitost, Zakonu o obnovljivim izvorima energije i visokoučinkovitoj kogeneraciji, Zakonu o zaštiti zraka, Zakonu o zaštiti okoliša i podzakonskim aktima za provedbu tih zakona. U trenutku pisanja ovog dokumenta u saborskoj je proceduri prijedlog Zakona o izmjenama i dopunama Zakona o obnovljivim izvorima energije i visokoučinkovitoj kogeneraciji.</w:t>
      </w:r>
    </w:p>
    <w:p w14:paraId="65F1E53D" w14:textId="77777777" w:rsidR="009C30B5" w:rsidRDefault="009C30B5" w:rsidP="009C30B5">
      <w:r>
        <w:t>Zakonom o obnovljivim izvorima energije i visokoučinkovitoj kogeneraciji uređuje se planiranje i poticanje proizvodnje i potrošnje električne energije proizvedene u proizvodnim postrojenjima koja koriste obnovljive izvore energije i visokoučinkovitu kogeneraciju, utvrđuju mjere poticanja za proizvodnju električne energije korištenjem obnovljivih izvora energije i visokoučinkovite kogeneracije, uređuje provedba sustava poticanja proizvodnje električne energije iz obnovljivih izvora energije i visokoučinkovite kogeneracije i druga pitanja od važnosti za korištenje obnovljivih izvora energije i visokoučinkovite kogeneracije.</w:t>
      </w:r>
    </w:p>
    <w:p w14:paraId="4B3F7E91" w14:textId="0BF437FE" w:rsidR="009C30B5" w:rsidRDefault="009C30B5" w:rsidP="009C30B5">
      <w:r>
        <w:t>Svrha ovoga Zakona je promicati proizvodnju električne i toplinske energije iz obnovljivih izvora energije i visokoučinkovite kogeneracije, povećati udjele u ukupnoj neposrednoj potrošnji energije proizvedene iz obnovljivih izvora energije korištenjem poticajnih mehanizama i regulatornog okvira za korištenje obnovljivih izvora energije i visokoučinkovite kogeneracije.</w:t>
      </w:r>
    </w:p>
    <w:p w14:paraId="5513D5B9" w14:textId="0402AF0C" w:rsidR="00FD5A0B" w:rsidRPr="00B4224E" w:rsidRDefault="009C30B5" w:rsidP="001D6358">
      <w:r w:rsidRPr="007145ED">
        <w:t xml:space="preserve">U okviru dimenzije dekarbonizacija, važnu ulogu ima </w:t>
      </w:r>
      <w:r w:rsidRPr="007145ED">
        <w:rPr>
          <w:b/>
        </w:rPr>
        <w:t>poljoprivredni sektor</w:t>
      </w:r>
      <w:r w:rsidRPr="007145ED">
        <w:t xml:space="preserve"> – kako u kontekstu vlastitih emisija, tako i u kontekstu njegov</w:t>
      </w:r>
      <w:r>
        <w:t>a</w:t>
      </w:r>
      <w:r w:rsidRPr="007145ED">
        <w:t xml:space="preserve"> doprinosa korištenju obnovljivih izvora. </w:t>
      </w:r>
      <w:r w:rsidRPr="009C30B5">
        <w:t>Program ruralnog razvoja Republike Hrvatske za razdoblje 2014. –2020.</w:t>
      </w:r>
      <w:r w:rsidR="005E3C10">
        <w:t xml:space="preserve"> [</w:t>
      </w:r>
      <w:r w:rsidR="005E3C10">
        <w:fldChar w:fldCharType="begin"/>
      </w:r>
      <w:r w:rsidR="005E3C10">
        <w:instrText xml:space="preserve"> REF _Ref531607463 \r \h </w:instrText>
      </w:r>
      <w:r w:rsidR="005E3C10">
        <w:fldChar w:fldCharType="separate"/>
      </w:r>
      <w:r w:rsidR="00E5423A">
        <w:t>10</w:t>
      </w:r>
      <w:r w:rsidR="005E3C10">
        <w:fldChar w:fldCharType="end"/>
      </w:r>
      <w:r w:rsidR="005E3C10">
        <w:t>]</w:t>
      </w:r>
      <w:r w:rsidRPr="009C30B5">
        <w:t>, definira prioritete i područja intervencije, izbor relevantnih mjera i dodjelu financijskih sredstava na temelju očekivanih ishoda. Jedan od ciljeva Programa je i učinkovito korištenje resursa i otpornost na klimatske promjene u poljoprivredi, prehrambeno-prerađivačkoj industriji i šumarstvu, gdje se naglašava kako je proizvodnja energije OIE iz navedenih sektora prioritet za razvoj bioekonomije i smanjenje stakleničkih plinova do 2020. Nadalje, ističe se značaj korištenja drvne biomase, biomase iz poljoprivrede te solarne energije u poljoprivredi i prehrambeno-prerađivačkoj industriji</w:t>
      </w:r>
      <w:r w:rsidR="003220D3">
        <w:t>.</w:t>
      </w:r>
    </w:p>
    <w:p w14:paraId="5D3A641A" w14:textId="1E640D85" w:rsidR="00634B7C" w:rsidRDefault="00634B7C" w:rsidP="00FF0CF3">
      <w:r>
        <w:t xml:space="preserve">Trenutne mjere koje se odnose na dimenziju Dekarbonizacija prikazuje </w:t>
      </w:r>
      <w:r w:rsidR="003D7C3D">
        <w:fldChar w:fldCharType="begin"/>
      </w:r>
      <w:r w:rsidR="003D7C3D">
        <w:instrText xml:space="preserve"> REF _Ref531512768 \h </w:instrText>
      </w:r>
      <w:r w:rsidR="003D7C3D">
        <w:fldChar w:fldCharType="separate"/>
      </w:r>
      <w:r w:rsidR="00E5423A">
        <w:t xml:space="preserve">Tablica </w:t>
      </w:r>
      <w:r w:rsidR="00E5423A">
        <w:rPr>
          <w:noProof/>
        </w:rPr>
        <w:t>1</w:t>
      </w:r>
      <w:r w:rsidR="00E5423A">
        <w:noBreakHyphen/>
      </w:r>
      <w:r w:rsidR="00E5423A">
        <w:rPr>
          <w:noProof/>
        </w:rPr>
        <w:t>4</w:t>
      </w:r>
      <w:r w:rsidR="003D7C3D">
        <w:fldChar w:fldCharType="end"/>
      </w:r>
      <w:r>
        <w:t>.</w:t>
      </w:r>
      <w:r w:rsidR="00EE1DD4">
        <w:t xml:space="preserve"> </w:t>
      </w:r>
      <w:r w:rsidR="003D7C3D">
        <w:t>U</w:t>
      </w:r>
      <w:r w:rsidR="00EE1DD4" w:rsidRPr="00EE1DD4">
        <w:t xml:space="preserve">z naziv </w:t>
      </w:r>
      <w:r w:rsidR="00EE1DD4" w:rsidRPr="00B4224E">
        <w:t xml:space="preserve">svake mjere naveden </w:t>
      </w:r>
      <w:r w:rsidR="003D7C3D" w:rsidRPr="007145ED">
        <w:t>je</w:t>
      </w:r>
      <w:r w:rsidR="00EE1DD4" w:rsidRPr="00B4224E">
        <w:t xml:space="preserve"> dokument kojim je mjera usvojena.</w:t>
      </w:r>
    </w:p>
    <w:p w14:paraId="777A428D" w14:textId="3D88A095" w:rsidR="00634B7C" w:rsidRDefault="00EE1DD4" w:rsidP="00B23FAC">
      <w:pPr>
        <w:pStyle w:val="Caption"/>
      </w:pPr>
      <w:bookmarkStart w:id="64" w:name="_Ref531512768"/>
      <w:bookmarkStart w:id="65" w:name="_Toc531935324"/>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4</w:t>
      </w:r>
      <w:r w:rsidR="00B22048">
        <w:rPr>
          <w:noProof/>
        </w:rPr>
        <w:fldChar w:fldCharType="end"/>
      </w:r>
      <w:bookmarkStart w:id="66" w:name="_Hlk531607566"/>
      <w:bookmarkEnd w:id="64"/>
      <w:r w:rsidR="00A87274">
        <w:rPr>
          <w:noProof/>
        </w:rPr>
        <w:t xml:space="preserve"> </w:t>
      </w:r>
      <w:r>
        <w:t>Trenutne mjere unutar dimenzije „dekarbonizacija“</w:t>
      </w:r>
      <w:bookmarkEnd w:id="65"/>
      <w:bookmarkEnd w:id="66"/>
    </w:p>
    <w:tbl>
      <w:tblPr>
        <w:tblStyle w:val="GridTable1Light"/>
        <w:tblW w:w="5000" w:type="pct"/>
        <w:tblLook w:val="04A0" w:firstRow="1" w:lastRow="0" w:firstColumn="1" w:lastColumn="0" w:noHBand="0" w:noVBand="1"/>
      </w:tblPr>
      <w:tblGrid>
        <w:gridCol w:w="1941"/>
        <w:gridCol w:w="2784"/>
        <w:gridCol w:w="4337"/>
      </w:tblGrid>
      <w:tr w:rsidR="00EE1DD4" w:rsidRPr="00EF5587" w14:paraId="1BB94DBB" w14:textId="77777777" w:rsidTr="007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79FEF31" w14:textId="77777777" w:rsidR="00EE1DD4" w:rsidRPr="00EF5587" w:rsidRDefault="00EE1DD4" w:rsidP="00A004BA">
            <w:pPr>
              <w:spacing w:before="0" w:after="0" w:line="240" w:lineRule="auto"/>
              <w:rPr>
                <w:rFonts w:cs="Arial"/>
                <w:sz w:val="20"/>
                <w:szCs w:val="20"/>
              </w:rPr>
            </w:pPr>
            <w:r w:rsidRPr="00EF5587">
              <w:rPr>
                <w:rFonts w:cs="Arial"/>
                <w:sz w:val="20"/>
                <w:szCs w:val="20"/>
              </w:rPr>
              <w:t>Naziv mjere</w:t>
            </w:r>
          </w:p>
        </w:tc>
        <w:tc>
          <w:tcPr>
            <w:tcW w:w="1536" w:type="pct"/>
          </w:tcPr>
          <w:p w14:paraId="4DA81666" w14:textId="7D26D82B" w:rsidR="00EE1DD4" w:rsidRPr="00EF5587" w:rsidRDefault="00EE1DD4" w:rsidP="00A004BA">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w:t>
            </w:r>
            <w:r w:rsidR="00566C04">
              <w:rPr>
                <w:rFonts w:cs="Arial"/>
                <w:sz w:val="20"/>
                <w:szCs w:val="20"/>
              </w:rPr>
              <w:t>i</w:t>
            </w:r>
          </w:p>
        </w:tc>
        <w:tc>
          <w:tcPr>
            <w:tcW w:w="2393" w:type="pct"/>
          </w:tcPr>
          <w:p w14:paraId="44701A9A" w14:textId="77777777" w:rsidR="00EE1DD4" w:rsidRPr="00EF5587" w:rsidRDefault="00EE1DD4" w:rsidP="00A004BA">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EE1DD4" w:rsidRPr="00EF5587" w14:paraId="09C5770B"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2EE7B2DC" w14:textId="6168725A" w:rsidR="00EE1DD4" w:rsidRPr="00EF5587" w:rsidRDefault="00EE1DD4" w:rsidP="00A004BA">
            <w:pPr>
              <w:spacing w:before="0" w:after="0" w:line="240" w:lineRule="auto"/>
              <w:rPr>
                <w:rFonts w:cs="Arial"/>
                <w:sz w:val="20"/>
                <w:szCs w:val="20"/>
              </w:rPr>
            </w:pPr>
            <w:r>
              <w:rPr>
                <w:rFonts w:cs="Arial"/>
                <w:sz w:val="20"/>
                <w:szCs w:val="20"/>
              </w:rPr>
              <w:t>Međusektorske politike i mjere</w:t>
            </w:r>
          </w:p>
        </w:tc>
      </w:tr>
      <w:tr w:rsidR="00EE1DD4" w:rsidRPr="00EF5587" w14:paraId="0FAA8D65"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774A1A8" w14:textId="654B142E" w:rsidR="00EE1DD4" w:rsidRPr="007145ED" w:rsidRDefault="00EE1DD4" w:rsidP="00A004BA">
            <w:pPr>
              <w:pStyle w:val="Default"/>
              <w:rPr>
                <w:b w:val="0"/>
                <w:sz w:val="20"/>
                <w:szCs w:val="20"/>
              </w:rPr>
            </w:pPr>
            <w:r w:rsidRPr="001B00E5">
              <w:rPr>
                <w:sz w:val="20"/>
                <w:szCs w:val="20"/>
              </w:rPr>
              <w:t>Povjerenstvo za međusektorsku koordinaciju za politiku i mjera za ublaživanje i prilagodbu klimatskim promjenama</w:t>
            </w:r>
          </w:p>
        </w:tc>
        <w:tc>
          <w:tcPr>
            <w:tcW w:w="1536" w:type="pct"/>
          </w:tcPr>
          <w:p w14:paraId="506AA0DE" w14:textId="6F64AF33" w:rsidR="00EE1DD4" w:rsidRPr="00EF5587" w:rsidRDefault="00AD16EB"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D16EB">
              <w:rPr>
                <w:rFonts w:cs="Arial"/>
                <w:sz w:val="20"/>
                <w:szCs w:val="20"/>
              </w:rPr>
              <w:t>Zakon o zaštiti zraka (NN 130/11, 47/14, 61/17</w:t>
            </w:r>
            <w:r>
              <w:rPr>
                <w:rFonts w:cs="Arial"/>
                <w:sz w:val="20"/>
                <w:szCs w:val="20"/>
              </w:rPr>
              <w:t>)</w:t>
            </w:r>
            <w:r w:rsidR="0070212E">
              <w:rPr>
                <w:rFonts w:cs="Arial"/>
                <w:sz w:val="20"/>
                <w:szCs w:val="20"/>
              </w:rPr>
              <w:t xml:space="preserve">, </w:t>
            </w:r>
            <w:r w:rsidR="0070212E" w:rsidRPr="0070212E">
              <w:rPr>
                <w:rFonts w:cs="Arial"/>
                <w:sz w:val="20"/>
                <w:szCs w:val="20"/>
              </w:rPr>
              <w:t>Odluk</w:t>
            </w:r>
            <w:r w:rsidR="006B0F64">
              <w:rPr>
                <w:rFonts w:cs="Arial"/>
                <w:sz w:val="20"/>
                <w:szCs w:val="20"/>
              </w:rPr>
              <w:t>a</w:t>
            </w:r>
            <w:r w:rsidR="0070212E" w:rsidRPr="0070212E">
              <w:rPr>
                <w:rFonts w:cs="Arial"/>
                <w:sz w:val="20"/>
                <w:szCs w:val="20"/>
              </w:rPr>
              <w:t xml:space="preserve"> Vlade RH (NN 114/14)</w:t>
            </w:r>
          </w:p>
        </w:tc>
        <w:tc>
          <w:tcPr>
            <w:tcW w:w="2393" w:type="pct"/>
          </w:tcPr>
          <w:p w14:paraId="25AA41C9" w14:textId="0F13428D" w:rsidR="00EE1DD4" w:rsidRPr="0031468F"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 xml:space="preserve">Povjerenstvo je bilo nadležno za praćenje i ocjenu provedbe i planiranja politike i mjera za ublažavanje i prilagodbu klimatskim promjenama u </w:t>
            </w:r>
            <w:r w:rsidRPr="0031468F">
              <w:rPr>
                <w:sz w:val="20"/>
                <w:szCs w:val="20"/>
              </w:rPr>
              <w:t>Republici Hrvatskoj. U Povjerenstvo su imenovani predstavnici nadležnih tijela državne uprave i ostalih relevantnih institucija, agencija i nevladinih udruga. Sastav Povjerenstva, poslove i način rada povjerenstva određuje Vlada Republike Hrvatske na prijedlog ministarstva nadležnog za zaštitu okoliša. Povjerenstvo se sastoji od Koordinacijske skupine i Tehničke radne skupine.</w:t>
            </w:r>
          </w:p>
        </w:tc>
      </w:tr>
      <w:tr w:rsidR="00EE1DD4" w:rsidRPr="00EF5587" w14:paraId="69651A9C"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1CFF1936" w14:textId="26722640" w:rsidR="00EE1DD4" w:rsidRPr="007145ED" w:rsidRDefault="00F16666" w:rsidP="00A004BA">
            <w:pPr>
              <w:pStyle w:val="Default"/>
              <w:rPr>
                <w:b w:val="0"/>
                <w:sz w:val="20"/>
                <w:szCs w:val="20"/>
              </w:rPr>
            </w:pPr>
            <w:r w:rsidRPr="00F16666">
              <w:rPr>
                <w:b w:val="0"/>
                <w:sz w:val="20"/>
                <w:szCs w:val="20"/>
              </w:rPr>
              <w:t>Promicanje korištenja inovativnih informacijskih i komunikacijskih tehnologija (ICT) radi smanjenja emisija stakleničkih plinova</w:t>
            </w:r>
          </w:p>
        </w:tc>
        <w:tc>
          <w:tcPr>
            <w:tcW w:w="1536" w:type="pct"/>
          </w:tcPr>
          <w:p w14:paraId="0176E4F8" w14:textId="6A3C426F" w:rsidR="00EE1DD4" w:rsidRPr="005A25C9" w:rsidRDefault="00566C0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1749F6">
              <w:rPr>
                <w:sz w:val="20"/>
                <w:szCs w:val="20"/>
              </w:rPr>
              <w:t xml:space="preserve"> [</w:t>
            </w:r>
            <w:r w:rsidR="001749F6" w:rsidRPr="007145ED">
              <w:fldChar w:fldCharType="begin"/>
            </w:r>
            <w:r w:rsidR="001749F6">
              <w:rPr>
                <w:sz w:val="20"/>
                <w:szCs w:val="20"/>
              </w:rPr>
              <w:instrText xml:space="preserve"> REF _Ref531604343 \r \h </w:instrText>
            </w:r>
            <w:r w:rsidR="001749F6" w:rsidRPr="007145ED">
              <w:rPr>
                <w:sz w:val="20"/>
                <w:szCs w:val="20"/>
              </w:rPr>
              <w:fldChar w:fldCharType="separate"/>
            </w:r>
            <w:r w:rsidR="00E5423A">
              <w:rPr>
                <w:sz w:val="20"/>
                <w:szCs w:val="20"/>
              </w:rPr>
              <w:t>8</w:t>
            </w:r>
            <w:r w:rsidR="001749F6" w:rsidRPr="007145ED">
              <w:fldChar w:fldCharType="end"/>
            </w:r>
            <w:r w:rsidR="001749F6">
              <w:rPr>
                <w:sz w:val="20"/>
                <w:szCs w:val="20"/>
              </w:rPr>
              <w:t>]</w:t>
            </w:r>
          </w:p>
        </w:tc>
        <w:tc>
          <w:tcPr>
            <w:tcW w:w="2393" w:type="pct"/>
          </w:tcPr>
          <w:p w14:paraId="493AA1FC" w14:textId="56F7554F" w:rsidR="00EE1DD4" w:rsidRPr="0031468F"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tc>
      </w:tr>
      <w:tr w:rsidR="00F16666" w:rsidRPr="00EF5587" w14:paraId="6299797A"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177FE9CC" w14:textId="6FD25834" w:rsidR="00F16666" w:rsidRPr="00977A99" w:rsidRDefault="00F16666" w:rsidP="00A004BA">
            <w:pPr>
              <w:pStyle w:val="Default"/>
              <w:rPr>
                <w:b w:val="0"/>
                <w:sz w:val="20"/>
                <w:szCs w:val="20"/>
              </w:rPr>
            </w:pPr>
            <w:r w:rsidRPr="00F16666">
              <w:rPr>
                <w:b w:val="0"/>
                <w:sz w:val="20"/>
                <w:szCs w:val="20"/>
              </w:rPr>
              <w:t>Europski sustav trgovanja emisijskim jedinicama</w:t>
            </w:r>
          </w:p>
        </w:tc>
        <w:tc>
          <w:tcPr>
            <w:tcW w:w="1536" w:type="pct"/>
          </w:tcPr>
          <w:p w14:paraId="2138ECC3" w14:textId="527A15E9" w:rsidR="00F16666" w:rsidRPr="005A25C9"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0212E">
              <w:rPr>
                <w:sz w:val="20"/>
                <w:szCs w:val="20"/>
              </w:rPr>
              <w:t>Uredb</w:t>
            </w:r>
            <w:r>
              <w:rPr>
                <w:sz w:val="20"/>
                <w:szCs w:val="20"/>
              </w:rPr>
              <w:t>a</w:t>
            </w:r>
            <w:r w:rsidRPr="0070212E">
              <w:rPr>
                <w:sz w:val="20"/>
                <w:szCs w:val="20"/>
              </w:rPr>
              <w:t xml:space="preserve"> o načinu trgovanja emisijskim jedinicama stakleničkih plinova (NN 69/12, 154/14)</w:t>
            </w:r>
          </w:p>
        </w:tc>
        <w:tc>
          <w:tcPr>
            <w:tcW w:w="2393" w:type="pct"/>
          </w:tcPr>
          <w:p w14:paraId="1FDFAA6A" w14:textId="244E50CB" w:rsidR="00F16666" w:rsidRPr="0031468F"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Kroz ravnomjernu raspodjelu emisijskih jedinica obveze za smanjenjem podijeljene su svim državama članicama s ciljem doprinosa smanjenju emisija za </w:t>
            </w:r>
            <w:r w:rsidR="00A77954">
              <w:rPr>
                <w:sz w:val="20"/>
                <w:szCs w:val="20"/>
              </w:rPr>
              <w:t>najmanje 43</w:t>
            </w:r>
            <w:r w:rsidRPr="0031468F">
              <w:rPr>
                <w:sz w:val="20"/>
                <w:szCs w:val="20"/>
              </w:rPr>
              <w:t>% do 20</w:t>
            </w:r>
            <w:r w:rsidR="00A77954">
              <w:rPr>
                <w:sz w:val="20"/>
                <w:szCs w:val="20"/>
              </w:rPr>
              <w:t>3</w:t>
            </w:r>
            <w:r w:rsidRPr="0031468F">
              <w:rPr>
                <w:sz w:val="20"/>
                <w:szCs w:val="20"/>
              </w:rPr>
              <w:t>0. godine u odnosu na razinu iz 2005. godine</w:t>
            </w:r>
            <w:r w:rsidRPr="005A25C9">
              <w:rPr>
                <w:sz w:val="20"/>
                <w:szCs w:val="20"/>
              </w:rPr>
              <w:t>.</w:t>
            </w:r>
          </w:p>
        </w:tc>
      </w:tr>
      <w:tr w:rsidR="00F16666" w:rsidRPr="00EF5587" w14:paraId="2D0A30C9"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02439561" w14:textId="288920D0" w:rsidR="00F16666" w:rsidRPr="00977A99" w:rsidRDefault="00F16666" w:rsidP="00977A99">
            <w:pPr>
              <w:pStyle w:val="Default"/>
              <w:rPr>
                <w:b w:val="0"/>
                <w:sz w:val="20"/>
                <w:szCs w:val="20"/>
              </w:rPr>
            </w:pPr>
            <w:r w:rsidRPr="00F16666">
              <w:rPr>
                <w:b w:val="0"/>
                <w:sz w:val="20"/>
                <w:szCs w:val="20"/>
              </w:rPr>
              <w:t>Korištenje sredstava dobivenih od prodaje emisijskih jedinica putem dražbi u okviru EU ETS-a za mjere za smanjenje emisija stakleničkih plinova</w:t>
            </w:r>
          </w:p>
        </w:tc>
        <w:tc>
          <w:tcPr>
            <w:tcW w:w="1536" w:type="pct"/>
          </w:tcPr>
          <w:p w14:paraId="75C64C7A" w14:textId="3088E6B7" w:rsidR="00F16666" w:rsidRPr="005A25C9" w:rsidRDefault="00455E1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55E1D">
              <w:rPr>
                <w:sz w:val="20"/>
                <w:szCs w:val="20"/>
              </w:rPr>
              <w:t>Zakon o zaštiti zraka (NN 130/11, 47/14, 61/17)</w:t>
            </w:r>
          </w:p>
        </w:tc>
        <w:tc>
          <w:tcPr>
            <w:tcW w:w="2393" w:type="pct"/>
          </w:tcPr>
          <w:p w14:paraId="5370E4E6" w14:textId="7FA6FBA5" w:rsidR="00F16666" w:rsidRPr="0031468F" w:rsidRDefault="00F8799A" w:rsidP="00F8799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Od ukupnog broja jedinica određenih za raspodjelu operaterima i zrakoplovnim operaterima, svake godine razdoblja trgovanja dio ih se besplatno distribuira, a preostali dio se distribuira državama članicama EU i podliježe javnim aukcijama. Zakon o zaštiti zraka propisuje u koje se svrhe koriste zaprimljena sredstva.</w:t>
            </w:r>
          </w:p>
        </w:tc>
      </w:tr>
      <w:tr w:rsidR="00C9563C" w:rsidRPr="00EF5587" w14:paraId="2575D91A"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54CFF0DC" w14:textId="03D0D567" w:rsidR="00C9563C" w:rsidRPr="007145ED" w:rsidRDefault="00580851" w:rsidP="00977A99">
            <w:pPr>
              <w:pStyle w:val="Default"/>
              <w:rPr>
                <w:b w:val="0"/>
                <w:sz w:val="20"/>
                <w:szCs w:val="20"/>
              </w:rPr>
            </w:pPr>
            <w:r w:rsidRPr="001B00E5">
              <w:rPr>
                <w:sz w:val="20"/>
                <w:szCs w:val="20"/>
              </w:rPr>
              <w:t>Sporazum gradonačelnika za klimu i energiju u Republici Hrvatskoj</w:t>
            </w:r>
          </w:p>
        </w:tc>
        <w:tc>
          <w:tcPr>
            <w:tcW w:w="1536" w:type="pct"/>
          </w:tcPr>
          <w:p w14:paraId="485819AA" w14:textId="77777777" w:rsidR="00C9563C" w:rsidRPr="00455E1D" w:rsidRDefault="00C9563C"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393" w:type="pct"/>
          </w:tcPr>
          <w:p w14:paraId="76DD5E41" w14:textId="1F1A079D" w:rsidR="00C9563C" w:rsidRPr="0031468F" w:rsidRDefault="00A77954" w:rsidP="00F8799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77954">
              <w:rPr>
                <w:sz w:val="20"/>
                <w:szCs w:val="20"/>
              </w:rPr>
              <w:t>Potpisnici Sporazuma podržavaju zajedničku viziju za 2050. godinu: ubrzavanje dekarbonizacije njihovih teritorija, osnaživanje kapaciteta za prilagodbu na neizbježan utjecaj klimatskih promjena te omogućavanje građanima pristup sigurnoj, održivoj i povoljnoj energiji.</w:t>
            </w:r>
            <w:r w:rsidR="00891862" w:rsidRPr="007145ED">
              <w:rPr>
                <w:sz w:val="20"/>
                <w:szCs w:val="20"/>
              </w:rPr>
              <w:t xml:space="preserve"> Sporazumom</w:t>
            </w:r>
            <w:r w:rsidR="00891862" w:rsidRPr="00891862">
              <w:rPr>
                <w:sz w:val="20"/>
                <w:szCs w:val="20"/>
              </w:rPr>
              <w:t xml:space="preserve"> je obuhvaćeno 70 gradova i općina, odnosno preko 2 milijuna stanovnika u Republici Hrvatskoj.</w:t>
            </w:r>
          </w:p>
        </w:tc>
      </w:tr>
      <w:tr w:rsidR="00F16666" w:rsidRPr="00EF5587" w14:paraId="24BEED86"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14B391D" w14:textId="6F4EEBBA" w:rsidR="00F16666" w:rsidRPr="00977A99" w:rsidRDefault="00F16666" w:rsidP="00A004BA">
            <w:pPr>
              <w:pStyle w:val="Default"/>
              <w:rPr>
                <w:b w:val="0"/>
                <w:sz w:val="20"/>
                <w:szCs w:val="20"/>
              </w:rPr>
            </w:pPr>
            <w:r w:rsidRPr="00F16666">
              <w:rPr>
                <w:b w:val="0"/>
                <w:sz w:val="20"/>
                <w:szCs w:val="20"/>
              </w:rPr>
              <w:t>Provedba interdisciplinarnog istraživanja o potencijalu za geološko skladištenje CO</w:t>
            </w:r>
            <w:r w:rsidRPr="007145ED">
              <w:rPr>
                <w:sz w:val="20"/>
                <w:szCs w:val="20"/>
                <w:vertAlign w:val="subscript"/>
              </w:rPr>
              <w:t>2</w:t>
            </w:r>
            <w:r w:rsidRPr="00F16666">
              <w:rPr>
                <w:b w:val="0"/>
                <w:sz w:val="20"/>
                <w:szCs w:val="20"/>
              </w:rPr>
              <w:t xml:space="preserve"> u Republici Hrvatskoj</w:t>
            </w:r>
          </w:p>
        </w:tc>
        <w:tc>
          <w:tcPr>
            <w:tcW w:w="1536" w:type="pct"/>
          </w:tcPr>
          <w:p w14:paraId="7DDAE32D" w14:textId="7EB5BBD1" w:rsidR="00F16666" w:rsidRPr="005A25C9" w:rsidRDefault="00566C0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1749F6">
              <w:rPr>
                <w:sz w:val="20"/>
                <w:szCs w:val="20"/>
              </w:rPr>
              <w:t xml:space="preserve"> [</w:t>
            </w:r>
            <w:r w:rsidR="001749F6">
              <w:fldChar w:fldCharType="begin"/>
            </w:r>
            <w:r w:rsidR="001749F6">
              <w:rPr>
                <w:sz w:val="20"/>
                <w:szCs w:val="20"/>
              </w:rPr>
              <w:instrText xml:space="preserve"> REF _Ref531604343 \r \h </w:instrText>
            </w:r>
            <w:r w:rsidR="001749F6">
              <w:rPr>
                <w:sz w:val="20"/>
                <w:szCs w:val="20"/>
              </w:rPr>
              <w:fldChar w:fldCharType="separate"/>
            </w:r>
            <w:r w:rsidR="00E5423A">
              <w:rPr>
                <w:sz w:val="20"/>
                <w:szCs w:val="20"/>
              </w:rPr>
              <w:t>8</w:t>
            </w:r>
            <w:r w:rsidR="001749F6">
              <w:rPr>
                <w:sz w:val="20"/>
                <w:szCs w:val="20"/>
              </w:rPr>
              <w:fldChar w:fldCharType="end"/>
            </w:r>
            <w:r w:rsidR="001749F6">
              <w:rPr>
                <w:sz w:val="20"/>
                <w:szCs w:val="20"/>
              </w:rPr>
              <w:t>]</w:t>
            </w:r>
          </w:p>
        </w:tc>
        <w:tc>
          <w:tcPr>
            <w:tcW w:w="2393" w:type="pct"/>
          </w:tcPr>
          <w:p w14:paraId="514A26CA" w14:textId="5DDE35EA" w:rsidR="00F16666" w:rsidRPr="0031468F" w:rsidRDefault="00F8799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Tehnologija sakupljanja i pohrane ugljika za velike izvore emisije još nije komercijalno dostupna. Potrebno je procijeniti potencijal za geološko skladištenje CO</w:t>
            </w:r>
            <w:r w:rsidRPr="007145ED">
              <w:rPr>
                <w:sz w:val="20"/>
                <w:szCs w:val="20"/>
                <w:vertAlign w:val="subscript"/>
              </w:rPr>
              <w:t>2</w:t>
            </w:r>
            <w:r w:rsidRPr="005A25C9">
              <w:rPr>
                <w:sz w:val="20"/>
                <w:szCs w:val="20"/>
              </w:rPr>
              <w:t xml:space="preserve"> u RH.</w:t>
            </w:r>
          </w:p>
        </w:tc>
      </w:tr>
      <w:tr w:rsidR="001E0162" w:rsidRPr="00EF5587" w14:paraId="20D357D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27C946B6" w14:textId="2E3BC5CA" w:rsidR="001E0162" w:rsidRPr="00977A99" w:rsidRDefault="001E0162" w:rsidP="001E0162">
            <w:pPr>
              <w:pStyle w:val="Default"/>
              <w:rPr>
                <w:b w:val="0"/>
                <w:sz w:val="20"/>
                <w:szCs w:val="20"/>
              </w:rPr>
            </w:pPr>
            <w:r>
              <w:rPr>
                <w:sz w:val="20"/>
                <w:szCs w:val="20"/>
              </w:rPr>
              <w:t>Obnovljivi izvori energije</w:t>
            </w:r>
          </w:p>
        </w:tc>
        <w:tc>
          <w:tcPr>
            <w:tcW w:w="1536" w:type="pct"/>
          </w:tcPr>
          <w:p w14:paraId="6FAA7A79" w14:textId="25F23913" w:rsidR="001E0162" w:rsidRPr="00EF5587" w:rsidRDefault="001E0162" w:rsidP="001E0162">
            <w:pPr>
              <w:pStyle w:val="Default"/>
              <w:cnfStyle w:val="000000000000" w:firstRow="0" w:lastRow="0" w:firstColumn="0" w:lastColumn="0" w:oddVBand="0" w:evenVBand="0" w:oddHBand="0" w:evenHBand="0" w:firstRowFirstColumn="0" w:firstRowLastColumn="0" w:lastRowFirstColumn="0" w:lastRowLastColumn="0"/>
              <w:rPr>
                <w:bCs/>
                <w:sz w:val="20"/>
                <w:szCs w:val="20"/>
              </w:rPr>
            </w:pPr>
          </w:p>
        </w:tc>
        <w:tc>
          <w:tcPr>
            <w:tcW w:w="2393" w:type="pct"/>
          </w:tcPr>
          <w:p w14:paraId="7A29634C" w14:textId="0570E05E" w:rsidR="001E0162" w:rsidRPr="00EF5587" w:rsidRDefault="001E0162" w:rsidP="001E0162">
            <w:pPr>
              <w:pStyle w:val="Default"/>
              <w:cnfStyle w:val="000000000000" w:firstRow="0" w:lastRow="0" w:firstColumn="0" w:lastColumn="0" w:oddVBand="0" w:evenVBand="0" w:oddHBand="0" w:evenHBand="0" w:firstRowFirstColumn="0" w:firstRowLastColumn="0" w:lastRowFirstColumn="0" w:lastRowLastColumn="0"/>
              <w:rPr>
                <w:bCs/>
                <w:sz w:val="20"/>
                <w:szCs w:val="20"/>
              </w:rPr>
            </w:pPr>
          </w:p>
        </w:tc>
      </w:tr>
      <w:tr w:rsidR="00566C04" w:rsidRPr="00EF5587" w14:paraId="1506C4F9"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0D649B00" w14:textId="77777777" w:rsidR="00566C04" w:rsidRPr="00CD1977" w:rsidRDefault="00566C04" w:rsidP="00A004BA">
            <w:pPr>
              <w:pStyle w:val="Default"/>
              <w:rPr>
                <w:b w:val="0"/>
                <w:sz w:val="20"/>
                <w:szCs w:val="20"/>
              </w:rPr>
            </w:pPr>
            <w:r w:rsidRPr="00566C04">
              <w:rPr>
                <w:b w:val="0"/>
                <w:sz w:val="20"/>
                <w:szCs w:val="20"/>
              </w:rPr>
              <w:t>Feed-in tarife i sustav premija za potporu korištenja obnovljivih izvora energije u proizvodnji električne energije i za visokoučinkovitu kogeneraciju</w:t>
            </w:r>
          </w:p>
        </w:tc>
        <w:tc>
          <w:tcPr>
            <w:tcW w:w="1536" w:type="pct"/>
          </w:tcPr>
          <w:p w14:paraId="679B1415" w14:textId="38983D72" w:rsidR="00566C04" w:rsidRPr="00EF5587" w:rsidRDefault="00F8799A"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F8799A">
              <w:rPr>
                <w:sz w:val="20"/>
                <w:szCs w:val="20"/>
              </w:rPr>
              <w:t>Zakon o obnovljivim izvorima energije i visokoučinkovitoj kogeneraciji (NN 100/15</w:t>
            </w:r>
            <w:r w:rsidR="005E3C10">
              <w:rPr>
                <w:sz w:val="20"/>
                <w:szCs w:val="20"/>
              </w:rPr>
              <w:t xml:space="preserve">, </w:t>
            </w:r>
            <w:r w:rsidR="005E3C10" w:rsidRPr="005E3C10">
              <w:rPr>
                <w:sz w:val="20"/>
                <w:szCs w:val="20"/>
              </w:rPr>
              <w:t>123/16, 131/17</w:t>
            </w:r>
            <w:r w:rsidRPr="00F8799A">
              <w:rPr>
                <w:sz w:val="20"/>
                <w:szCs w:val="20"/>
              </w:rPr>
              <w:t>)</w:t>
            </w:r>
            <w:r w:rsidR="00A004BA">
              <w:rPr>
                <w:sz w:val="20"/>
                <w:szCs w:val="20"/>
              </w:rPr>
              <w:t>,</w:t>
            </w:r>
            <w:r w:rsidRPr="00F8799A">
              <w:rPr>
                <w:sz w:val="20"/>
                <w:szCs w:val="20"/>
              </w:rPr>
              <w:t xml:space="preserve"> Nacionaln</w:t>
            </w:r>
            <w:r>
              <w:rPr>
                <w:sz w:val="20"/>
                <w:szCs w:val="20"/>
              </w:rPr>
              <w:t>i</w:t>
            </w:r>
            <w:r w:rsidRPr="00F8799A">
              <w:rPr>
                <w:sz w:val="20"/>
                <w:szCs w:val="20"/>
              </w:rPr>
              <w:t xml:space="preserve"> akcijsk</w:t>
            </w:r>
            <w:r>
              <w:rPr>
                <w:sz w:val="20"/>
                <w:szCs w:val="20"/>
              </w:rPr>
              <w:t>i</w:t>
            </w:r>
            <w:r w:rsidRPr="00F8799A">
              <w:rPr>
                <w:sz w:val="20"/>
                <w:szCs w:val="20"/>
              </w:rPr>
              <w:t xml:space="preserve"> plan za obnovljive izvor</w:t>
            </w:r>
            <w:r>
              <w:rPr>
                <w:sz w:val="20"/>
                <w:szCs w:val="20"/>
              </w:rPr>
              <w:t>e</w:t>
            </w:r>
            <w:r w:rsidRPr="00F8799A">
              <w:rPr>
                <w:sz w:val="20"/>
                <w:szCs w:val="20"/>
              </w:rPr>
              <w:t xml:space="preserve"> energije</w:t>
            </w:r>
            <w:r w:rsidR="005E3C10">
              <w:rPr>
                <w:sz w:val="20"/>
                <w:szCs w:val="20"/>
              </w:rPr>
              <w:t xml:space="preserve"> do 2020. </w:t>
            </w:r>
            <w:r w:rsidR="005E3C10" w:rsidRPr="00B4224E">
              <w:rPr>
                <w:sz w:val="20"/>
                <w:szCs w:val="20"/>
              </w:rPr>
              <w:t>godine</w:t>
            </w:r>
            <w:r w:rsidRPr="00B4224E">
              <w:rPr>
                <w:sz w:val="20"/>
                <w:szCs w:val="20"/>
              </w:rPr>
              <w:t xml:space="preserve"> [</w:t>
            </w:r>
            <w:r w:rsidR="005E3C10" w:rsidRPr="007145ED">
              <w:rPr>
                <w:sz w:val="20"/>
                <w:szCs w:val="20"/>
              </w:rPr>
              <w:fldChar w:fldCharType="begin"/>
            </w:r>
            <w:r w:rsidR="005E3C10" w:rsidRPr="007145ED">
              <w:rPr>
                <w:sz w:val="20"/>
                <w:szCs w:val="20"/>
              </w:rPr>
              <w:instrText xml:space="preserve"> REF _Ref531607925 \r \h </w:instrText>
            </w:r>
            <w:r w:rsidR="005E3C10">
              <w:rPr>
                <w:sz w:val="20"/>
                <w:szCs w:val="20"/>
              </w:rPr>
              <w:instrText xml:space="preserve"> \* MERGEFORMAT </w:instrText>
            </w:r>
            <w:r w:rsidR="005E3C10" w:rsidRPr="007145ED">
              <w:rPr>
                <w:sz w:val="20"/>
                <w:szCs w:val="20"/>
              </w:rPr>
            </w:r>
            <w:r w:rsidR="005E3C10" w:rsidRPr="007145ED">
              <w:rPr>
                <w:sz w:val="20"/>
                <w:szCs w:val="20"/>
              </w:rPr>
              <w:fldChar w:fldCharType="separate"/>
            </w:r>
            <w:r w:rsidR="00E5423A">
              <w:rPr>
                <w:sz w:val="20"/>
                <w:szCs w:val="20"/>
              </w:rPr>
              <w:t>11</w:t>
            </w:r>
            <w:r w:rsidR="005E3C10" w:rsidRPr="007145ED">
              <w:rPr>
                <w:sz w:val="20"/>
                <w:szCs w:val="20"/>
              </w:rPr>
              <w:fldChar w:fldCharType="end"/>
            </w:r>
            <w:r>
              <w:rPr>
                <w:sz w:val="20"/>
                <w:szCs w:val="20"/>
              </w:rPr>
              <w:t>]</w:t>
            </w:r>
          </w:p>
        </w:tc>
        <w:tc>
          <w:tcPr>
            <w:tcW w:w="2393" w:type="pct"/>
          </w:tcPr>
          <w:p w14:paraId="435E559A" w14:textId="557E2FEC" w:rsidR="00566C04" w:rsidRPr="00EF5587" w:rsidRDefault="00A004BA"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004BA">
              <w:rPr>
                <w:bCs/>
                <w:sz w:val="20"/>
                <w:szCs w:val="20"/>
              </w:rPr>
              <w:t xml:space="preserve">Glavni mehanizam zaslužan za prethodan razvoj obnovljivih izvora energije su poticajne cijene (feed-in tarife). </w:t>
            </w:r>
            <w:r>
              <w:rPr>
                <w:bCs/>
                <w:sz w:val="20"/>
                <w:szCs w:val="20"/>
              </w:rPr>
              <w:t xml:space="preserve">Očekuje se kako će se ova vid poticanja nastaviti i u narednom razdoblju, za postrojenja instalirane snage do 500 kW. </w:t>
            </w:r>
            <w:r w:rsidRPr="00A004BA">
              <w:rPr>
                <w:bCs/>
                <w:sz w:val="20"/>
                <w:szCs w:val="20"/>
              </w:rPr>
              <w:t xml:space="preserve">Zakon o obnovljivim izvorima energije i visokoučinkovitoj kogeneraciji </w:t>
            </w:r>
            <w:r>
              <w:rPr>
                <w:bCs/>
                <w:sz w:val="20"/>
                <w:szCs w:val="20"/>
              </w:rPr>
              <w:t>uveo je</w:t>
            </w:r>
            <w:r w:rsidRPr="00A004BA">
              <w:rPr>
                <w:bCs/>
                <w:sz w:val="20"/>
                <w:szCs w:val="20"/>
              </w:rPr>
              <w:t xml:space="preserve"> premijski</w:t>
            </w:r>
            <w:r>
              <w:rPr>
                <w:bCs/>
                <w:sz w:val="20"/>
                <w:szCs w:val="20"/>
              </w:rPr>
              <w:t xml:space="preserve"> sustav poticanja</w:t>
            </w:r>
            <w:r w:rsidRPr="00A004BA">
              <w:rPr>
                <w:bCs/>
                <w:sz w:val="20"/>
                <w:szCs w:val="20"/>
              </w:rPr>
              <w:t>.</w:t>
            </w:r>
          </w:p>
        </w:tc>
      </w:tr>
      <w:tr w:rsidR="00CE47EE" w:rsidRPr="00EF5587" w14:paraId="7C6823CA"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3303C540" w14:textId="5A0D39DA" w:rsidR="00CE47EE" w:rsidRPr="00977A99" w:rsidRDefault="00566C04" w:rsidP="00A004BA">
            <w:pPr>
              <w:pStyle w:val="Default"/>
              <w:rPr>
                <w:b w:val="0"/>
                <w:sz w:val="20"/>
                <w:szCs w:val="20"/>
              </w:rPr>
            </w:pPr>
            <w:r w:rsidRPr="00566C04">
              <w:rPr>
                <w:b w:val="0"/>
                <w:sz w:val="20"/>
                <w:szCs w:val="20"/>
              </w:rPr>
              <w:t>Povećanje korištenja obnovljivih izvora energije i energetske učinkovitosti u industrijskom sektoru</w:t>
            </w:r>
          </w:p>
        </w:tc>
        <w:tc>
          <w:tcPr>
            <w:tcW w:w="1536" w:type="pct"/>
          </w:tcPr>
          <w:p w14:paraId="32B300D1" w14:textId="3E1B261F" w:rsidR="00CE47EE" w:rsidRPr="005A25C9"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5E3C10">
              <w:rPr>
                <w:sz w:val="20"/>
                <w:szCs w:val="20"/>
              </w:rPr>
              <w:t xml:space="preserve"> [</w:t>
            </w:r>
            <w:r w:rsidR="005E3C10" w:rsidRPr="007145ED">
              <w:fldChar w:fldCharType="begin"/>
            </w:r>
            <w:r w:rsidR="005E3C10">
              <w:rPr>
                <w:sz w:val="20"/>
                <w:szCs w:val="20"/>
              </w:rPr>
              <w:instrText xml:space="preserve"> REF _Ref531604343 \r \h </w:instrText>
            </w:r>
            <w:r w:rsidR="005E3C10" w:rsidRPr="007145ED">
              <w:rPr>
                <w:sz w:val="20"/>
                <w:szCs w:val="20"/>
              </w:rPr>
              <w:fldChar w:fldCharType="separate"/>
            </w:r>
            <w:r w:rsidR="00E5423A">
              <w:rPr>
                <w:sz w:val="20"/>
                <w:szCs w:val="20"/>
              </w:rPr>
              <w:t>8</w:t>
            </w:r>
            <w:r w:rsidR="005E3C10" w:rsidRPr="007145ED">
              <w:fldChar w:fldCharType="end"/>
            </w:r>
            <w:r w:rsidR="005E3C10">
              <w:rPr>
                <w:sz w:val="20"/>
                <w:szCs w:val="20"/>
              </w:rPr>
              <w:t>]</w:t>
            </w:r>
          </w:p>
        </w:tc>
        <w:tc>
          <w:tcPr>
            <w:tcW w:w="2393" w:type="pct"/>
          </w:tcPr>
          <w:p w14:paraId="1833203B" w14:textId="6B6872E2" w:rsidR="00CE47EE"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Korištenje raspoloživih sredstava iz ESIF i sredstava dostupnih na aukcijama emisijskih jedinica u EU ETS za korištenje obnovljivih izvora energije i energetsku učinkovitost u industrijskom sektoru.</w:t>
            </w:r>
          </w:p>
        </w:tc>
      </w:tr>
      <w:tr w:rsidR="001E0162" w:rsidRPr="00EF5587" w14:paraId="4AF333EA"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9AA45CB" w14:textId="65195334" w:rsidR="001E0162" w:rsidRPr="00977A99" w:rsidRDefault="00566C04" w:rsidP="00A004BA">
            <w:pPr>
              <w:pStyle w:val="Default"/>
              <w:rPr>
                <w:b w:val="0"/>
                <w:sz w:val="20"/>
                <w:szCs w:val="20"/>
              </w:rPr>
            </w:pPr>
            <w:r w:rsidRPr="00566C04">
              <w:rPr>
                <w:b w:val="0"/>
                <w:sz w:val="20"/>
                <w:szCs w:val="20"/>
              </w:rPr>
              <w:t>Poticanje korištenja obnovljivih izvora energije i energetske učinkovitosti putem HBOR-a</w:t>
            </w:r>
          </w:p>
        </w:tc>
        <w:tc>
          <w:tcPr>
            <w:tcW w:w="1536" w:type="pct"/>
          </w:tcPr>
          <w:p w14:paraId="4444795A" w14:textId="31C44EB2" w:rsidR="001E0162" w:rsidRPr="005A25C9"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5E3C10">
              <w:rPr>
                <w:sz w:val="20"/>
                <w:szCs w:val="20"/>
              </w:rPr>
              <w:t xml:space="preserve"> [</w:t>
            </w:r>
            <w:r w:rsidR="005E3C10">
              <w:fldChar w:fldCharType="begin"/>
            </w:r>
            <w:r w:rsidR="005E3C10">
              <w:rPr>
                <w:sz w:val="20"/>
                <w:szCs w:val="20"/>
              </w:rPr>
              <w:instrText xml:space="preserve"> REF _Ref531604343 \r \h </w:instrText>
            </w:r>
            <w:r w:rsidR="005E3C10">
              <w:rPr>
                <w:sz w:val="20"/>
                <w:szCs w:val="20"/>
              </w:rPr>
              <w:fldChar w:fldCharType="separate"/>
            </w:r>
            <w:r w:rsidR="00E5423A">
              <w:rPr>
                <w:sz w:val="20"/>
                <w:szCs w:val="20"/>
              </w:rPr>
              <w:t>8</w:t>
            </w:r>
            <w:r w:rsidR="005E3C10">
              <w:rPr>
                <w:sz w:val="20"/>
                <w:szCs w:val="20"/>
              </w:rPr>
              <w:fldChar w:fldCharType="end"/>
            </w:r>
            <w:r w:rsidR="005E3C10">
              <w:rPr>
                <w:sz w:val="20"/>
                <w:szCs w:val="20"/>
              </w:rPr>
              <w:t>]</w:t>
            </w:r>
          </w:p>
        </w:tc>
        <w:tc>
          <w:tcPr>
            <w:tcW w:w="2393" w:type="pct"/>
          </w:tcPr>
          <w:p w14:paraId="11F04E29" w14:textId="4CA7A237" w:rsidR="001E0162"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Cilj programa kreditiranja projekata zaštite okoliša, energetske učinkovitosti i obnovljivih izvora energije je realizacija investicijskih projekata usmjerenih na zaštitu okoliša, poboljšanje energetske učinkovitosti i poticanje korištenja obnovljivih izvora energije. Krediti su namijenjeni za ulaganja u zemljišta, građevinske objekte, opremu i uređaje. Krajnji korisnici kredita mogu biti jedinice lokalne i područne (regionalne) samouprave, komunalna društva, trgovačka društva, obrtnici i ostale pravne osobe.</w:t>
            </w:r>
          </w:p>
        </w:tc>
      </w:tr>
      <w:tr w:rsidR="001E0162" w:rsidRPr="00EF5587" w14:paraId="2ADDFFC0"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666846E" w14:textId="0A555472" w:rsidR="001E0162" w:rsidRPr="00977A99" w:rsidRDefault="00566C04" w:rsidP="00A004BA">
            <w:pPr>
              <w:pStyle w:val="Default"/>
              <w:rPr>
                <w:b w:val="0"/>
                <w:sz w:val="20"/>
                <w:szCs w:val="20"/>
              </w:rPr>
            </w:pPr>
            <w:r w:rsidRPr="00566C04">
              <w:rPr>
                <w:b w:val="0"/>
                <w:sz w:val="20"/>
                <w:szCs w:val="20"/>
              </w:rPr>
              <w:t>Poticanje korištenja obnovljivih izvora energije i energetske učinkovitosti sredstvima Fonda za zaštitu okoliša i energetsku učinkovitost</w:t>
            </w:r>
          </w:p>
        </w:tc>
        <w:tc>
          <w:tcPr>
            <w:tcW w:w="1536" w:type="pct"/>
          </w:tcPr>
          <w:p w14:paraId="55F367EC" w14:textId="07FA7F58" w:rsidR="001E0162" w:rsidRPr="005A25C9"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5E3C10">
              <w:rPr>
                <w:sz w:val="20"/>
                <w:szCs w:val="20"/>
              </w:rPr>
              <w:t xml:space="preserve"> [</w:t>
            </w:r>
            <w:r w:rsidR="005E3C10">
              <w:fldChar w:fldCharType="begin"/>
            </w:r>
            <w:r w:rsidR="005E3C10">
              <w:rPr>
                <w:sz w:val="20"/>
                <w:szCs w:val="20"/>
              </w:rPr>
              <w:instrText xml:space="preserve"> REF _Ref531604343 \r \h </w:instrText>
            </w:r>
            <w:r w:rsidR="005E3C10">
              <w:rPr>
                <w:sz w:val="20"/>
                <w:szCs w:val="20"/>
              </w:rPr>
              <w:fldChar w:fldCharType="separate"/>
            </w:r>
            <w:r w:rsidR="00E5423A">
              <w:rPr>
                <w:sz w:val="20"/>
                <w:szCs w:val="20"/>
              </w:rPr>
              <w:t>8</w:t>
            </w:r>
            <w:r w:rsidR="005E3C10">
              <w:rPr>
                <w:sz w:val="20"/>
                <w:szCs w:val="20"/>
              </w:rPr>
              <w:fldChar w:fldCharType="end"/>
            </w:r>
            <w:r w:rsidR="005E3C10">
              <w:rPr>
                <w:sz w:val="20"/>
                <w:szCs w:val="20"/>
              </w:rPr>
              <w:t>]</w:t>
            </w:r>
          </w:p>
        </w:tc>
        <w:tc>
          <w:tcPr>
            <w:tcW w:w="2393" w:type="pct"/>
          </w:tcPr>
          <w:p w14:paraId="75E69B3A" w14:textId="3C08F469" w:rsidR="001E0162"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Sredstva za financiranje osiguravaju se iz namjenskih prihoda Fonda od naknada onečišćivača okoliša, što uključuje naknade na emisije dušikovih oksida, sumporovog dioksida i ugljikovog dioksida, naknade za opterećivanje okoliša otpadom, naknade korisnika okoliša i posebne naknade za okoliš za vozila na motorni pogon. Projekti obnovljivih izvora energije za koja Fond za zaštitu okoliša i energetsku učinkovitost dodjeljuje sredstva uključuju sunčevu energiju, energiju vjetra, energiju biomase, energiju iz malih hidroelektrana i geotermalnu energiju.</w:t>
            </w:r>
          </w:p>
        </w:tc>
      </w:tr>
      <w:tr w:rsidR="00511C1A" w:rsidRPr="00EF5587" w14:paraId="7B28DC63"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1823B7FB" w14:textId="30AF7464" w:rsidR="00511C1A" w:rsidRPr="00566C04" w:rsidRDefault="00511C1A" w:rsidP="00A004BA">
            <w:pPr>
              <w:pStyle w:val="Default"/>
              <w:rPr>
                <w:b w:val="0"/>
                <w:sz w:val="20"/>
                <w:szCs w:val="20"/>
              </w:rPr>
            </w:pPr>
            <w:r w:rsidRPr="00511C1A">
              <w:rPr>
                <w:b w:val="0"/>
                <w:sz w:val="20"/>
                <w:szCs w:val="20"/>
              </w:rPr>
              <w:t>Djelovanje na lokalnoj razini</w:t>
            </w:r>
          </w:p>
        </w:tc>
        <w:tc>
          <w:tcPr>
            <w:tcW w:w="0" w:type="pct"/>
          </w:tcPr>
          <w:p w14:paraId="2D55E523" w14:textId="3D7D4E0C" w:rsidR="00511C1A" w:rsidRPr="00566C04" w:rsidRDefault="00511C1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11C1A">
              <w:rPr>
                <w:sz w:val="20"/>
                <w:szCs w:val="20"/>
              </w:rPr>
              <w:t>Nacionalni akcijski plan za obnovljive izvore energije</w:t>
            </w:r>
            <w:r w:rsidR="005E3C10">
              <w:rPr>
                <w:sz w:val="20"/>
                <w:szCs w:val="20"/>
              </w:rPr>
              <w:t xml:space="preserve"> </w:t>
            </w:r>
            <w:r w:rsidR="005E3C10" w:rsidRPr="00765552">
              <w:rPr>
                <w:sz w:val="20"/>
                <w:szCs w:val="20"/>
              </w:rPr>
              <w:t>[</w:t>
            </w:r>
            <w:r w:rsidR="005E3C10" w:rsidRPr="00765552">
              <w:fldChar w:fldCharType="begin"/>
            </w:r>
            <w:r w:rsidR="005E3C10" w:rsidRPr="00765552">
              <w:rPr>
                <w:sz w:val="20"/>
                <w:szCs w:val="20"/>
              </w:rPr>
              <w:instrText xml:space="preserve"> REF _Ref531607925 \r \h </w:instrText>
            </w:r>
            <w:r w:rsidR="005E3C10">
              <w:rPr>
                <w:sz w:val="20"/>
                <w:szCs w:val="20"/>
              </w:rPr>
              <w:instrText xml:space="preserve"> \* MERGEFORMAT </w:instrText>
            </w:r>
            <w:r w:rsidR="005E3C10" w:rsidRPr="00765552">
              <w:rPr>
                <w:sz w:val="20"/>
                <w:szCs w:val="20"/>
              </w:rPr>
              <w:fldChar w:fldCharType="separate"/>
            </w:r>
            <w:r w:rsidR="00E5423A">
              <w:rPr>
                <w:sz w:val="20"/>
                <w:szCs w:val="20"/>
              </w:rPr>
              <w:t>11</w:t>
            </w:r>
            <w:r w:rsidR="005E3C10" w:rsidRPr="00765552">
              <w:rPr>
                <w:sz w:val="20"/>
                <w:szCs w:val="20"/>
              </w:rPr>
              <w:fldChar w:fldCharType="end"/>
            </w:r>
            <w:r w:rsidR="005E3C10">
              <w:rPr>
                <w:sz w:val="20"/>
                <w:szCs w:val="20"/>
              </w:rPr>
              <w:t>]</w:t>
            </w:r>
          </w:p>
        </w:tc>
        <w:tc>
          <w:tcPr>
            <w:tcW w:w="2393" w:type="pct"/>
          </w:tcPr>
          <w:p w14:paraId="53443818" w14:textId="431AFC28" w:rsidR="00511C1A" w:rsidRPr="0031468F" w:rsidRDefault="00511C1A" w:rsidP="00977A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w:t>
            </w:r>
            <w:r w:rsidRPr="0031468F">
              <w:rPr>
                <w:sz w:val="20"/>
                <w:szCs w:val="20"/>
              </w:rPr>
              <w:t>odizanje svijesti o OIE, s očekivanim rezultatom promjene ponašanja. Ciljne skupine su lokalne vlasti, interesne skupine, javnost.</w:t>
            </w:r>
          </w:p>
        </w:tc>
      </w:tr>
      <w:tr w:rsidR="00EE1DD4" w:rsidRPr="00EF5587" w14:paraId="2619657E"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66BAC4B6" w14:textId="340EC939" w:rsidR="00EE1DD4" w:rsidRPr="00CB7357" w:rsidRDefault="0070662D" w:rsidP="00A004BA">
            <w:pPr>
              <w:spacing w:before="0" w:after="0" w:line="240" w:lineRule="auto"/>
              <w:rPr>
                <w:rFonts w:cs="Arial"/>
                <w:sz w:val="20"/>
                <w:szCs w:val="20"/>
              </w:rPr>
            </w:pPr>
            <w:r>
              <w:rPr>
                <w:rFonts w:cs="Arial"/>
                <w:sz w:val="20"/>
                <w:szCs w:val="20"/>
              </w:rPr>
              <w:t>Promet</w:t>
            </w:r>
          </w:p>
        </w:tc>
      </w:tr>
      <w:tr w:rsidR="00EE1DD4" w:rsidRPr="00EF5587" w14:paraId="2F75C2EE"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3757516A" w14:textId="0D46202D" w:rsidR="00EE1DD4" w:rsidRPr="00845396" w:rsidRDefault="0070662D" w:rsidP="00A004BA">
            <w:pPr>
              <w:pStyle w:val="Default"/>
              <w:rPr>
                <w:b w:val="0"/>
                <w:sz w:val="20"/>
                <w:szCs w:val="20"/>
              </w:rPr>
            </w:pPr>
            <w:r w:rsidRPr="00382856">
              <w:rPr>
                <w:sz w:val="20"/>
                <w:szCs w:val="20"/>
              </w:rPr>
              <w:t>Informiranje potrošača o ekonomičnosti potrošnje goriva i emisiji CO</w:t>
            </w:r>
            <w:r w:rsidRPr="00382856">
              <w:rPr>
                <w:sz w:val="20"/>
                <w:szCs w:val="20"/>
                <w:vertAlign w:val="subscript"/>
              </w:rPr>
              <w:t>2</w:t>
            </w:r>
            <w:r w:rsidRPr="00382856">
              <w:rPr>
                <w:sz w:val="20"/>
                <w:szCs w:val="20"/>
              </w:rPr>
              <w:t xml:space="preserve"> novih osobnih automobila</w:t>
            </w:r>
          </w:p>
        </w:tc>
        <w:tc>
          <w:tcPr>
            <w:tcW w:w="1536" w:type="pct"/>
          </w:tcPr>
          <w:p w14:paraId="10F396D6" w14:textId="588C09D1" w:rsidR="00EE1DD4" w:rsidRPr="0031468F" w:rsidRDefault="0030194C"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Pravilnik o dostupnosti podataka o ekonomičnosti potrošnje goriva i emisiji CO</w:t>
            </w:r>
            <w:r w:rsidRPr="007145ED">
              <w:rPr>
                <w:sz w:val="20"/>
                <w:szCs w:val="20"/>
                <w:vertAlign w:val="subscript"/>
              </w:rPr>
              <w:t>2</w:t>
            </w:r>
            <w:r w:rsidRPr="005A25C9">
              <w:rPr>
                <w:sz w:val="20"/>
                <w:szCs w:val="20"/>
              </w:rPr>
              <w:t xml:space="preserve"> iz novih putničkih vozila (NN 7/15)</w:t>
            </w:r>
          </w:p>
        </w:tc>
        <w:tc>
          <w:tcPr>
            <w:tcW w:w="2393" w:type="pct"/>
          </w:tcPr>
          <w:p w14:paraId="6BEE490F" w14:textId="17FAA199" w:rsidR="00EE1DD4" w:rsidRPr="0031468F" w:rsidRDefault="006B0F64"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Svaki dobavljač novih osobnih vozila namijenjenih prodaji dužan je omogućiti potrošačima dostupne informacije o razini potrošnje goriva i specifičnoj emisiji CO</w:t>
            </w:r>
            <w:r w:rsidRPr="007145ED">
              <w:rPr>
                <w:rFonts w:cs="Arial"/>
                <w:sz w:val="20"/>
                <w:szCs w:val="20"/>
                <w:vertAlign w:val="subscript"/>
              </w:rPr>
              <w:t>2</w:t>
            </w:r>
            <w:r w:rsidRPr="005A25C9">
              <w:rPr>
                <w:rFonts w:cs="Arial"/>
                <w:sz w:val="20"/>
                <w:szCs w:val="20"/>
              </w:rPr>
              <w:t xml:space="preserve"> putničkih vozila. Ministarstvo unutarnjih poslova jedanput godišnje, najkasnije do 31. ožujka tekuće godine izrađuje Vodič o ekonomičnosti potrošnje goriva i emisiji CO</w:t>
            </w:r>
            <w:r w:rsidRPr="007145ED">
              <w:rPr>
                <w:rFonts w:cs="Arial"/>
                <w:sz w:val="20"/>
                <w:szCs w:val="20"/>
                <w:vertAlign w:val="subscript"/>
              </w:rPr>
              <w:t>2</w:t>
            </w:r>
            <w:r w:rsidRPr="005A25C9">
              <w:rPr>
                <w:rFonts w:cs="Arial"/>
                <w:sz w:val="20"/>
                <w:szCs w:val="20"/>
              </w:rPr>
              <w:t xml:space="preserve"> novih osobnih</w:t>
            </w:r>
            <w:r w:rsidRPr="0031468F">
              <w:rPr>
                <w:rFonts w:cs="Arial"/>
                <w:sz w:val="20"/>
                <w:szCs w:val="20"/>
              </w:rPr>
              <w:t xml:space="preserve"> automobila koji su dostupni za kupovinu na tržištu u Republici Hrvatskoj. Vodič sadrži potrebne podatke za svaki model novih osobnih automobila dostupnih na domaćem tržištu.</w:t>
            </w:r>
          </w:p>
        </w:tc>
      </w:tr>
      <w:tr w:rsidR="00EE1DD4" w:rsidRPr="00EF5587" w14:paraId="2E00A90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53C3EF50" w14:textId="6028CA90" w:rsidR="00EE1DD4" w:rsidRPr="007145ED" w:rsidRDefault="0070662D" w:rsidP="00A004BA">
            <w:pPr>
              <w:pStyle w:val="Default"/>
              <w:rPr>
                <w:b w:val="0"/>
                <w:sz w:val="20"/>
                <w:szCs w:val="20"/>
              </w:rPr>
            </w:pPr>
            <w:r w:rsidRPr="0070662D">
              <w:rPr>
                <w:b w:val="0"/>
                <w:sz w:val="20"/>
                <w:szCs w:val="20"/>
              </w:rPr>
              <w:t>Obuka vozača cestovnih vozila za eko vožnju</w:t>
            </w:r>
          </w:p>
        </w:tc>
        <w:tc>
          <w:tcPr>
            <w:tcW w:w="1536" w:type="pct"/>
          </w:tcPr>
          <w:p w14:paraId="3985B28D" w14:textId="1667F4B2" w:rsidR="00EE1DD4" w:rsidRPr="005A25C9" w:rsidRDefault="006B0F6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w:t>
            </w:r>
            <w:r w:rsidR="005E3C10">
              <w:rPr>
                <w:sz w:val="20"/>
                <w:szCs w:val="20"/>
              </w:rPr>
              <w:t xml:space="preserve"> [</w:t>
            </w:r>
            <w:r w:rsidR="005E3C10">
              <w:fldChar w:fldCharType="begin"/>
            </w:r>
            <w:r w:rsidR="005E3C10">
              <w:rPr>
                <w:sz w:val="20"/>
                <w:szCs w:val="20"/>
              </w:rPr>
              <w:instrText xml:space="preserve"> REF _Ref531604343 \r \h </w:instrText>
            </w:r>
            <w:r w:rsidR="005E3C10">
              <w:rPr>
                <w:sz w:val="20"/>
                <w:szCs w:val="20"/>
              </w:rPr>
              <w:fldChar w:fldCharType="separate"/>
            </w:r>
            <w:r w:rsidR="00E5423A">
              <w:rPr>
                <w:sz w:val="20"/>
                <w:szCs w:val="20"/>
              </w:rPr>
              <w:t>8</w:t>
            </w:r>
            <w:r w:rsidR="005E3C10">
              <w:rPr>
                <w:sz w:val="20"/>
                <w:szCs w:val="20"/>
              </w:rPr>
              <w:fldChar w:fldCharType="end"/>
            </w:r>
            <w:r w:rsidR="00CE3A58">
              <w:rPr>
                <w:sz w:val="20"/>
                <w:szCs w:val="20"/>
              </w:rPr>
              <w:t>], N</w:t>
            </w:r>
            <w:r w:rsidR="00CE3A58" w:rsidRPr="007C2383">
              <w:rPr>
                <w:sz w:val="20"/>
                <w:szCs w:val="20"/>
              </w:rPr>
              <w:t>acrt 4. nacionalnog plana energetske učinkovitosti, MZOE, studeni 2017.</w:t>
            </w:r>
            <w:r w:rsidR="00CE3A58">
              <w:rPr>
                <w:sz w:val="20"/>
                <w:szCs w:val="20"/>
              </w:rPr>
              <w:t xml:space="preserve"> [12]</w:t>
            </w:r>
            <w:r w:rsidR="351A17E0" w:rsidRPr="007145ED">
              <w:rPr>
                <w:sz w:val="20"/>
                <w:szCs w:val="20"/>
              </w:rPr>
              <w:t xml:space="preserve">, </w:t>
            </w:r>
          </w:p>
        </w:tc>
        <w:tc>
          <w:tcPr>
            <w:tcW w:w="2393" w:type="pct"/>
          </w:tcPr>
          <w:p w14:paraId="591FA4C3" w14:textId="498C9A1E" w:rsidR="00EE1DD4" w:rsidRPr="00EF5587" w:rsidRDefault="006B0F6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B0F64">
              <w:rPr>
                <w:rFonts w:cs="Arial"/>
                <w:sz w:val="20"/>
                <w:szCs w:val="20"/>
              </w:rPr>
              <w:t>Provedeni su pilot projekti i izvršena je sustavna izobrazba vozača cestovnih vozila za eko vožnju. Time se štedi energija i povećava razina svijesti svih građana i vozača u Republici Hrvatskoj o prednostima ovog modernog, inteligentnog i ekološki prihvatljivog stila vožnje. Posebni elementi posvećeni su edukaciji vozača osobnih automobila, autobusa i kamiona o eko vožnji.</w:t>
            </w:r>
            <w:r w:rsidR="00D002CA">
              <w:rPr>
                <w:rFonts w:cs="Arial"/>
                <w:sz w:val="20"/>
                <w:szCs w:val="20"/>
              </w:rPr>
              <w:t xml:space="preserve"> </w:t>
            </w:r>
            <w:r w:rsidR="00D002CA" w:rsidRPr="00D002CA">
              <w:rPr>
                <w:rFonts w:cs="Arial"/>
                <w:sz w:val="20"/>
                <w:szCs w:val="20"/>
              </w:rPr>
              <w:t>Obrazovanje o elementima eko vožnje provodi</w:t>
            </w:r>
            <w:r w:rsidR="00D002CA">
              <w:rPr>
                <w:rFonts w:cs="Arial"/>
                <w:sz w:val="20"/>
                <w:szCs w:val="20"/>
              </w:rPr>
              <w:t xml:space="preserve"> </w:t>
            </w:r>
            <w:r w:rsidR="00D002CA" w:rsidRPr="00D002CA">
              <w:rPr>
                <w:rFonts w:cs="Arial"/>
                <w:sz w:val="20"/>
                <w:szCs w:val="20"/>
              </w:rPr>
              <w:t>među vozačima koji su vozačku dozvolu dobili prije stupanja na snagu</w:t>
            </w:r>
            <w:r w:rsidR="00250EE2">
              <w:rPr>
                <w:rFonts w:cs="Arial"/>
                <w:sz w:val="20"/>
                <w:szCs w:val="20"/>
              </w:rPr>
              <w:t xml:space="preserve"> </w:t>
            </w:r>
            <w:r w:rsidR="00D002CA" w:rsidRPr="00D002CA">
              <w:rPr>
                <w:rFonts w:cs="Arial"/>
                <w:sz w:val="20"/>
                <w:szCs w:val="20"/>
              </w:rPr>
              <w:t xml:space="preserve">Pravilnika o osposobljavanju kandidata za vozače </w:t>
            </w:r>
            <w:r w:rsidR="00E94AAB">
              <w:rPr>
                <w:rFonts w:cs="Arial"/>
                <w:sz w:val="20"/>
                <w:szCs w:val="20"/>
              </w:rPr>
              <w:t xml:space="preserve">iz 2009. godine, </w:t>
            </w:r>
            <w:r w:rsidR="00D002CA" w:rsidRPr="00D002CA">
              <w:rPr>
                <w:rFonts w:cs="Arial"/>
                <w:sz w:val="20"/>
                <w:szCs w:val="20"/>
              </w:rPr>
              <w:t>kojim je za sve autoškole i instruktore postavljena obveza provođenja izobrazbe o elementima eko-vožnje tijekom standardne izobrazbe vozača kandidata.</w:t>
            </w:r>
          </w:p>
        </w:tc>
      </w:tr>
      <w:tr w:rsidR="00EE1DD4" w:rsidRPr="00EF5587" w14:paraId="3C26793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A604EDF" w14:textId="2DD07FC3" w:rsidR="00EE1DD4" w:rsidRPr="00977A99" w:rsidRDefault="0070662D" w:rsidP="00A004BA">
            <w:pPr>
              <w:pStyle w:val="Default"/>
              <w:rPr>
                <w:b w:val="0"/>
                <w:bCs w:val="0"/>
                <w:sz w:val="20"/>
                <w:szCs w:val="20"/>
              </w:rPr>
            </w:pPr>
            <w:r w:rsidRPr="0070662D">
              <w:rPr>
                <w:b w:val="0"/>
                <w:bCs w:val="0"/>
                <w:sz w:val="20"/>
                <w:szCs w:val="20"/>
              </w:rPr>
              <w:t>Obveza korištenja biogoriva u prometu</w:t>
            </w:r>
          </w:p>
        </w:tc>
        <w:tc>
          <w:tcPr>
            <w:tcW w:w="1536" w:type="pct"/>
          </w:tcPr>
          <w:p w14:paraId="0BBEB41B" w14:textId="37D31A6E" w:rsidR="00EE1DD4" w:rsidRPr="00EF5587" w:rsidRDefault="006B0F64"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B0F64">
              <w:rPr>
                <w:bCs/>
                <w:sz w:val="20"/>
                <w:szCs w:val="20"/>
              </w:rPr>
              <w:t>Zakon o biogorivima za prijevoz (NN 65/09, 145/10, 26/11, 144/12, 14/14</w:t>
            </w:r>
            <w:r w:rsidR="00A9605B">
              <w:rPr>
                <w:bCs/>
                <w:sz w:val="20"/>
                <w:szCs w:val="20"/>
              </w:rPr>
              <w:t>, 94/18</w:t>
            </w:r>
            <w:r w:rsidRPr="006B0F64">
              <w:rPr>
                <w:bCs/>
                <w:sz w:val="20"/>
                <w:szCs w:val="20"/>
              </w:rPr>
              <w:t>)</w:t>
            </w:r>
          </w:p>
        </w:tc>
        <w:tc>
          <w:tcPr>
            <w:tcW w:w="2393" w:type="pct"/>
          </w:tcPr>
          <w:p w14:paraId="2E102349" w14:textId="33C907A8" w:rsidR="00EE1DD4" w:rsidRPr="00EF5587" w:rsidRDefault="006B0F6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B0F64">
              <w:rPr>
                <w:rFonts w:cs="Arial"/>
                <w:bCs/>
                <w:sz w:val="20"/>
                <w:szCs w:val="20"/>
              </w:rPr>
              <w:t xml:space="preserve">2010. godine pripremljen je Nacionalni akcijski plan koji promovira proizvodnju i uporabu biogoriva u prijevozu za razdoblje od 2011. do 2020. godine. </w:t>
            </w:r>
            <w:r w:rsidR="00997E4A" w:rsidRPr="00997E4A">
              <w:rPr>
                <w:rFonts w:cs="Arial"/>
                <w:bCs/>
                <w:sz w:val="20"/>
                <w:szCs w:val="20"/>
              </w:rPr>
              <w:t>Nacionalni akcijski plan za obnovljive izvore energije (Ministarstvo gospodarstva, poduzetništva i obrta, 2013.) utvrdio je ciljeve i politike vezane za povećanje udjela OIE u finalnoj potrošnji energije do 2020. godine te posebno procijenjeni doprinos energije biogoriva u prometu.</w:t>
            </w:r>
          </w:p>
        </w:tc>
      </w:tr>
      <w:tr w:rsidR="00EE1DD4" w:rsidRPr="00EF5587" w14:paraId="60D43B96"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2B042631" w14:textId="35CCBCD4" w:rsidR="00EE1DD4" w:rsidRPr="00977A99" w:rsidRDefault="0070662D" w:rsidP="00A004BA">
            <w:pPr>
              <w:pStyle w:val="Default"/>
              <w:rPr>
                <w:b w:val="0"/>
                <w:bCs w:val="0"/>
                <w:sz w:val="20"/>
                <w:szCs w:val="20"/>
              </w:rPr>
            </w:pPr>
            <w:r w:rsidRPr="0070662D">
              <w:rPr>
                <w:b w:val="0"/>
                <w:bCs w:val="0"/>
                <w:sz w:val="20"/>
                <w:szCs w:val="20"/>
              </w:rPr>
              <w:t>Posebna naknada za okoliš za vozilima na motornim pogon</w:t>
            </w:r>
          </w:p>
        </w:tc>
        <w:tc>
          <w:tcPr>
            <w:tcW w:w="1536" w:type="pct"/>
          </w:tcPr>
          <w:p w14:paraId="5939F406" w14:textId="3404E304" w:rsidR="00EE1DD4" w:rsidRPr="0031468F" w:rsidRDefault="0081463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Fondu za zaštitu okoliša i energetsku učinkovitost (NN 107/03, 144/12), Uredb</w:t>
            </w:r>
            <w:r w:rsidRPr="0031468F">
              <w:rPr>
                <w:sz w:val="20"/>
                <w:szCs w:val="20"/>
              </w:rPr>
              <w:t>a o jediničnim naknadama, korektivnim koeficijentima i pobližim kriterijima i mjerilima za utvrđivanje posebne naknade za okoliš na vozila na motorni pogon (NN 114/14, 147/14)</w:t>
            </w:r>
          </w:p>
        </w:tc>
        <w:tc>
          <w:tcPr>
            <w:tcW w:w="2393" w:type="pct"/>
          </w:tcPr>
          <w:p w14:paraId="1F537C4C" w14:textId="0C0899CC" w:rsidR="00EE1DD4" w:rsidRPr="0031468F" w:rsidRDefault="0081463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Posebna naknada naplaćuje se uzimajući u obzir vrstu motora i goriva, radni volumen motora, vrstu vozila, emisiju CO2 i starost vozila</w:t>
            </w:r>
            <w:r w:rsidR="00ED19DF" w:rsidRPr="0031468F">
              <w:rPr>
                <w:rFonts w:cs="Arial"/>
                <w:sz w:val="20"/>
                <w:szCs w:val="20"/>
              </w:rPr>
              <w:t xml:space="preserve">. </w:t>
            </w:r>
          </w:p>
        </w:tc>
      </w:tr>
      <w:tr w:rsidR="00EE1DD4" w:rsidRPr="00DD7F26" w14:paraId="7CD5E764" w14:textId="77777777" w:rsidTr="007145ED">
        <w:trPr>
          <w:trHeight w:val="1438"/>
        </w:trPr>
        <w:tc>
          <w:tcPr>
            <w:cnfStyle w:val="001000000000" w:firstRow="0" w:lastRow="0" w:firstColumn="1" w:lastColumn="0" w:oddVBand="0" w:evenVBand="0" w:oddHBand="0" w:evenHBand="0" w:firstRowFirstColumn="0" w:firstRowLastColumn="0" w:lastRowFirstColumn="0" w:lastRowLastColumn="0"/>
            <w:tcW w:w="1071" w:type="pct"/>
          </w:tcPr>
          <w:p w14:paraId="48FECA60" w14:textId="50B9A72D" w:rsidR="00EE1DD4" w:rsidRPr="00977A99" w:rsidRDefault="0070662D" w:rsidP="00A004BA">
            <w:pPr>
              <w:pStyle w:val="Default"/>
              <w:rPr>
                <w:b w:val="0"/>
                <w:sz w:val="20"/>
                <w:szCs w:val="20"/>
              </w:rPr>
            </w:pPr>
            <w:r w:rsidRPr="0070662D">
              <w:rPr>
                <w:b w:val="0"/>
                <w:sz w:val="20"/>
                <w:szCs w:val="20"/>
              </w:rPr>
              <w:t>Posebni porez na motorna vozila</w:t>
            </w:r>
          </w:p>
        </w:tc>
        <w:tc>
          <w:tcPr>
            <w:tcW w:w="1536" w:type="pct"/>
          </w:tcPr>
          <w:p w14:paraId="71A69964" w14:textId="4FD5584B" w:rsidR="00EE1DD4" w:rsidRPr="0031468F" w:rsidRDefault="0081463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posebnom porezu na motorna vozila (NN 15/13, 108/13, 115/16</w:t>
            </w:r>
            <w:r w:rsidR="00A172DD" w:rsidRPr="0031468F">
              <w:rPr>
                <w:sz w:val="20"/>
                <w:szCs w:val="20"/>
              </w:rPr>
              <w:t>, 127/17</w:t>
            </w:r>
            <w:r w:rsidRPr="0031468F">
              <w:rPr>
                <w:sz w:val="20"/>
                <w:szCs w:val="20"/>
              </w:rPr>
              <w:t>)</w:t>
            </w:r>
          </w:p>
        </w:tc>
        <w:tc>
          <w:tcPr>
            <w:tcW w:w="2393" w:type="pct"/>
          </w:tcPr>
          <w:p w14:paraId="1F578D56" w14:textId="64F8B6D1" w:rsidR="00EE1DD4" w:rsidRPr="0031468F" w:rsidRDefault="0081463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Porez se odnosi na vozila namijenjena za uporabu na cestama u Republici Hrvatskoj u trenutku njihove prve registracije u RH. Porez ovisi o cijeni vozila, vrsti goriva i emisiji CO2. </w:t>
            </w:r>
            <w:r w:rsidR="00A172DD" w:rsidRPr="005A25C9">
              <w:rPr>
                <w:rFonts w:cs="Arial"/>
                <w:sz w:val="20"/>
                <w:szCs w:val="20"/>
              </w:rPr>
              <w:t>E</w:t>
            </w:r>
            <w:r w:rsidRPr="0031468F">
              <w:rPr>
                <w:rFonts w:cs="Arial"/>
                <w:sz w:val="20"/>
                <w:szCs w:val="20"/>
              </w:rPr>
              <w:t>lektrična vozila ne podliježu tom porezu.</w:t>
            </w:r>
          </w:p>
        </w:tc>
      </w:tr>
      <w:tr w:rsidR="0070662D" w:rsidRPr="00DD7F26" w14:paraId="05E81255"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0E4D5E3C" w14:textId="348A5C20" w:rsidR="0070662D" w:rsidRPr="007145ED" w:rsidRDefault="00882751" w:rsidP="00A004BA">
            <w:pPr>
              <w:pStyle w:val="Default"/>
              <w:rPr>
                <w:b w:val="0"/>
                <w:sz w:val="20"/>
                <w:szCs w:val="20"/>
              </w:rPr>
            </w:pPr>
            <w:r w:rsidRPr="00882751">
              <w:rPr>
                <w:b w:val="0"/>
                <w:sz w:val="20"/>
                <w:szCs w:val="20"/>
              </w:rPr>
              <w:t>Financijski poticaji za energetski učinkovita vozila</w:t>
            </w:r>
          </w:p>
        </w:tc>
        <w:tc>
          <w:tcPr>
            <w:tcW w:w="1536" w:type="pct"/>
          </w:tcPr>
          <w:p w14:paraId="4924CB49" w14:textId="7D1551C0" w:rsidR="0070662D" w:rsidRPr="005A25C9" w:rsidRDefault="00CE3A58"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Nacionalni okvir politike za uspostavu infrastrukture i razvoj tržišta alternativnih goriva u prometu (NN 34/17)</w:t>
            </w:r>
            <w:r w:rsidRPr="0031468F">
              <w:rPr>
                <w:sz w:val="20"/>
                <w:szCs w:val="20"/>
              </w:rPr>
              <w:t>, Nacrt 4. nacionalnog plana energetske učinkovitosti, MZOE, studeni 2017.</w:t>
            </w:r>
            <w:r w:rsidRPr="0031468F" w:rsidDel="00CE3A58">
              <w:rPr>
                <w:sz w:val="20"/>
                <w:szCs w:val="20"/>
              </w:rPr>
              <w:t xml:space="preserve"> </w:t>
            </w:r>
            <w:r w:rsidRPr="0031468F">
              <w:rPr>
                <w:sz w:val="20"/>
                <w:szCs w:val="20"/>
              </w:rPr>
              <w:t>[12]</w:t>
            </w:r>
          </w:p>
        </w:tc>
        <w:tc>
          <w:tcPr>
            <w:tcW w:w="2393" w:type="pct"/>
          </w:tcPr>
          <w:p w14:paraId="23977ECC" w14:textId="5AD53030"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S ciljem povećanja udjela </w:t>
            </w:r>
            <w:r w:rsidR="000E3C55" w:rsidRPr="0031468F">
              <w:rPr>
                <w:rFonts w:cs="Arial"/>
                <w:sz w:val="20"/>
                <w:szCs w:val="20"/>
              </w:rPr>
              <w:t>energetski</w:t>
            </w:r>
            <w:r w:rsidR="00637777" w:rsidRPr="0031468F">
              <w:rPr>
                <w:rFonts w:cs="Arial"/>
                <w:sz w:val="20"/>
                <w:szCs w:val="20"/>
              </w:rPr>
              <w:t xml:space="preserve"> učinkovitih vozila</w:t>
            </w:r>
            <w:r w:rsidR="00637777" w:rsidRPr="005A25C9">
              <w:rPr>
                <w:rFonts w:cs="Arial"/>
                <w:sz w:val="20"/>
                <w:szCs w:val="20"/>
              </w:rPr>
              <w:t xml:space="preserve"> </w:t>
            </w:r>
            <w:r w:rsidRPr="0031468F">
              <w:rPr>
                <w:rFonts w:cs="Arial"/>
                <w:sz w:val="20"/>
                <w:szCs w:val="20"/>
              </w:rPr>
              <w:t xml:space="preserve">uvele su se subvencije za kupnju </w:t>
            </w:r>
            <w:r w:rsidRPr="005A25C9">
              <w:rPr>
                <w:rFonts w:cs="Arial"/>
                <w:sz w:val="20"/>
                <w:szCs w:val="20"/>
              </w:rPr>
              <w:t xml:space="preserve">vozila </w:t>
            </w:r>
            <w:r w:rsidR="00637777" w:rsidRPr="0031468F">
              <w:rPr>
                <w:rFonts w:cs="Arial"/>
                <w:sz w:val="20"/>
                <w:szCs w:val="20"/>
              </w:rPr>
              <w:t xml:space="preserve">s pogonom na </w:t>
            </w:r>
            <w:r w:rsidR="004133C9" w:rsidRPr="0031468F">
              <w:rPr>
                <w:rFonts w:cs="Arial"/>
                <w:sz w:val="20"/>
                <w:szCs w:val="20"/>
              </w:rPr>
              <w:t>alternativna goriva</w:t>
            </w:r>
            <w:r w:rsidR="00546A85" w:rsidRPr="0031468F">
              <w:rPr>
                <w:rFonts w:cs="Arial"/>
                <w:sz w:val="20"/>
                <w:szCs w:val="20"/>
              </w:rPr>
              <w:t>,</w:t>
            </w:r>
            <w:r w:rsidRPr="005A25C9">
              <w:rPr>
                <w:rFonts w:cs="Arial"/>
                <w:sz w:val="20"/>
                <w:szCs w:val="20"/>
              </w:rPr>
              <w:t xml:space="preserve"> kroz dodjelu nepovratnih sredstava. Ova se sredstva isplaćuju iz prihoda Fonda za zaštitu okoliša i energetsku učinkovitost ostvarenog između ostalog i prikupljanjem posebne naknade za okoliš na vozila na motorni pogon.</w:t>
            </w:r>
          </w:p>
        </w:tc>
      </w:tr>
      <w:tr w:rsidR="0070662D" w:rsidRPr="00DD7F26" w14:paraId="14587F8E"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1BAD55E" w14:textId="0931F399" w:rsidR="0070662D" w:rsidRPr="007145ED" w:rsidRDefault="00D67371" w:rsidP="00A004BA">
            <w:pPr>
              <w:pStyle w:val="Default"/>
              <w:rPr>
                <w:b w:val="0"/>
                <w:sz w:val="20"/>
                <w:szCs w:val="20"/>
              </w:rPr>
            </w:pPr>
            <w:r w:rsidRPr="00D67371">
              <w:rPr>
                <w:b w:val="0"/>
                <w:sz w:val="20"/>
                <w:szCs w:val="20"/>
              </w:rPr>
              <w:t>Razvoj infrastrukture za alternativna goriva</w:t>
            </w:r>
          </w:p>
        </w:tc>
        <w:tc>
          <w:tcPr>
            <w:tcW w:w="1536" w:type="pct"/>
          </w:tcPr>
          <w:p w14:paraId="27985C87" w14:textId="684D7D7F" w:rsidR="0070662D" w:rsidRPr="0031468F" w:rsidRDefault="007522A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Nacionalni okvir politike za uspostavu infrastrukture i razvoj tržišta alternativnih goriva u prometu (NN 34/17)</w:t>
            </w:r>
            <w:r w:rsidRPr="0031468F">
              <w:rPr>
                <w:sz w:val="20"/>
                <w:szCs w:val="20"/>
              </w:rPr>
              <w:t>, Zakon o uspostavi infrastrukture za alternativne goriva (NN 120/16)</w:t>
            </w:r>
            <w:r w:rsidR="00154AC3" w:rsidRPr="0031468F">
              <w:rPr>
                <w:sz w:val="20"/>
                <w:szCs w:val="20"/>
              </w:rPr>
              <w:t>, Nacrt 4. nacionalnog plana energetske učinkovitosti, MZOE, studeni 2017.</w:t>
            </w:r>
          </w:p>
        </w:tc>
        <w:tc>
          <w:tcPr>
            <w:tcW w:w="2393" w:type="pct"/>
          </w:tcPr>
          <w:p w14:paraId="1B2277BE" w14:textId="710AC201" w:rsidR="0070662D" w:rsidRPr="005A25C9" w:rsidRDefault="00183DF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Poticajna mjera sufinanciranja koja prati Direktivu o uspostavi infrastrukture za alternativna goriva, Zakon o uspostavi infrastrukture za alternativna goriva i Nacionalni okvir politike za uspostavu infrastrukture i razvoj tržišta alternativnih goriva u prometu, te potiče izgradnju punionica u skladu s navedenim dokumentima.</w:t>
            </w:r>
          </w:p>
        </w:tc>
      </w:tr>
      <w:tr w:rsidR="0070662D" w:rsidRPr="00DD7F26" w14:paraId="2BC8FF39"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DD35BA5" w14:textId="2C91E97D" w:rsidR="0070662D" w:rsidRPr="007145ED" w:rsidRDefault="00D67371" w:rsidP="00A004BA">
            <w:pPr>
              <w:pStyle w:val="Default"/>
              <w:rPr>
                <w:b w:val="0"/>
                <w:sz w:val="20"/>
                <w:szCs w:val="20"/>
              </w:rPr>
            </w:pPr>
            <w:r w:rsidRPr="00D67371">
              <w:rPr>
                <w:b w:val="0"/>
                <w:sz w:val="20"/>
                <w:szCs w:val="20"/>
              </w:rPr>
              <w:t>Promicanje integriranih i inteligentnih transportnih sustava i alternativnih goriva u urbanim područjima</w:t>
            </w:r>
          </w:p>
        </w:tc>
        <w:tc>
          <w:tcPr>
            <w:tcW w:w="1536" w:type="pct"/>
          </w:tcPr>
          <w:p w14:paraId="406FAB79" w14:textId="3DDD30F5" w:rsidR="0070662D" w:rsidRPr="005A25C9" w:rsidRDefault="00CE3A58"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6512D8">
              <w:rPr>
                <w:sz w:val="20"/>
                <w:szCs w:val="20"/>
              </w:rPr>
              <w:t>Nacrt 4. nacionalnog plana energetske učinkovitosti, MZOE, studeni 2017.</w:t>
            </w:r>
            <w:r>
              <w:rPr>
                <w:sz w:val="20"/>
                <w:szCs w:val="20"/>
              </w:rPr>
              <w:t xml:space="preserve"> [12]</w:t>
            </w:r>
          </w:p>
        </w:tc>
        <w:tc>
          <w:tcPr>
            <w:tcW w:w="2393" w:type="pct"/>
          </w:tcPr>
          <w:p w14:paraId="17121554" w14:textId="6D10AB59"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Mjera uključuje promicanje optimizacije prijevoza robe, integrirani prijevoz građana, inteligentno upravljanje prometom, promicanje shema za dijeljenje automobila, promociju javnih bicikala i mjere za potporu razvoja infrastrukture za alternativna goriva u urbanim područjima</w:t>
            </w:r>
          </w:p>
        </w:tc>
      </w:tr>
      <w:tr w:rsidR="00B8226C" w:rsidRPr="00DD7F26" w14:paraId="75517BD6"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5704522F" w14:textId="47AF4AD8" w:rsidR="00B8226C" w:rsidRPr="00D67371" w:rsidRDefault="005A240A" w:rsidP="00A004BA">
            <w:pPr>
              <w:pStyle w:val="Default"/>
              <w:rPr>
                <w:b w:val="0"/>
                <w:sz w:val="20"/>
                <w:szCs w:val="20"/>
              </w:rPr>
            </w:pPr>
            <w:r w:rsidRPr="005A240A">
              <w:rPr>
                <w:b w:val="0"/>
                <w:sz w:val="20"/>
                <w:szCs w:val="20"/>
              </w:rPr>
              <w:t>Promicanje čistih i energetskih učinkovitih vozila u cestovnom prijevozu</w:t>
            </w:r>
          </w:p>
        </w:tc>
        <w:tc>
          <w:tcPr>
            <w:tcW w:w="0" w:type="pct"/>
          </w:tcPr>
          <w:p w14:paraId="5BD1B907" w14:textId="64DE5D7F" w:rsidR="00B8226C" w:rsidRPr="006512D8" w:rsidRDefault="00ED496D" w:rsidP="00F263C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496D">
              <w:rPr>
                <w:sz w:val="20"/>
                <w:szCs w:val="20"/>
              </w:rPr>
              <w:t>Zakon o promicanju čistih i energetski učinkovitih vozila u cestovnom prometu</w:t>
            </w:r>
            <w:r>
              <w:rPr>
                <w:sz w:val="20"/>
                <w:szCs w:val="20"/>
              </w:rPr>
              <w:t xml:space="preserve"> (</w:t>
            </w:r>
            <w:r w:rsidRPr="00ED496D">
              <w:rPr>
                <w:sz w:val="20"/>
                <w:szCs w:val="20"/>
              </w:rPr>
              <w:t>NN 127/13</w:t>
            </w:r>
            <w:r>
              <w:rPr>
                <w:sz w:val="20"/>
                <w:szCs w:val="20"/>
              </w:rPr>
              <w:t>)</w:t>
            </w:r>
          </w:p>
        </w:tc>
        <w:tc>
          <w:tcPr>
            <w:tcW w:w="0" w:type="pct"/>
          </w:tcPr>
          <w:p w14:paraId="17B42739" w14:textId="5537DB60" w:rsidR="00B8226C" w:rsidRPr="005A25C9" w:rsidRDefault="00140D20"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Zakon </w:t>
            </w:r>
            <w:r w:rsidR="00FB20CD" w:rsidRPr="0031468F">
              <w:rPr>
                <w:rFonts w:cs="Arial"/>
                <w:sz w:val="20"/>
                <w:szCs w:val="20"/>
              </w:rPr>
              <w:t>definira da svi naručitelji i prijevoznici koji obavljaju javni linijski prijevoz putnika na temelju ugovora o obavljanju javnih</w:t>
            </w:r>
            <w:r w:rsidR="00BA19B3" w:rsidRPr="0031468F">
              <w:rPr>
                <w:rFonts w:cs="Arial"/>
                <w:sz w:val="20"/>
                <w:szCs w:val="20"/>
              </w:rPr>
              <w:t xml:space="preserve"> usluga,</w:t>
            </w:r>
            <w:r w:rsidR="00FB20CD" w:rsidRPr="0031468F">
              <w:rPr>
                <w:rFonts w:cs="Arial"/>
                <w:sz w:val="20"/>
                <w:szCs w:val="20"/>
              </w:rPr>
              <w:t xml:space="preserve"> </w:t>
            </w:r>
            <w:r w:rsidR="00FB20CD" w:rsidRPr="005A25C9">
              <w:rPr>
                <w:rFonts w:cs="Arial"/>
                <w:sz w:val="20"/>
                <w:szCs w:val="20"/>
              </w:rPr>
              <w:t>pri kupnji vozila za cestovni prijevoz</w:t>
            </w:r>
            <w:r w:rsidR="000403AA" w:rsidRPr="0031468F">
              <w:rPr>
                <w:rFonts w:cs="Arial"/>
                <w:sz w:val="20"/>
                <w:szCs w:val="20"/>
              </w:rPr>
              <w:t xml:space="preserve"> moraju</w:t>
            </w:r>
            <w:r w:rsidR="00FB20CD" w:rsidRPr="0031468F">
              <w:rPr>
                <w:rFonts w:cs="Arial"/>
                <w:sz w:val="20"/>
                <w:szCs w:val="20"/>
              </w:rPr>
              <w:t xml:space="preserve"> uz</w:t>
            </w:r>
            <w:r w:rsidR="000403AA" w:rsidRPr="0031468F">
              <w:rPr>
                <w:rFonts w:cs="Arial"/>
                <w:sz w:val="20"/>
                <w:szCs w:val="20"/>
              </w:rPr>
              <w:t>eti</w:t>
            </w:r>
            <w:r w:rsidR="00FB20CD" w:rsidRPr="005A25C9">
              <w:rPr>
                <w:rFonts w:cs="Arial"/>
                <w:sz w:val="20"/>
                <w:szCs w:val="20"/>
              </w:rPr>
              <w:t xml:space="preserve"> u obzir energetske učinke i učinke na okoliš</w:t>
            </w:r>
            <w:r w:rsidR="00994E04" w:rsidRPr="0031468F">
              <w:rPr>
                <w:rFonts w:cs="Arial"/>
                <w:sz w:val="20"/>
                <w:szCs w:val="20"/>
              </w:rPr>
              <w:t xml:space="preserve"> istog</w:t>
            </w:r>
            <w:r w:rsidR="00FB20CD" w:rsidRPr="0031468F">
              <w:rPr>
                <w:rFonts w:cs="Arial"/>
                <w:sz w:val="20"/>
                <w:szCs w:val="20"/>
              </w:rPr>
              <w:t xml:space="preserve"> tijekom razdoblja eksploatacije vozila</w:t>
            </w:r>
            <w:r w:rsidR="000403AA" w:rsidRPr="0031468F">
              <w:rPr>
                <w:rFonts w:cs="Arial"/>
                <w:sz w:val="20"/>
                <w:szCs w:val="20"/>
              </w:rPr>
              <w:t>,</w:t>
            </w:r>
          </w:p>
        </w:tc>
      </w:tr>
      <w:tr w:rsidR="00B8226C" w:rsidRPr="00DD7F26" w14:paraId="4FE0F97A"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5D8CB251" w14:textId="51FE7A28" w:rsidR="00B8226C" w:rsidRPr="00D67371" w:rsidRDefault="009F0EE3" w:rsidP="00A004BA">
            <w:pPr>
              <w:pStyle w:val="Default"/>
              <w:rPr>
                <w:b w:val="0"/>
                <w:sz w:val="20"/>
                <w:szCs w:val="20"/>
              </w:rPr>
            </w:pPr>
            <w:r w:rsidRPr="009F0EE3">
              <w:rPr>
                <w:b w:val="0"/>
                <w:sz w:val="20"/>
                <w:szCs w:val="20"/>
              </w:rPr>
              <w:t>Poticanje intermodalnog prometa</w:t>
            </w:r>
          </w:p>
        </w:tc>
        <w:tc>
          <w:tcPr>
            <w:tcW w:w="0" w:type="pct"/>
          </w:tcPr>
          <w:p w14:paraId="71173C09" w14:textId="714D531E" w:rsidR="00BF6385" w:rsidRPr="00BF6385" w:rsidRDefault="00BF6385" w:rsidP="00BF63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F6385">
              <w:rPr>
                <w:sz w:val="20"/>
                <w:szCs w:val="20"/>
              </w:rPr>
              <w:t xml:space="preserve">Zakon o kombiniranom prijevozu tereta </w:t>
            </w:r>
            <w:r>
              <w:rPr>
                <w:sz w:val="20"/>
                <w:szCs w:val="20"/>
              </w:rPr>
              <w:t>(NN</w:t>
            </w:r>
            <w:r w:rsidRPr="00BF6385">
              <w:rPr>
                <w:sz w:val="20"/>
                <w:szCs w:val="20"/>
              </w:rPr>
              <w:t xml:space="preserve"> 120/16)</w:t>
            </w:r>
          </w:p>
          <w:p w14:paraId="79A1A9F6" w14:textId="65124E74" w:rsidR="00B8226C" w:rsidRPr="006512D8" w:rsidRDefault="00BF6385" w:rsidP="00BF63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F6385">
              <w:rPr>
                <w:sz w:val="20"/>
                <w:szCs w:val="20"/>
              </w:rPr>
              <w:t>Pravilnik o poticajima u kombiniranom prijevozu tereta (</w:t>
            </w:r>
            <w:r>
              <w:rPr>
                <w:sz w:val="20"/>
                <w:szCs w:val="20"/>
              </w:rPr>
              <w:t xml:space="preserve">NN </w:t>
            </w:r>
            <w:r w:rsidRPr="00BF6385">
              <w:rPr>
                <w:sz w:val="20"/>
                <w:szCs w:val="20"/>
              </w:rPr>
              <w:t>5/18)</w:t>
            </w:r>
          </w:p>
        </w:tc>
        <w:tc>
          <w:tcPr>
            <w:tcW w:w="0" w:type="pct"/>
          </w:tcPr>
          <w:p w14:paraId="4A0228B8" w14:textId="45B62E52" w:rsidR="00B8226C" w:rsidRPr="0031468F" w:rsidRDefault="00FB00B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Pravilnikom</w:t>
            </w:r>
            <w:r w:rsidR="00FB20CD" w:rsidRPr="0031468F">
              <w:rPr>
                <w:rFonts w:cs="Arial"/>
                <w:sz w:val="20"/>
                <w:szCs w:val="20"/>
              </w:rPr>
              <w:t xml:space="preserve"> su</w:t>
            </w:r>
            <w:r w:rsidRPr="0031468F">
              <w:rPr>
                <w:rFonts w:cs="Arial"/>
                <w:sz w:val="20"/>
                <w:szCs w:val="20"/>
              </w:rPr>
              <w:t xml:space="preserve"> propisani poticaji u</w:t>
            </w:r>
            <w:r w:rsidR="00B6423D" w:rsidRPr="0031468F">
              <w:rPr>
                <w:rFonts w:cs="Arial"/>
                <w:sz w:val="20"/>
                <w:szCs w:val="20"/>
              </w:rPr>
              <w:t xml:space="preserve"> kombiniranom prijevozu tereta željeznicom, </w:t>
            </w:r>
            <w:r w:rsidR="00376B79" w:rsidRPr="0031468F">
              <w:rPr>
                <w:rFonts w:cs="Arial"/>
                <w:sz w:val="20"/>
                <w:szCs w:val="20"/>
              </w:rPr>
              <w:t xml:space="preserve">unutarnjim vodama ili morem, te </w:t>
            </w:r>
            <w:r w:rsidR="00AD7D19" w:rsidRPr="0031468F">
              <w:rPr>
                <w:rFonts w:cs="Arial"/>
                <w:sz w:val="20"/>
                <w:szCs w:val="20"/>
              </w:rPr>
              <w:t>poticaji u kombiniranom prijevozu tereta cestovnom dionicom.</w:t>
            </w:r>
          </w:p>
        </w:tc>
      </w:tr>
      <w:tr w:rsidR="0070662D" w:rsidRPr="00DD7F26" w14:paraId="4978377B"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24B7FB1" w14:textId="11B82765" w:rsidR="0070662D" w:rsidRPr="007145ED" w:rsidRDefault="00D67371" w:rsidP="00A004BA">
            <w:pPr>
              <w:pStyle w:val="Default"/>
              <w:rPr>
                <w:b w:val="0"/>
                <w:sz w:val="20"/>
                <w:szCs w:val="20"/>
              </w:rPr>
            </w:pPr>
            <w:bookmarkStart w:id="67" w:name="_Hlk531523485"/>
            <w:r w:rsidRPr="00D67371">
              <w:rPr>
                <w:b w:val="0"/>
                <w:sz w:val="20"/>
                <w:szCs w:val="20"/>
              </w:rPr>
              <w:t>Praćenje, izvještavanje i verifikacija emisija stakleničkih plinova u životnom vijeku tekućih goriva</w:t>
            </w:r>
            <w:bookmarkEnd w:id="67"/>
          </w:p>
        </w:tc>
        <w:tc>
          <w:tcPr>
            <w:tcW w:w="1536" w:type="pct"/>
          </w:tcPr>
          <w:p w14:paraId="056E9AE5" w14:textId="272A3DC3" w:rsidR="0070662D" w:rsidRPr="0031468F" w:rsidRDefault="007522A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zaštiti zraka (NN 130/11, 47/14, 61/17),</w:t>
            </w:r>
            <w:r w:rsidRPr="0031468F">
              <w:rPr>
                <w:sz w:val="20"/>
                <w:szCs w:val="20"/>
              </w:rPr>
              <w:t xml:space="preserve"> Uredba o kvaliteti tekućih naftnih goriva i načinu praćenja i izvještavanja te metodologiji izračuna emisija stakleničkih plinova u životnom vijeku isporučenih goriva i energije (NN 57/17)</w:t>
            </w:r>
          </w:p>
        </w:tc>
        <w:tc>
          <w:tcPr>
            <w:tcW w:w="2393" w:type="pct"/>
          </w:tcPr>
          <w:p w14:paraId="7F3904C0" w14:textId="638AB253"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Dobavljač koji stavlja gorivo na domaće tržište će pratiti emisije stakleničkih plinova po jedinici energije za vrijeme trajanja goriva. Dobavljači trebaju sastaviti izvješće koje treba biti ovjereno i dostavljeno Hrvatskoj agenciji za okoliš i prirodu.</w:t>
            </w:r>
          </w:p>
        </w:tc>
      </w:tr>
      <w:tr w:rsidR="00EE1DD4" w:rsidRPr="00DD7F26" w14:paraId="654231F1"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351AEEA6" w14:textId="42951DB1" w:rsidR="00EE1DD4" w:rsidRPr="00DD7F26" w:rsidRDefault="00D67371" w:rsidP="00A004BA">
            <w:pPr>
              <w:spacing w:before="0" w:after="0" w:line="240" w:lineRule="auto"/>
              <w:rPr>
                <w:rFonts w:cs="Arial"/>
                <w:sz w:val="20"/>
                <w:szCs w:val="20"/>
              </w:rPr>
            </w:pPr>
            <w:r w:rsidRPr="00D67371">
              <w:rPr>
                <w:rFonts w:cs="Arial"/>
                <w:sz w:val="20"/>
                <w:szCs w:val="20"/>
              </w:rPr>
              <w:t>Industrijski procesi</w:t>
            </w:r>
          </w:p>
        </w:tc>
      </w:tr>
      <w:tr w:rsidR="00EE1DD4" w:rsidRPr="00EF5587" w14:paraId="5F92CF90"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3782CA03" w14:textId="6BF2BE63" w:rsidR="00EE1DD4" w:rsidRPr="00EF5587" w:rsidRDefault="00D67371" w:rsidP="00A004BA">
            <w:pPr>
              <w:pStyle w:val="Default"/>
              <w:jc w:val="both"/>
              <w:rPr>
                <w:sz w:val="20"/>
                <w:szCs w:val="20"/>
              </w:rPr>
            </w:pPr>
            <w:r w:rsidRPr="00D67371">
              <w:rPr>
                <w:b w:val="0"/>
                <w:bCs w:val="0"/>
                <w:sz w:val="20"/>
                <w:szCs w:val="20"/>
              </w:rPr>
              <w:t>Smanjenje emisije hlapljivih organskih spojeva u sektoru uporabe otapala</w:t>
            </w:r>
          </w:p>
        </w:tc>
        <w:tc>
          <w:tcPr>
            <w:tcW w:w="1536" w:type="pct"/>
          </w:tcPr>
          <w:p w14:paraId="1AF0B0C3" w14:textId="3BA1AB54" w:rsidR="00EE1DD4"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F003C">
              <w:rPr>
                <w:rFonts w:cs="Arial"/>
                <w:sz w:val="20"/>
                <w:szCs w:val="20"/>
              </w:rPr>
              <w:t>Uredba o graničnim vrijednostima sadržaja hlapivih organskih spojeva u određenim bojama i lakovima koji se koriste u graditeljstvu i proizvodima za završnu obradu vozila (NN 69/13)</w:t>
            </w:r>
          </w:p>
        </w:tc>
        <w:tc>
          <w:tcPr>
            <w:tcW w:w="2393" w:type="pct"/>
          </w:tcPr>
          <w:p w14:paraId="1EB9F904" w14:textId="1F874C3D" w:rsidR="00EE1DD4"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Uredba </w:t>
            </w:r>
            <w:r w:rsidRPr="003F003C">
              <w:rPr>
                <w:rFonts w:cs="Arial"/>
                <w:sz w:val="20"/>
                <w:szCs w:val="20"/>
              </w:rPr>
              <w:t>propisuje granične vrijednosti sadržaja hlapivih organskih spojeva koji se smiju stavljati na tržište. Izrada i primjena plana upravljanja otapalima smanjuje emisije hlapivih organskih spojeva, a time i emisije ugljikovog dioksida.</w:t>
            </w:r>
          </w:p>
        </w:tc>
      </w:tr>
      <w:tr w:rsidR="00D67371" w:rsidRPr="00EF5587" w14:paraId="4F6FFDD9"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2F584FAB" w14:textId="3878A469" w:rsidR="00D67371" w:rsidRPr="00845396" w:rsidRDefault="00D67371" w:rsidP="00A004BA">
            <w:pPr>
              <w:pStyle w:val="Default"/>
              <w:jc w:val="both"/>
              <w:rPr>
                <w:b w:val="0"/>
                <w:sz w:val="20"/>
                <w:szCs w:val="20"/>
              </w:rPr>
            </w:pPr>
            <w:bookmarkStart w:id="68" w:name="_Hlk531523905"/>
            <w:r w:rsidRPr="00382856">
              <w:rPr>
                <w:sz w:val="20"/>
                <w:szCs w:val="20"/>
              </w:rPr>
              <w:t>Postupanje s tvarima koje oštećuju ozonski sloj i fluoriranim stakleničkim plinovima</w:t>
            </w:r>
          </w:p>
        </w:tc>
        <w:tc>
          <w:tcPr>
            <w:tcW w:w="1536" w:type="pct"/>
          </w:tcPr>
          <w:p w14:paraId="69F52A56" w14:textId="3565339A" w:rsidR="00D67371" w:rsidRPr="005A25C9" w:rsidRDefault="00B21A1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7D660F90" w14:textId="59C424F0"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Zabranjeno je ispuštanje kontroliranih tvari i fluoriranih stakleničkih plinova u zrak za vrijeme obavljanja aktivnosti prikupljanja, provjere propuštanja i održavanja ili servisiranja uređaja i opreme.</w:t>
            </w:r>
          </w:p>
        </w:tc>
      </w:tr>
      <w:bookmarkEnd w:id="68"/>
      <w:tr w:rsidR="00D67371" w:rsidRPr="00EF5587" w14:paraId="79B5E476"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FDCA745" w14:textId="041C207D" w:rsidR="00D67371" w:rsidRPr="007145ED" w:rsidRDefault="00D67371" w:rsidP="00A004BA">
            <w:pPr>
              <w:pStyle w:val="Default"/>
              <w:jc w:val="both"/>
              <w:rPr>
                <w:b w:val="0"/>
                <w:sz w:val="20"/>
                <w:szCs w:val="20"/>
              </w:rPr>
            </w:pPr>
            <w:r w:rsidRPr="00D67371">
              <w:rPr>
                <w:b w:val="0"/>
                <w:sz w:val="20"/>
                <w:szCs w:val="20"/>
              </w:rPr>
              <w:t>Tehničke i organizacijske mjere prikupljanja, obnavljanja, oporabe i uništavanja kontroliranih tvari i fluoriranih stakleničkih plinova</w:t>
            </w:r>
          </w:p>
        </w:tc>
        <w:tc>
          <w:tcPr>
            <w:tcW w:w="1536" w:type="pct"/>
          </w:tcPr>
          <w:p w14:paraId="5F09D203" w14:textId="0A995D87" w:rsidR="00D67371" w:rsidRPr="005A25C9" w:rsidRDefault="00B21A1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16CAB607" w14:textId="0B6CBBD9"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Ova skupina mjera definira način na koji se uporabljene kontrolirane tvari i fluorirani staklenički plinovi sadržani u proizvodima i opremi moraju prikupiti, obnoviti, oporabiti ili uništiti.</w:t>
            </w:r>
          </w:p>
        </w:tc>
      </w:tr>
      <w:tr w:rsidR="00D67371" w:rsidRPr="00EF5587" w14:paraId="02BBA69D"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1F4AEDAA" w14:textId="455D33B4" w:rsidR="00D67371" w:rsidRPr="007145ED" w:rsidRDefault="00D67371" w:rsidP="00A004BA">
            <w:pPr>
              <w:pStyle w:val="Default"/>
              <w:jc w:val="both"/>
              <w:rPr>
                <w:b w:val="0"/>
                <w:sz w:val="20"/>
                <w:szCs w:val="20"/>
              </w:rPr>
            </w:pPr>
            <w:r w:rsidRPr="00D67371">
              <w:rPr>
                <w:b w:val="0"/>
                <w:sz w:val="20"/>
                <w:szCs w:val="20"/>
              </w:rPr>
              <w:t>Izgradnja kapaciteta i jačanje znanja ovlaštenih servisera</w:t>
            </w:r>
          </w:p>
        </w:tc>
        <w:tc>
          <w:tcPr>
            <w:tcW w:w="1536" w:type="pct"/>
          </w:tcPr>
          <w:p w14:paraId="188C6555" w14:textId="4BBA15BE" w:rsidR="00D67371" w:rsidRPr="005A25C9" w:rsidRDefault="00B21A1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5D1827CC" w14:textId="399304F3"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Edukacija ovlaštenih servisera o prikupljaju i rukovanju kontroliranim tvarima i fluoriranim stakleničkim plinovima tijekom servisiranja uređaja i opreme.</w:t>
            </w:r>
          </w:p>
        </w:tc>
      </w:tr>
      <w:tr w:rsidR="00D67371" w:rsidRPr="00EF5587" w14:paraId="1CB7D6EC"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1DB7C5F" w14:textId="273765D3" w:rsidR="00D67371" w:rsidRPr="007145ED" w:rsidRDefault="00D67371" w:rsidP="00A004BA">
            <w:pPr>
              <w:pStyle w:val="Default"/>
              <w:jc w:val="both"/>
              <w:rPr>
                <w:b w:val="0"/>
                <w:sz w:val="20"/>
                <w:szCs w:val="20"/>
              </w:rPr>
            </w:pPr>
            <w:r w:rsidRPr="00D67371">
              <w:rPr>
                <w:b w:val="0"/>
                <w:sz w:val="20"/>
                <w:szCs w:val="20"/>
              </w:rPr>
              <w:t>Provjera propuštanja kontroliranih tvari i flu</w:t>
            </w:r>
            <w:r w:rsidR="00C651D3">
              <w:rPr>
                <w:b w:val="0"/>
                <w:sz w:val="20"/>
                <w:szCs w:val="20"/>
              </w:rPr>
              <w:t>o</w:t>
            </w:r>
            <w:r w:rsidRPr="00D67371">
              <w:rPr>
                <w:b w:val="0"/>
                <w:sz w:val="20"/>
                <w:szCs w:val="20"/>
              </w:rPr>
              <w:t>riranih stakleničkih plinova</w:t>
            </w:r>
          </w:p>
        </w:tc>
        <w:tc>
          <w:tcPr>
            <w:tcW w:w="1536" w:type="pct"/>
          </w:tcPr>
          <w:p w14:paraId="3C3F2DBE" w14:textId="1D42F399" w:rsidR="00D67371" w:rsidRPr="005A25C9" w:rsidRDefault="00B21A1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5ECA94B5" w14:textId="096D4D66"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Tehničke mjere za sprječavanje ili uklanjanje propuštanja kontroliranih tvari i fl</w:t>
            </w:r>
            <w:r w:rsidR="00C651D3">
              <w:rPr>
                <w:rFonts w:cs="Arial"/>
                <w:bCs/>
                <w:sz w:val="20"/>
                <w:szCs w:val="20"/>
              </w:rPr>
              <w:t>uo</w:t>
            </w:r>
            <w:r w:rsidRPr="003F003C">
              <w:rPr>
                <w:rFonts w:cs="Arial"/>
                <w:bCs/>
                <w:sz w:val="20"/>
                <w:szCs w:val="20"/>
              </w:rPr>
              <w:t>riranih stakleničkih plinova.</w:t>
            </w:r>
          </w:p>
        </w:tc>
      </w:tr>
      <w:tr w:rsidR="00D67371" w:rsidRPr="00EF5587" w14:paraId="2736F2F6"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EFA9A82" w14:textId="408EF8F0" w:rsidR="00D67371" w:rsidRPr="007145ED" w:rsidRDefault="00D67371" w:rsidP="00A004BA">
            <w:pPr>
              <w:pStyle w:val="Default"/>
              <w:jc w:val="both"/>
              <w:rPr>
                <w:b w:val="0"/>
                <w:sz w:val="20"/>
                <w:szCs w:val="20"/>
              </w:rPr>
            </w:pPr>
            <w:r w:rsidRPr="00D67371">
              <w:rPr>
                <w:b w:val="0"/>
                <w:sz w:val="20"/>
                <w:szCs w:val="20"/>
              </w:rPr>
              <w:t>Naknada za pokriće troškova prikupljanja, obnavljanja, oporabe i uništavanja kontroliranih tvari i fluoriranih stakleničkih plinova</w:t>
            </w:r>
          </w:p>
        </w:tc>
        <w:tc>
          <w:tcPr>
            <w:tcW w:w="1536" w:type="pct"/>
          </w:tcPr>
          <w:p w14:paraId="6F067119" w14:textId="22C8606D" w:rsidR="00D67371" w:rsidRPr="005A25C9" w:rsidRDefault="00AA111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A111B">
              <w:rPr>
                <w:sz w:val="20"/>
                <w:szCs w:val="20"/>
              </w:rPr>
              <w:t>Uredba o tvarima koje oštećuju ozonski sloj i fluoriranim stakleničkim plinovima</w:t>
            </w:r>
            <w:r>
              <w:rPr>
                <w:sz w:val="20"/>
                <w:szCs w:val="20"/>
              </w:rPr>
              <w:t xml:space="preserve"> (NN</w:t>
            </w:r>
            <w:r w:rsidRPr="00AA111B">
              <w:rPr>
                <w:sz w:val="20"/>
                <w:szCs w:val="20"/>
              </w:rPr>
              <w:t xml:space="preserve"> 90/14</w:t>
            </w:r>
            <w:r>
              <w:rPr>
                <w:sz w:val="20"/>
                <w:szCs w:val="20"/>
              </w:rPr>
              <w:t>)</w:t>
            </w:r>
          </w:p>
        </w:tc>
        <w:tc>
          <w:tcPr>
            <w:tcW w:w="2393" w:type="pct"/>
          </w:tcPr>
          <w:p w14:paraId="652DC04B" w14:textId="7AE61E5E"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Poduzetnik koji uvozi/unosi kontrolirane tvari i/ili fluorirane stakleničke plinove u svrhu stavljanja na tržište Republike Hrvatske ili za svoje potrebe, dužan je uplatiti naknadu u Fond za zaštitu okoliša i energetsku učinkovitost. Naknada iznosi 3,00 kune po kilogramu uvezene/unesene nerabljene kontrolirane tvari i/ili fluoriranog stakleničkog plina.</w:t>
            </w:r>
          </w:p>
        </w:tc>
      </w:tr>
      <w:tr w:rsidR="00EE1DD4" w:rsidRPr="00EF5587" w14:paraId="75DCCED7"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1E31C199" w14:textId="4656FEEA" w:rsidR="00EE1DD4" w:rsidRPr="00EF5587" w:rsidRDefault="00CE47EE" w:rsidP="00A004BA">
            <w:pPr>
              <w:spacing w:before="0" w:after="0" w:line="240" w:lineRule="auto"/>
              <w:rPr>
                <w:rFonts w:cs="Arial"/>
                <w:sz w:val="20"/>
                <w:szCs w:val="20"/>
              </w:rPr>
            </w:pPr>
            <w:r w:rsidRPr="00CE47EE">
              <w:rPr>
                <w:rFonts w:cs="Arial"/>
                <w:sz w:val="20"/>
                <w:szCs w:val="20"/>
              </w:rPr>
              <w:t>Gospodarenje otp</w:t>
            </w:r>
            <w:r>
              <w:rPr>
                <w:rFonts w:cs="Arial"/>
                <w:sz w:val="20"/>
                <w:szCs w:val="20"/>
              </w:rPr>
              <w:t>a</w:t>
            </w:r>
            <w:r w:rsidRPr="00CE47EE">
              <w:rPr>
                <w:rFonts w:cs="Arial"/>
                <w:sz w:val="20"/>
                <w:szCs w:val="20"/>
              </w:rPr>
              <w:t>dom</w:t>
            </w:r>
          </w:p>
        </w:tc>
      </w:tr>
      <w:tr w:rsidR="00EE1DD4" w:rsidRPr="00B23FAC" w14:paraId="568F6CD4"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32F7FA27" w14:textId="61468165" w:rsidR="00EE1DD4" w:rsidRPr="007145ED" w:rsidRDefault="00CE47EE" w:rsidP="007145ED">
            <w:pPr>
              <w:pStyle w:val="Default"/>
              <w:rPr>
                <w:b w:val="0"/>
                <w:sz w:val="20"/>
                <w:szCs w:val="20"/>
              </w:rPr>
            </w:pPr>
            <w:r w:rsidRPr="00CE47EE">
              <w:rPr>
                <w:b w:val="0"/>
                <w:sz w:val="20"/>
                <w:szCs w:val="20"/>
              </w:rPr>
              <w:t>Sprječavanje nastajanja i smanjivanje količine krutog komunalnog otpada</w:t>
            </w:r>
          </w:p>
        </w:tc>
        <w:tc>
          <w:tcPr>
            <w:tcW w:w="1536" w:type="pct"/>
          </w:tcPr>
          <w:p w14:paraId="04ACC889" w14:textId="23BEB35D" w:rsidR="00EE1DD4" w:rsidRPr="00977A99"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F003C">
              <w:rPr>
                <w:rFonts w:cs="Arial"/>
                <w:sz w:val="20"/>
                <w:szCs w:val="20"/>
              </w:rPr>
              <w:t>Zakon o održivom gospodarenju otpadom (NN 94/13</w:t>
            </w:r>
            <w:r w:rsidR="0060687D">
              <w:rPr>
                <w:rFonts w:cs="Arial"/>
                <w:sz w:val="20"/>
                <w:szCs w:val="20"/>
              </w:rPr>
              <w:t>, 73/17</w:t>
            </w:r>
            <w:r w:rsidRPr="003F003C">
              <w:rPr>
                <w:rFonts w:cs="Arial"/>
                <w:sz w:val="20"/>
                <w:szCs w:val="20"/>
              </w:rPr>
              <w:t>)</w:t>
            </w:r>
          </w:p>
        </w:tc>
        <w:tc>
          <w:tcPr>
            <w:tcW w:w="2393" w:type="pct"/>
          </w:tcPr>
          <w:p w14:paraId="7395D814" w14:textId="41ED5EBB" w:rsidR="00EE1DD4"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Ova mjera se treba postići čistijom proizvodnjom, odgojem i obrazovanjem, ekonomskim instrumentima, primjenom propisa o objedinjenim uvjetima zaštite okoliša i ulaganjem u suvremene tehnologije. Sukladno zakonu definirani su kvantitativni ciljevi i rokovi za smanjenje ukupne količine odloženog otpada na neusklađena odlagališta.</w:t>
            </w:r>
          </w:p>
        </w:tc>
      </w:tr>
      <w:tr w:rsidR="00CE47EE" w:rsidRPr="00B23FAC" w14:paraId="634E987F"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5C4C5CAB" w14:textId="55E1131A" w:rsidR="00CE47EE" w:rsidRPr="007145ED" w:rsidRDefault="00CE47EE" w:rsidP="007145ED">
            <w:pPr>
              <w:pStyle w:val="Default"/>
              <w:rPr>
                <w:b w:val="0"/>
                <w:sz w:val="20"/>
                <w:szCs w:val="20"/>
              </w:rPr>
            </w:pPr>
            <w:r w:rsidRPr="00CE47EE">
              <w:rPr>
                <w:b w:val="0"/>
                <w:sz w:val="20"/>
                <w:szCs w:val="20"/>
              </w:rPr>
              <w:t>Povećanje količine odvojeno skupljenog i recikliranog krutog komunalnog otpada</w:t>
            </w:r>
          </w:p>
        </w:tc>
        <w:tc>
          <w:tcPr>
            <w:tcW w:w="1536" w:type="pct"/>
          </w:tcPr>
          <w:p w14:paraId="788C01D5" w14:textId="523447C1"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Zakon o održivom gospodarenju otpadom</w:t>
            </w:r>
            <w:r>
              <w:rPr>
                <w:rFonts w:cs="Arial"/>
                <w:sz w:val="20"/>
                <w:szCs w:val="20"/>
              </w:rPr>
              <w:t xml:space="preserve"> </w:t>
            </w:r>
            <w:r w:rsidRPr="003F003C">
              <w:rPr>
                <w:rFonts w:cs="Arial"/>
                <w:sz w:val="20"/>
                <w:szCs w:val="20"/>
              </w:rPr>
              <w:t>(NN 94/13</w:t>
            </w:r>
            <w:r w:rsidR="0060687D">
              <w:rPr>
                <w:rFonts w:cs="Arial"/>
                <w:sz w:val="20"/>
                <w:szCs w:val="20"/>
              </w:rPr>
              <w:t>, 73/17</w:t>
            </w:r>
            <w:r w:rsidRPr="003F003C">
              <w:rPr>
                <w:rFonts w:cs="Arial"/>
                <w:sz w:val="20"/>
                <w:szCs w:val="20"/>
              </w:rPr>
              <w:t>)</w:t>
            </w:r>
            <w:r>
              <w:rPr>
                <w:rFonts w:cs="Arial"/>
                <w:sz w:val="20"/>
                <w:szCs w:val="20"/>
              </w:rPr>
              <w:t xml:space="preserve">, </w:t>
            </w:r>
            <w:r w:rsidRPr="00BC52CA">
              <w:rPr>
                <w:rFonts w:cs="Arial"/>
                <w:sz w:val="20"/>
                <w:szCs w:val="20"/>
              </w:rPr>
              <w:t>Plan gospodarenja otpadom Republike Hrvatske za razdoblje 2017. - 2022. godine (NN 3/17).</w:t>
            </w:r>
          </w:p>
        </w:tc>
        <w:tc>
          <w:tcPr>
            <w:tcW w:w="2393" w:type="pct"/>
          </w:tcPr>
          <w:p w14:paraId="2E2F2FEE" w14:textId="3A269FAE"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tc>
      </w:tr>
      <w:tr w:rsidR="00CE47EE" w:rsidRPr="00B23FAC" w14:paraId="6C8E2890"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048B4578" w14:textId="7AA4C0A5" w:rsidR="00CE47EE" w:rsidRPr="007145ED" w:rsidRDefault="00CE47EE" w:rsidP="007145ED">
            <w:pPr>
              <w:pStyle w:val="Default"/>
              <w:rPr>
                <w:b w:val="0"/>
                <w:sz w:val="20"/>
                <w:szCs w:val="20"/>
              </w:rPr>
            </w:pPr>
            <w:r w:rsidRPr="00CE47EE">
              <w:rPr>
                <w:b w:val="0"/>
                <w:sz w:val="20"/>
                <w:szCs w:val="20"/>
              </w:rPr>
              <w:t>Spaljivanje metana na baklji</w:t>
            </w:r>
          </w:p>
        </w:tc>
        <w:tc>
          <w:tcPr>
            <w:tcW w:w="1536" w:type="pct"/>
          </w:tcPr>
          <w:p w14:paraId="6DF4C1CA" w14:textId="7C27E9E5"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Pravilnik o načinima i uvjetima odlaganja otpada, kategorijama i uvjetima rada za odlagališta otpada (NN 114/15</w:t>
            </w:r>
            <w:r w:rsidR="00AF45BA">
              <w:rPr>
                <w:rFonts w:cs="Arial"/>
                <w:sz w:val="20"/>
                <w:szCs w:val="20"/>
              </w:rPr>
              <w:t>, 103/18</w:t>
            </w:r>
            <w:r w:rsidRPr="00BC52CA">
              <w:rPr>
                <w:rFonts w:cs="Arial"/>
                <w:sz w:val="20"/>
                <w:szCs w:val="20"/>
              </w:rPr>
              <w:t>)</w:t>
            </w:r>
            <w:r>
              <w:rPr>
                <w:rFonts w:cs="Arial"/>
                <w:sz w:val="20"/>
                <w:szCs w:val="20"/>
              </w:rPr>
              <w:t xml:space="preserve">, </w:t>
            </w:r>
            <w:r w:rsidRPr="00BC52CA">
              <w:rPr>
                <w:rFonts w:cs="Arial"/>
                <w:sz w:val="20"/>
                <w:szCs w:val="20"/>
              </w:rPr>
              <w:t>Pravilnik o gospodarenju otpadom (</w:t>
            </w:r>
            <w:r w:rsidR="005F3E81">
              <w:rPr>
                <w:rFonts w:cs="Arial"/>
                <w:sz w:val="20"/>
                <w:szCs w:val="20"/>
              </w:rPr>
              <w:t>117/17</w:t>
            </w:r>
            <w:r w:rsidRPr="00BC52CA">
              <w:rPr>
                <w:rFonts w:cs="Arial"/>
                <w:sz w:val="20"/>
                <w:szCs w:val="20"/>
              </w:rPr>
              <w:t>)</w:t>
            </w:r>
          </w:p>
        </w:tc>
        <w:tc>
          <w:tcPr>
            <w:tcW w:w="2393" w:type="pct"/>
          </w:tcPr>
          <w:p w14:paraId="61BB613C" w14:textId="175F5D18"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tc>
      </w:tr>
      <w:tr w:rsidR="00CE47EE" w:rsidRPr="00B23FAC" w14:paraId="04BFD954"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BA084EC" w14:textId="4A252060" w:rsidR="00CE47EE" w:rsidRPr="007145ED" w:rsidRDefault="00CE47EE" w:rsidP="007145ED">
            <w:pPr>
              <w:pStyle w:val="Default"/>
              <w:rPr>
                <w:b w:val="0"/>
                <w:sz w:val="20"/>
                <w:szCs w:val="20"/>
              </w:rPr>
            </w:pPr>
            <w:r w:rsidRPr="00CE47EE">
              <w:rPr>
                <w:b w:val="0"/>
                <w:sz w:val="20"/>
                <w:szCs w:val="20"/>
              </w:rPr>
              <w:t>Smanjenje količine odloženog biorazgradivog krutog komunalnog otpada</w:t>
            </w:r>
          </w:p>
        </w:tc>
        <w:tc>
          <w:tcPr>
            <w:tcW w:w="1536" w:type="pct"/>
          </w:tcPr>
          <w:p w14:paraId="58184905" w14:textId="317190AF"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Zakon o održivom gospodarenju otpadom</w:t>
            </w:r>
            <w:r>
              <w:rPr>
                <w:rFonts w:cs="Arial"/>
                <w:sz w:val="20"/>
                <w:szCs w:val="20"/>
              </w:rPr>
              <w:t xml:space="preserve"> </w:t>
            </w:r>
            <w:r w:rsidRPr="003F003C">
              <w:rPr>
                <w:rFonts w:cs="Arial"/>
                <w:sz w:val="20"/>
                <w:szCs w:val="20"/>
              </w:rPr>
              <w:t>(NN 94/13</w:t>
            </w:r>
            <w:r w:rsidR="0060687D">
              <w:rPr>
                <w:rFonts w:cs="Arial"/>
                <w:sz w:val="20"/>
                <w:szCs w:val="20"/>
              </w:rPr>
              <w:t>, 73/17</w:t>
            </w:r>
            <w:r w:rsidRPr="003F003C">
              <w:rPr>
                <w:rFonts w:cs="Arial"/>
                <w:sz w:val="20"/>
                <w:szCs w:val="20"/>
              </w:rPr>
              <w:t>)</w:t>
            </w:r>
          </w:p>
        </w:tc>
        <w:tc>
          <w:tcPr>
            <w:tcW w:w="2393" w:type="pct"/>
          </w:tcPr>
          <w:p w14:paraId="36B62540" w14:textId="7D7FAA33"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Cilj ove mjere je smanjiti količinu biorazgradive frakcije otpada koja se odlaže na odlagalištu.</w:t>
            </w:r>
            <w:r>
              <w:rPr>
                <w:rFonts w:cs="Arial"/>
                <w:sz w:val="20"/>
                <w:szCs w:val="20"/>
              </w:rPr>
              <w:t xml:space="preserve"> </w:t>
            </w:r>
            <w:r w:rsidRPr="00BC52CA">
              <w:rPr>
                <w:rFonts w:cs="Arial"/>
                <w:sz w:val="20"/>
                <w:szCs w:val="20"/>
              </w:rPr>
              <w:t>Do kraja 2020. godine udio biorazgradivog komunalnog otpada koji se odlaže na odlagališta mora se smanjiti na 35% masenog udjela biorazgradivog komunalnog otpada koji je proizveden 1997. godine.</w:t>
            </w:r>
          </w:p>
        </w:tc>
      </w:tr>
      <w:tr w:rsidR="00CE47EE" w:rsidRPr="00B23FAC" w14:paraId="64151A7E"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23D0B661" w14:textId="7F35504E" w:rsidR="00CE47EE" w:rsidRPr="007145ED" w:rsidRDefault="00CE47EE" w:rsidP="007145ED">
            <w:pPr>
              <w:pStyle w:val="Default"/>
              <w:rPr>
                <w:b w:val="0"/>
                <w:sz w:val="20"/>
                <w:szCs w:val="20"/>
              </w:rPr>
            </w:pPr>
            <w:r w:rsidRPr="00CE47EE">
              <w:rPr>
                <w:b w:val="0"/>
                <w:sz w:val="20"/>
                <w:szCs w:val="20"/>
              </w:rPr>
              <w:t>Korištenje bioplina za proizvodnju električne energije i topline.</w:t>
            </w:r>
          </w:p>
        </w:tc>
        <w:tc>
          <w:tcPr>
            <w:tcW w:w="1536" w:type="pct"/>
          </w:tcPr>
          <w:p w14:paraId="18F1741E" w14:textId="75FDCC2F" w:rsidR="00CE47EE" w:rsidRPr="00977A99" w:rsidRDefault="001749F6"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02006451" w14:textId="3C608106" w:rsidR="00CE47EE" w:rsidRPr="00977A99" w:rsidRDefault="00511C1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11C1A">
              <w:rPr>
                <w:rFonts w:cs="Arial"/>
                <w:sz w:val="20"/>
                <w:szCs w:val="20"/>
              </w:rPr>
              <w:t xml:space="preserve">Mjera je povezana s mjerom </w:t>
            </w:r>
            <w:r>
              <w:rPr>
                <w:rFonts w:cs="Arial"/>
                <w:sz w:val="20"/>
                <w:szCs w:val="20"/>
              </w:rPr>
              <w:t>„</w:t>
            </w:r>
            <w:r w:rsidRPr="00511C1A">
              <w:rPr>
                <w:rFonts w:cs="Arial"/>
                <w:sz w:val="20"/>
                <w:szCs w:val="20"/>
              </w:rPr>
              <w:t>Feed-in tarife i sustav premija za potporu korištenja obnovljivih izvora energije u proizvodnji električne energije i za visokoučinkovitu kogeneraciju</w:t>
            </w:r>
            <w:r>
              <w:rPr>
                <w:rFonts w:cs="Arial"/>
                <w:sz w:val="20"/>
                <w:szCs w:val="20"/>
              </w:rPr>
              <w:t>“</w:t>
            </w:r>
            <w:r w:rsidRPr="00511C1A">
              <w:rPr>
                <w:rFonts w:cs="Arial"/>
                <w:sz w:val="20"/>
                <w:szCs w:val="20"/>
              </w:rPr>
              <w:t xml:space="preserve"> u </w:t>
            </w:r>
            <w:r>
              <w:rPr>
                <w:rFonts w:cs="Arial"/>
                <w:sz w:val="20"/>
                <w:szCs w:val="20"/>
              </w:rPr>
              <w:t>odjeljku „Obnovljivi izvori energije“</w:t>
            </w:r>
            <w:r w:rsidRPr="00511C1A">
              <w:rPr>
                <w:rFonts w:cs="Arial"/>
                <w:sz w:val="20"/>
                <w:szCs w:val="20"/>
              </w:rPr>
              <w:t>.</w:t>
            </w:r>
          </w:p>
        </w:tc>
      </w:tr>
      <w:tr w:rsidR="00CE47EE" w:rsidRPr="00EF5587" w14:paraId="50A06B07"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1A8A8F19" w14:textId="4192E578" w:rsidR="00CE47EE" w:rsidRPr="005A25C9" w:rsidRDefault="00CE47EE" w:rsidP="007145ED">
            <w:pPr>
              <w:spacing w:before="0" w:after="0" w:line="240" w:lineRule="auto"/>
              <w:jc w:val="left"/>
              <w:rPr>
                <w:rFonts w:cs="Arial"/>
                <w:sz w:val="20"/>
                <w:szCs w:val="20"/>
              </w:rPr>
            </w:pPr>
            <w:r w:rsidRPr="00CE47EE">
              <w:rPr>
                <w:rFonts w:cs="Arial"/>
                <w:sz w:val="20"/>
                <w:szCs w:val="20"/>
              </w:rPr>
              <w:t>Poljoprivreda</w:t>
            </w:r>
          </w:p>
        </w:tc>
      </w:tr>
      <w:tr w:rsidR="0070212E" w:rsidRPr="00765552" w14:paraId="41612B6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3536C72E" w14:textId="223FD583" w:rsidR="00CE47EE" w:rsidRPr="005A25C9" w:rsidRDefault="00CE47EE" w:rsidP="007145ED">
            <w:pPr>
              <w:pStyle w:val="Default"/>
              <w:rPr>
                <w:b w:val="0"/>
                <w:sz w:val="20"/>
                <w:szCs w:val="20"/>
              </w:rPr>
            </w:pPr>
            <w:r w:rsidRPr="00CE47EE">
              <w:rPr>
                <w:b w:val="0"/>
                <w:sz w:val="20"/>
                <w:szCs w:val="20"/>
              </w:rPr>
              <w:t>Promjena u prehrani stoke i svinja i kvaliteta stočne hrane</w:t>
            </w:r>
          </w:p>
        </w:tc>
        <w:tc>
          <w:tcPr>
            <w:tcW w:w="1536" w:type="pct"/>
          </w:tcPr>
          <w:p w14:paraId="11840F2C" w14:textId="244CD03F" w:rsidR="00CE47EE" w:rsidRPr="00765552" w:rsidRDefault="0060687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1246CE33" w14:textId="1FD97154"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156AD">
              <w:rPr>
                <w:rFonts w:cs="Arial"/>
                <w:sz w:val="20"/>
                <w:szCs w:val="20"/>
              </w:rPr>
              <w:t>Specifične pod-mjere unutar ove grupe mjera koje se odnose na daljnje poboljšanje stočarstva, sustave upravljanja životinjskim otpadom, razinu proizvodnje kao i njihovu prehranu (probavljivost): promjena omjera pojedinih vrsta krme u prehrani, korištenje dodataka masti kao izvora energije, poboljšanje kvalitete voluminozne krme i poboljšanje sustava ispaše. Ove mjere se odnose na potencijalno smanjenje emisije metana i dušikovih spojeva od crijevne fermentacije i upravljanja životinjskim otpadom.</w:t>
            </w:r>
          </w:p>
        </w:tc>
      </w:tr>
      <w:tr w:rsidR="00CE47EE" w:rsidRPr="00765552" w14:paraId="0ACFD29A"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7CA1290" w14:textId="2F1ACA94" w:rsidR="00CE47EE" w:rsidRPr="005A25C9" w:rsidRDefault="00CE47EE" w:rsidP="007145ED">
            <w:pPr>
              <w:pStyle w:val="Default"/>
              <w:rPr>
                <w:b w:val="0"/>
                <w:sz w:val="20"/>
                <w:szCs w:val="20"/>
              </w:rPr>
            </w:pPr>
            <w:r w:rsidRPr="00CE47EE">
              <w:rPr>
                <w:b w:val="0"/>
                <w:sz w:val="20"/>
                <w:szCs w:val="20"/>
              </w:rPr>
              <w:t>Anaerobna razgradnja gnoja i proizvodnja bioplina</w:t>
            </w:r>
          </w:p>
        </w:tc>
        <w:tc>
          <w:tcPr>
            <w:tcW w:w="1536" w:type="pct"/>
          </w:tcPr>
          <w:p w14:paraId="2E36EE7D" w14:textId="25035B6E" w:rsidR="00CE47EE" w:rsidRPr="00765552" w:rsidRDefault="0060687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0C67F287" w14:textId="21BA94E4"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156AD">
              <w:rPr>
                <w:rFonts w:cs="Arial"/>
                <w:sz w:val="20"/>
                <w:szCs w:val="20"/>
              </w:rPr>
              <w:t>Uvođenjem postrojenja za bioplin smanjenje emisija postiže se uklanjanje emisija metana koje nastaju uslijed odlaganja korištenog smeća, te proizvodnjom električne energije iz obnovljivih izvora. Mjera je povezana s mjerama u Obnovljivi izvori u proizvodnji električne energije i topline i Izgradnja kogeneracijskih postrojenja iz sektora energetike. Anaerobna razgradnja pomaže postrojenjima za bioplin u smanjenju izvora lako razgradivog ugljika u gnojivu koje se primjenjuje na poljoprivredno zemljište, ali i potencijalno smanjuje emisije N2O nastalih u procesu nitrifikacije.</w:t>
            </w:r>
          </w:p>
        </w:tc>
      </w:tr>
      <w:tr w:rsidR="00CE47EE" w:rsidRPr="00EF5587" w14:paraId="539F202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1CF2234" w14:textId="22508F3C" w:rsidR="00CE47EE" w:rsidRPr="005A25C9" w:rsidRDefault="001E0162" w:rsidP="007145ED">
            <w:pPr>
              <w:pStyle w:val="Default"/>
              <w:rPr>
                <w:b w:val="0"/>
                <w:sz w:val="20"/>
                <w:szCs w:val="20"/>
              </w:rPr>
            </w:pPr>
            <w:r w:rsidRPr="001E0162">
              <w:rPr>
                <w:b w:val="0"/>
                <w:sz w:val="20"/>
                <w:szCs w:val="20"/>
              </w:rPr>
              <w:t>Poboljšanje stočarskih postrojenja i sustava upravljanja životinjskim otpadom</w:t>
            </w:r>
          </w:p>
        </w:tc>
        <w:tc>
          <w:tcPr>
            <w:tcW w:w="1536" w:type="pct"/>
          </w:tcPr>
          <w:p w14:paraId="626010EF" w14:textId="38F33B51" w:rsidR="00CE47EE"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1A769E2F" w14:textId="31650460" w:rsidR="00CE47EE" w:rsidRPr="00EF5587"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156AD">
              <w:rPr>
                <w:rFonts w:cs="Arial"/>
                <w:bCs/>
                <w:sz w:val="20"/>
                <w:szCs w:val="20"/>
              </w:rPr>
              <w:t>Pokrivanje mjesta za skladištenje gnoja – stvaranje prirodnog sloja (kore) s prirodnim (slama) ili (poroznim) umjetnim materijalom. Ova mjera smanjuje izravnu emisiju metana i amonijaka, iako u manjoj mjeri poboljšavaju proces nitrifikacije (porozni materijal) i uzrokuju blago povećanje emisije dušikovog oksida.</w:t>
            </w:r>
          </w:p>
        </w:tc>
      </w:tr>
      <w:tr w:rsidR="00CE47EE" w:rsidRPr="00EF5587" w14:paraId="2589809B"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2AF77518" w14:textId="4C50EB9D" w:rsidR="00CE47EE" w:rsidRPr="007145ED" w:rsidRDefault="001E0162" w:rsidP="007145ED">
            <w:pPr>
              <w:pStyle w:val="Default"/>
              <w:rPr>
                <w:b w:val="0"/>
                <w:sz w:val="20"/>
                <w:szCs w:val="20"/>
              </w:rPr>
            </w:pPr>
            <w:r w:rsidRPr="001E0162">
              <w:rPr>
                <w:b w:val="0"/>
                <w:sz w:val="20"/>
                <w:szCs w:val="20"/>
              </w:rPr>
              <w:t>Poboljšanje metoda primjene mineralnih gnojiva</w:t>
            </w:r>
          </w:p>
        </w:tc>
        <w:tc>
          <w:tcPr>
            <w:tcW w:w="1536" w:type="pct"/>
          </w:tcPr>
          <w:p w14:paraId="7253DF79" w14:textId="76192BB1" w:rsidR="00CE47EE"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16B12949" w14:textId="116CD7C8" w:rsidR="00CE47EE" w:rsidRPr="0031468F" w:rsidRDefault="00E156A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Primjena novih gnojiva sporog djelovanja pogodnih za uzgoj kukuruza i pšenice (gnojiva obložena polimerima). Istraživanje ukazuje na mogućnost smanjenja potrebe za primjenom gnojiva po hektaru (uslijed manjih gubitaka dušika) s nepromijenjenim ili povećanim prihodima.</w:t>
            </w:r>
          </w:p>
        </w:tc>
      </w:tr>
      <w:tr w:rsidR="001E0162" w:rsidRPr="00EF5587" w14:paraId="44FE9E9B"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7EFEAC6E" w14:textId="1A03B6C8" w:rsidR="001E0162" w:rsidRPr="007145ED" w:rsidRDefault="001E0162" w:rsidP="00B23FAC">
            <w:pPr>
              <w:pStyle w:val="Default"/>
              <w:rPr>
                <w:b w:val="0"/>
                <w:sz w:val="20"/>
                <w:szCs w:val="20"/>
              </w:rPr>
            </w:pPr>
            <w:r w:rsidRPr="001E0162">
              <w:rPr>
                <w:b w:val="0"/>
                <w:sz w:val="20"/>
                <w:szCs w:val="20"/>
              </w:rPr>
              <w:t>Hidrotehnički zahvati i sustavi zaštite od prirodnih katastrofa</w:t>
            </w:r>
          </w:p>
        </w:tc>
        <w:tc>
          <w:tcPr>
            <w:tcW w:w="1536" w:type="pct"/>
          </w:tcPr>
          <w:p w14:paraId="0B29E476" w14:textId="3A2F3432" w:rsidR="001E0162"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612E36F1" w14:textId="0930CA6F" w:rsidR="001E0162" w:rsidRPr="0031468F" w:rsidRDefault="00E156A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Izgradnja sustava odvodnje, navodnjavanja i sustava zaštite od poplava, suša i ostalih prirodnih katastrofa može utjecati na </w:t>
            </w:r>
            <w:r w:rsidRPr="0031468F">
              <w:rPr>
                <w:rFonts w:cs="Arial"/>
                <w:sz w:val="20"/>
                <w:szCs w:val="20"/>
              </w:rPr>
              <w:t>smanjenje gubitka hranjivih tvari uslijed procjeđivanja i ispiranja, što za posljedicu ima smanjenu potrebu za primjenom dušika.</w:t>
            </w:r>
          </w:p>
        </w:tc>
      </w:tr>
      <w:tr w:rsidR="001E0162" w:rsidRPr="00EF5587" w14:paraId="360133EF"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500EFBB9" w14:textId="7DAE0E5A" w:rsidR="001E0162" w:rsidRPr="007145ED" w:rsidRDefault="001E0162" w:rsidP="00B23FAC">
            <w:pPr>
              <w:pStyle w:val="Default"/>
              <w:rPr>
                <w:b w:val="0"/>
                <w:sz w:val="20"/>
                <w:szCs w:val="20"/>
              </w:rPr>
            </w:pPr>
            <w:r w:rsidRPr="001E0162">
              <w:rPr>
                <w:b w:val="0"/>
                <w:sz w:val="20"/>
                <w:szCs w:val="20"/>
              </w:rPr>
              <w:t>Uvođenje novih kultivara, sorti i vrsta</w:t>
            </w:r>
          </w:p>
        </w:tc>
        <w:tc>
          <w:tcPr>
            <w:tcW w:w="1536" w:type="pct"/>
          </w:tcPr>
          <w:p w14:paraId="69DBD839" w14:textId="47CD0860" w:rsidR="001E0162"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3202F1C0" w14:textId="0D9E7059" w:rsidR="001E0162" w:rsidRPr="00EF5587"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156AD">
              <w:rPr>
                <w:rFonts w:cs="Arial"/>
                <w:bCs/>
                <w:sz w:val="20"/>
                <w:szCs w:val="20"/>
              </w:rPr>
              <w:t>Poticanje razvoja, obrazovanja i primjene tehnologija na nacionalnoj i regionalnoj razini, poticanje prijelaza i prilagodbe cijelog proizvodnog lanca za proizvodnju novih usjeva ili omogućavanje i poticanje primjene kultivara i sorti koje su otpornije na sušu i bolesti te imaju niži ugljični otisak. To je, uz druge prednosti, usmjereno prema smanjenju potrebe za uvođenjem dušika u tlo kroz gnojiva.</w:t>
            </w:r>
          </w:p>
        </w:tc>
      </w:tr>
      <w:tr w:rsidR="001E0162" w:rsidRPr="00EF5587" w14:paraId="5B4BA141"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02CE923" w14:textId="65F8ADF9" w:rsidR="001E0162" w:rsidRPr="007145ED" w:rsidRDefault="001E0162" w:rsidP="00B23FAC">
            <w:pPr>
              <w:pStyle w:val="Default"/>
              <w:rPr>
                <w:b w:val="0"/>
                <w:sz w:val="20"/>
                <w:szCs w:val="20"/>
              </w:rPr>
            </w:pPr>
            <w:r w:rsidRPr="001E0162">
              <w:rPr>
                <w:b w:val="0"/>
                <w:sz w:val="20"/>
                <w:szCs w:val="20"/>
              </w:rPr>
              <w:t>Provedba programa ruralnog razvoja</w:t>
            </w:r>
          </w:p>
        </w:tc>
        <w:tc>
          <w:tcPr>
            <w:tcW w:w="1536" w:type="pct"/>
          </w:tcPr>
          <w:p w14:paraId="15F8BDA2" w14:textId="36D826A5" w:rsidR="001E0162"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028FA222" w14:textId="44B75E99" w:rsidR="001E0162" w:rsidRPr="0031468F" w:rsidRDefault="009865F0"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Prema Programu ruralnog razvoja 2014 -2020</w:t>
            </w:r>
          </w:p>
        </w:tc>
      </w:tr>
      <w:tr w:rsidR="00CE47EE" w:rsidRPr="00EF5587" w14:paraId="17BCF109" w14:textId="77777777" w:rsidTr="007145ED">
        <w:tc>
          <w:tcPr>
            <w:cnfStyle w:val="001000000000" w:firstRow="0" w:lastRow="0" w:firstColumn="1" w:lastColumn="0" w:oddVBand="0" w:evenVBand="0" w:oddHBand="0" w:evenHBand="0" w:firstRowFirstColumn="0" w:firstRowLastColumn="0" w:lastRowFirstColumn="0" w:lastRowLastColumn="0"/>
            <w:tcW w:w="0" w:type="pct"/>
            <w:gridSpan w:val="3"/>
          </w:tcPr>
          <w:p w14:paraId="1AA06E87" w14:textId="6AB1234B" w:rsidR="00CE47EE" w:rsidRPr="00EF5587" w:rsidRDefault="001E0162" w:rsidP="00A004BA">
            <w:pPr>
              <w:spacing w:before="0" w:after="0" w:line="240" w:lineRule="auto"/>
              <w:rPr>
                <w:rFonts w:cs="Arial"/>
                <w:sz w:val="20"/>
                <w:szCs w:val="20"/>
              </w:rPr>
            </w:pPr>
            <w:r w:rsidRPr="001E0162">
              <w:rPr>
                <w:rFonts w:cs="Arial"/>
                <w:sz w:val="20"/>
                <w:szCs w:val="20"/>
              </w:rPr>
              <w:t>LULUCF</w:t>
            </w:r>
          </w:p>
        </w:tc>
      </w:tr>
      <w:tr w:rsidR="0070212E" w:rsidRPr="00765552" w14:paraId="1F88E0FB"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46779E64" w14:textId="468671AE" w:rsidR="00CE47EE" w:rsidRPr="00765552" w:rsidRDefault="001E0162" w:rsidP="00A004BA">
            <w:pPr>
              <w:pStyle w:val="Default"/>
              <w:jc w:val="both"/>
              <w:rPr>
                <w:b w:val="0"/>
                <w:sz w:val="20"/>
                <w:szCs w:val="20"/>
              </w:rPr>
            </w:pPr>
            <w:r w:rsidRPr="001E0162">
              <w:rPr>
                <w:b w:val="0"/>
                <w:sz w:val="20"/>
                <w:szCs w:val="20"/>
              </w:rPr>
              <w:t>Unaprjeđenje izvješćivanja iz sektora LULUCF</w:t>
            </w:r>
          </w:p>
        </w:tc>
        <w:tc>
          <w:tcPr>
            <w:tcW w:w="1536" w:type="pct"/>
          </w:tcPr>
          <w:p w14:paraId="76043E0A" w14:textId="061CCD39" w:rsidR="00CE47EE" w:rsidRPr="00765552" w:rsidRDefault="0060687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1BCCEC10" w14:textId="134A272C"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w:t>
            </w:r>
            <w:r w:rsidRPr="00E156AD">
              <w:rPr>
                <w:rFonts w:cs="Arial"/>
                <w:sz w:val="20"/>
                <w:szCs w:val="20"/>
              </w:rPr>
              <w:t>napređenje izračuna emisija/odliva u pojedinim pohraništima LULUCF sektora (nadzemna i podzemna fitotvar, stelja, mrtvo drvo, tlo i drvni proizvodi), uspostava jedinstvenog informacijskog sustava identifikacije pokrova i uporabe zemljišta za sve kategorije zemljišta u LULUCF sektoru kao unapređenja u svezi izrade projekcija u LULUCF sektoru radi kvalitetnijeg i lakšeg budućeg planiranja akt</w:t>
            </w:r>
            <w:r w:rsidR="00C651D3">
              <w:rPr>
                <w:rFonts w:cs="Arial"/>
                <w:sz w:val="20"/>
                <w:szCs w:val="20"/>
              </w:rPr>
              <w:t>i</w:t>
            </w:r>
            <w:r w:rsidRPr="00E156AD">
              <w:rPr>
                <w:rFonts w:cs="Arial"/>
                <w:sz w:val="20"/>
                <w:szCs w:val="20"/>
              </w:rPr>
              <w:t>vnosti u ovom sektoru.</w:t>
            </w:r>
          </w:p>
        </w:tc>
      </w:tr>
      <w:tr w:rsidR="00CE47EE" w:rsidRPr="00765552" w14:paraId="351E73AD" w14:textId="77777777" w:rsidTr="007145ED">
        <w:tc>
          <w:tcPr>
            <w:cnfStyle w:val="001000000000" w:firstRow="0" w:lastRow="0" w:firstColumn="1" w:lastColumn="0" w:oddVBand="0" w:evenVBand="0" w:oddHBand="0" w:evenHBand="0" w:firstRowFirstColumn="0" w:firstRowLastColumn="0" w:lastRowFirstColumn="0" w:lastRowLastColumn="0"/>
            <w:tcW w:w="1071" w:type="pct"/>
          </w:tcPr>
          <w:p w14:paraId="612BB561" w14:textId="1654A4B4" w:rsidR="00CE47EE" w:rsidRPr="00765552" w:rsidRDefault="001E0162" w:rsidP="00A004BA">
            <w:pPr>
              <w:pStyle w:val="Default"/>
              <w:jc w:val="both"/>
              <w:rPr>
                <w:b w:val="0"/>
                <w:sz w:val="20"/>
                <w:szCs w:val="20"/>
              </w:rPr>
            </w:pPr>
            <w:r w:rsidRPr="001E0162">
              <w:rPr>
                <w:b w:val="0"/>
                <w:sz w:val="20"/>
                <w:szCs w:val="20"/>
              </w:rPr>
              <w:t>Izrada analize troškova i koristi pošumljavanja na novim površinama i biološke obnove šuma kao mjere povećanja odliva u LULUCF sektoru</w:t>
            </w:r>
          </w:p>
        </w:tc>
        <w:tc>
          <w:tcPr>
            <w:tcW w:w="1536" w:type="pct"/>
          </w:tcPr>
          <w:p w14:paraId="64DA2CEB" w14:textId="362CE4A7" w:rsidR="00CE47EE" w:rsidRPr="00765552" w:rsidRDefault="009865F0"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5F0">
              <w:rPr>
                <w:rFonts w:cs="Arial"/>
                <w:sz w:val="20"/>
                <w:szCs w:val="20"/>
              </w:rPr>
              <w:t>Plan zaštite zraka, ozonskog sloja i ublažavanja klimatskih promjena u Republici Hrvatskoj za razdoblje od 2013. do 2017. godine (NN 139/13)</w:t>
            </w:r>
          </w:p>
        </w:tc>
        <w:tc>
          <w:tcPr>
            <w:tcW w:w="2393" w:type="pct"/>
          </w:tcPr>
          <w:p w14:paraId="20FA15AE" w14:textId="1DE2D8B8" w:rsidR="00CE47EE" w:rsidRPr="00765552" w:rsidRDefault="009865F0"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5F0">
              <w:rPr>
                <w:rFonts w:cs="Arial"/>
                <w:sz w:val="20"/>
                <w:szCs w:val="20"/>
              </w:rPr>
              <w:t>Analizom troškova i koristi pošumljavanja na novim površinama ispita</w:t>
            </w:r>
            <w:r>
              <w:rPr>
                <w:rFonts w:cs="Arial"/>
                <w:sz w:val="20"/>
                <w:szCs w:val="20"/>
              </w:rPr>
              <w:t>t će</w:t>
            </w:r>
            <w:r w:rsidRPr="009865F0">
              <w:rPr>
                <w:rFonts w:cs="Arial"/>
                <w:sz w:val="20"/>
                <w:szCs w:val="20"/>
              </w:rPr>
              <w:t xml:space="preserve"> se mogućnosti povećanja odliva stakleničkih plinova primjenom aktivnosti pošumljavanja na neobraslom proizvodnom šumskom tlu. Time </w:t>
            </w:r>
            <w:r>
              <w:rPr>
                <w:rFonts w:cs="Arial"/>
                <w:sz w:val="20"/>
                <w:szCs w:val="20"/>
              </w:rPr>
              <w:t>će</w:t>
            </w:r>
            <w:r w:rsidRPr="009865F0">
              <w:rPr>
                <w:rFonts w:cs="Arial"/>
                <w:sz w:val="20"/>
                <w:szCs w:val="20"/>
              </w:rPr>
              <w:t xml:space="preserve"> se pokaza</w:t>
            </w:r>
            <w:r>
              <w:rPr>
                <w:rFonts w:cs="Arial"/>
                <w:sz w:val="20"/>
                <w:szCs w:val="20"/>
              </w:rPr>
              <w:t>ti</w:t>
            </w:r>
            <w:r w:rsidRPr="009865F0">
              <w:rPr>
                <w:rFonts w:cs="Arial"/>
                <w:sz w:val="20"/>
                <w:szCs w:val="20"/>
              </w:rPr>
              <w:t xml:space="preserve"> opravdanost uvođenja mogućih poticajnih mjera, kao što su primjerice pošumljavanje brzorastućim vrstama i biološka obnova šuma, ekvivalentno mjerama kojima se smanjuje emisija stakleničkih plinova.</w:t>
            </w:r>
          </w:p>
        </w:tc>
      </w:tr>
      <w:tr w:rsidR="00CE47EE" w:rsidRPr="00EF5587" w14:paraId="2C68404C" w14:textId="77777777" w:rsidTr="00B066B4">
        <w:tc>
          <w:tcPr>
            <w:cnfStyle w:val="001000000000" w:firstRow="0" w:lastRow="0" w:firstColumn="1" w:lastColumn="0" w:oddVBand="0" w:evenVBand="0" w:oddHBand="0" w:evenHBand="0" w:firstRowFirstColumn="0" w:firstRowLastColumn="0" w:lastRowFirstColumn="0" w:lastRowLastColumn="0"/>
            <w:tcW w:w="1071" w:type="pct"/>
          </w:tcPr>
          <w:p w14:paraId="6C4887EA" w14:textId="3E10CB35" w:rsidR="00CE47EE" w:rsidRPr="00765552" w:rsidRDefault="001E0162" w:rsidP="00A004BA">
            <w:pPr>
              <w:pStyle w:val="Default"/>
              <w:jc w:val="both"/>
              <w:rPr>
                <w:b w:val="0"/>
                <w:sz w:val="20"/>
                <w:szCs w:val="20"/>
              </w:rPr>
            </w:pPr>
            <w:r w:rsidRPr="001E0162">
              <w:rPr>
                <w:b w:val="0"/>
                <w:sz w:val="20"/>
                <w:szCs w:val="20"/>
              </w:rPr>
              <w:t>Provedba Akcijskog plana za LULUCF sektor</w:t>
            </w:r>
          </w:p>
        </w:tc>
        <w:tc>
          <w:tcPr>
            <w:tcW w:w="1536" w:type="pct"/>
          </w:tcPr>
          <w:p w14:paraId="35931492" w14:textId="1E9E9919" w:rsidR="00CE47EE" w:rsidRPr="005A25C9" w:rsidRDefault="0060687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66C04">
              <w:rPr>
                <w:sz w:val="20"/>
                <w:szCs w:val="20"/>
              </w:rPr>
              <w:t>Sedmo nacionalno izvješć</w:t>
            </w:r>
            <w:r>
              <w:rPr>
                <w:sz w:val="20"/>
                <w:szCs w:val="20"/>
              </w:rPr>
              <w:t>e</w:t>
            </w:r>
            <w:r w:rsidRPr="00566C04">
              <w:rPr>
                <w:sz w:val="20"/>
                <w:szCs w:val="20"/>
              </w:rPr>
              <w:t xml:space="preserve"> Republike Hrvatske prema </w:t>
            </w:r>
            <w:r>
              <w:rPr>
                <w:sz w:val="20"/>
                <w:szCs w:val="20"/>
              </w:rPr>
              <w:t>UNFCCC [</w:t>
            </w:r>
            <w:r>
              <w:fldChar w:fldCharType="begin"/>
            </w:r>
            <w:r>
              <w:rPr>
                <w:sz w:val="20"/>
                <w:szCs w:val="20"/>
              </w:rPr>
              <w:instrText xml:space="preserve"> REF _Ref531604343 \r \h </w:instrText>
            </w:r>
            <w:r>
              <w:rPr>
                <w:sz w:val="20"/>
                <w:szCs w:val="20"/>
              </w:rPr>
              <w:fldChar w:fldCharType="separate"/>
            </w:r>
            <w:r w:rsidR="00E5423A">
              <w:rPr>
                <w:sz w:val="20"/>
                <w:szCs w:val="20"/>
              </w:rPr>
              <w:t>8</w:t>
            </w:r>
            <w:r>
              <w:rPr>
                <w:sz w:val="20"/>
                <w:szCs w:val="20"/>
              </w:rPr>
              <w:fldChar w:fldCharType="end"/>
            </w:r>
            <w:r>
              <w:rPr>
                <w:sz w:val="20"/>
                <w:szCs w:val="20"/>
              </w:rPr>
              <w:t>]</w:t>
            </w:r>
          </w:p>
        </w:tc>
        <w:tc>
          <w:tcPr>
            <w:tcW w:w="2393" w:type="pct"/>
          </w:tcPr>
          <w:p w14:paraId="6688E28E" w14:textId="229C290B" w:rsidR="00CE47EE" w:rsidRPr="0031468F" w:rsidRDefault="009865F0"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Prema Akcijskom planu za LULUCF sektor</w:t>
            </w:r>
          </w:p>
        </w:tc>
      </w:tr>
    </w:tbl>
    <w:p w14:paraId="315C4FF5" w14:textId="77777777" w:rsidR="00165BDD" w:rsidRDefault="00165BDD">
      <w:pPr>
        <w:suppressAutoHyphens w:val="0"/>
        <w:spacing w:before="0" w:after="0" w:line="240" w:lineRule="auto"/>
        <w:jc w:val="left"/>
        <w:rPr>
          <w:i/>
        </w:rPr>
      </w:pPr>
      <w:r>
        <w:rPr>
          <w:i/>
        </w:rPr>
        <w:br w:type="page"/>
      </w:r>
    </w:p>
    <w:p w14:paraId="3659B066" w14:textId="6F8DE377" w:rsidR="00FF0CF3" w:rsidRPr="00816CF6" w:rsidRDefault="00FF0CF3" w:rsidP="00FF0CF3">
      <w:pPr>
        <w:shd w:val="clear" w:color="auto" w:fill="D9D9D9" w:themeFill="background1" w:themeFillShade="D9"/>
        <w:rPr>
          <w:i/>
        </w:rPr>
      </w:pPr>
      <w:r w:rsidRPr="00816CF6">
        <w:rPr>
          <w:i/>
        </w:rPr>
        <w:t>Dimenzija 'Energetska učinkovitost'</w:t>
      </w:r>
    </w:p>
    <w:p w14:paraId="41CC911D" w14:textId="7728D035" w:rsidR="00FB4E92" w:rsidRDefault="00FF0CF3" w:rsidP="00FF0CF3">
      <w:r>
        <w:t xml:space="preserve">Područje energetske učinkovitosti u Republici Hrvatskoj regulirano je Zakonom o energetskoj učinkovitosti (NN br. 127/14), Zakonom o gradnji (NN br. 153/13, 20/17), </w:t>
      </w:r>
      <w:r w:rsidRPr="00E95BFA">
        <w:t>Zakonom o zaštiti od svjetlosnog onečišćenja</w:t>
      </w:r>
      <w:r>
        <w:t xml:space="preserve"> </w:t>
      </w:r>
      <w:r w:rsidRPr="00E95BFA">
        <w:t xml:space="preserve">(NN </w:t>
      </w:r>
      <w:r>
        <w:t xml:space="preserve">br. </w:t>
      </w:r>
      <w:r w:rsidRPr="00E95BFA">
        <w:t xml:space="preserve">114/11) </w:t>
      </w:r>
      <w:r>
        <w:t xml:space="preserve">i te podzakonskim aktima koji slijede iz tih Zakona. </w:t>
      </w:r>
      <w:r w:rsidR="00FB4E92">
        <w:t xml:space="preserve">U trenutku izrade ovog nacrta Plana, u </w:t>
      </w:r>
      <w:r w:rsidR="008D3156">
        <w:t xml:space="preserve">parlamentarnoj proceduri su izmjene i dopune Zakona o energetskoj učinkovitosti, a konačni nacrt </w:t>
      </w:r>
      <w:r w:rsidR="00F4296E">
        <w:t>tih izmjena i dopuna se koristio pri izradi ovog Plana.</w:t>
      </w:r>
    </w:p>
    <w:p w14:paraId="29D10722" w14:textId="7ABF62F3" w:rsidR="00FF0CF3" w:rsidRDefault="00FF0CF3" w:rsidP="00FF0CF3">
      <w:r>
        <w:t xml:space="preserve">Pregled regulatornih mjera koje su definirane u navedenim </w:t>
      </w:r>
      <w:r w:rsidR="00304702">
        <w:t xml:space="preserve">zakonima </w:t>
      </w:r>
      <w:r>
        <w:t xml:space="preserve">i relevantnim podzakonskim aktima prikazuje </w:t>
      </w:r>
      <w:r>
        <w:rPr>
          <w:highlight w:val="yellow"/>
        </w:rPr>
        <w:fldChar w:fldCharType="begin"/>
      </w:r>
      <w:r>
        <w:instrText xml:space="preserve"> REF _Ref525127219 \h </w:instrText>
      </w:r>
      <w:r>
        <w:rPr>
          <w:highlight w:val="yellow"/>
        </w:rPr>
      </w:r>
      <w:r>
        <w:rPr>
          <w:highlight w:val="yellow"/>
        </w:rPr>
        <w:fldChar w:fldCharType="separate"/>
      </w:r>
      <w:r w:rsidR="00E5423A" w:rsidRPr="00F149EB">
        <w:t xml:space="preserve">Tablica </w:t>
      </w:r>
      <w:r w:rsidR="00E5423A">
        <w:rPr>
          <w:noProof/>
        </w:rPr>
        <w:t>1</w:t>
      </w:r>
      <w:r w:rsidR="00E5423A">
        <w:noBreakHyphen/>
      </w:r>
      <w:r w:rsidR="00E5423A">
        <w:rPr>
          <w:noProof/>
        </w:rPr>
        <w:t>5</w:t>
      </w:r>
      <w:r>
        <w:rPr>
          <w:highlight w:val="yellow"/>
        </w:rPr>
        <w:fldChar w:fldCharType="end"/>
      </w:r>
      <w:r>
        <w:t>. Navedenim se zakonima i propisima u Hrvatskoj zadovoljavaju zahtjevi sljedećih EU direktiva:</w:t>
      </w:r>
    </w:p>
    <w:p w14:paraId="530B612B" w14:textId="77777777" w:rsidR="00FF0CF3" w:rsidRPr="00816CF6" w:rsidRDefault="00FF0CF3" w:rsidP="005822F8">
      <w:pPr>
        <w:pStyle w:val="ListParagraph"/>
        <w:numPr>
          <w:ilvl w:val="0"/>
          <w:numId w:val="7"/>
        </w:numPr>
        <w:tabs>
          <w:tab w:val="clear" w:pos="431"/>
        </w:tabs>
        <w:suppressAutoHyphens w:val="0"/>
        <w:spacing w:after="160" w:line="259" w:lineRule="auto"/>
        <w:ind w:left="720"/>
        <w:contextualSpacing/>
        <w:rPr>
          <w:rFonts w:cstheme="minorHAnsi"/>
        </w:rPr>
      </w:pPr>
      <w:r w:rsidRPr="00816CF6">
        <w:rPr>
          <w:rFonts w:cstheme="minorHAnsi"/>
        </w:rPr>
        <w:t xml:space="preserve">Direktiva 2012/27/EU Europskog parlamenta i Vijeća od 25. listopada 2012. o energetskoj učinkovitosti kojom se dopunjuju direktive 2009/125/EZ i 2010/30/EU i ukidaju direktive 2004/8/EZ i 2006/32/EZ; </w:t>
      </w:r>
    </w:p>
    <w:p w14:paraId="769B82D6" w14:textId="77777777" w:rsidR="00FF0CF3" w:rsidRPr="00816CF6" w:rsidRDefault="00FF0CF3" w:rsidP="005822F8">
      <w:pPr>
        <w:pStyle w:val="ListParagraph"/>
        <w:numPr>
          <w:ilvl w:val="0"/>
          <w:numId w:val="7"/>
        </w:numPr>
        <w:tabs>
          <w:tab w:val="clear" w:pos="431"/>
        </w:tabs>
        <w:suppressAutoHyphens w:val="0"/>
        <w:spacing w:after="160" w:line="259" w:lineRule="auto"/>
        <w:ind w:left="720"/>
        <w:contextualSpacing/>
        <w:rPr>
          <w:rFonts w:cstheme="minorHAnsi"/>
        </w:rPr>
      </w:pPr>
      <w:r w:rsidRPr="00816CF6">
        <w:rPr>
          <w:rFonts w:cstheme="minorHAnsi"/>
        </w:rPr>
        <w:t>Direktiva 2010/31/EU Europskog parlamenta i Vijeća od 19. svibnja 2010. o energetskoj učinkovitosti zgrada;</w:t>
      </w:r>
    </w:p>
    <w:p w14:paraId="46F7523D" w14:textId="2887445A" w:rsidR="00FF0CF3" w:rsidRPr="0031468F" w:rsidRDefault="00FF0CF3" w:rsidP="005A25C9">
      <w:pPr>
        <w:pStyle w:val="ListParagraph"/>
        <w:numPr>
          <w:ilvl w:val="0"/>
          <w:numId w:val="7"/>
        </w:numPr>
        <w:tabs>
          <w:tab w:val="clear" w:pos="431"/>
        </w:tabs>
        <w:suppressAutoHyphens w:val="0"/>
        <w:spacing w:after="160" w:line="259" w:lineRule="auto"/>
        <w:ind w:left="720"/>
        <w:contextualSpacing/>
        <w:rPr>
          <w:rFonts w:cstheme="minorBidi"/>
        </w:rPr>
      </w:pPr>
      <w:r w:rsidRPr="005A25C9">
        <w:rPr>
          <w:rFonts w:cstheme="minorBidi"/>
        </w:rPr>
        <w:t>Direktiv</w:t>
      </w:r>
      <w:r w:rsidR="0029088D" w:rsidRPr="0031468F">
        <w:rPr>
          <w:rFonts w:cstheme="minorBidi"/>
        </w:rPr>
        <w:t>a</w:t>
      </w:r>
      <w:r w:rsidRPr="005A25C9">
        <w:rPr>
          <w:rFonts w:cstheme="minorBidi"/>
        </w:rPr>
        <w:t xml:space="preserve"> 2010/30/EU o iskazivanju potrošnje energije i ostalih resursa proizvoda, </w:t>
      </w:r>
      <w:r w:rsidRPr="0031468F">
        <w:rPr>
          <w:rFonts w:cstheme="minorBidi"/>
        </w:rPr>
        <w:t xml:space="preserve">povezanih s energijom, pomoću oznaka i standardiziranih informacija o proizvodu, odnosno Uredba 2017/1369 o utvrđivanju okvira za označivanje energetske učinkovitosti i o stavljanju izvan snage Direktive 2010/30/EU; </w:t>
      </w:r>
    </w:p>
    <w:p w14:paraId="191AC9CD" w14:textId="77777777" w:rsidR="00FF0CF3" w:rsidRPr="00816CF6" w:rsidRDefault="00FF0CF3" w:rsidP="005822F8">
      <w:pPr>
        <w:pStyle w:val="ListParagraph"/>
        <w:numPr>
          <w:ilvl w:val="0"/>
          <w:numId w:val="7"/>
        </w:numPr>
        <w:tabs>
          <w:tab w:val="clear" w:pos="431"/>
        </w:tabs>
        <w:suppressAutoHyphens w:val="0"/>
        <w:spacing w:after="160" w:line="259" w:lineRule="auto"/>
        <w:ind w:left="720"/>
        <w:contextualSpacing/>
        <w:rPr>
          <w:rFonts w:cstheme="minorHAnsi"/>
        </w:rPr>
      </w:pPr>
      <w:r w:rsidRPr="00816CF6">
        <w:rPr>
          <w:rFonts w:cstheme="minorHAnsi"/>
        </w:rPr>
        <w:t>Direktiva 2009/125/EZ Europskog parlamenta i Vijeća od 21. listopada 2009. o uspostavi okvira za utvrđivanje zahtijeva za ekološki dizajn proizvoda povezanih s energijom.</w:t>
      </w:r>
    </w:p>
    <w:p w14:paraId="34C5B218" w14:textId="26F6CC0A" w:rsidR="00EF73C6" w:rsidRPr="00F149EB" w:rsidRDefault="00FF0CF3" w:rsidP="00EF73C6">
      <w:pPr>
        <w:pStyle w:val="Caption"/>
      </w:pPr>
      <w:bookmarkStart w:id="69" w:name="_Ref525127219"/>
      <w:bookmarkStart w:id="70" w:name="_Toc531935325"/>
      <w:r w:rsidRPr="00F149EB">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5</w:t>
      </w:r>
      <w:r w:rsidR="00B22048">
        <w:rPr>
          <w:noProof/>
        </w:rPr>
        <w:fldChar w:fldCharType="end"/>
      </w:r>
      <w:bookmarkEnd w:id="69"/>
      <w:r w:rsidR="00A87274">
        <w:t xml:space="preserve"> </w:t>
      </w:r>
      <w:r w:rsidRPr="00F149EB">
        <w:t>Pregled postojećih regulatornih mjera energetske učinkovitosti</w:t>
      </w:r>
      <w:bookmarkEnd w:id="70"/>
      <w:r w:rsidR="00EF73C6" w:rsidRPr="00EF73C6">
        <w:t xml:space="preserve"> </w:t>
      </w:r>
    </w:p>
    <w:tbl>
      <w:tblPr>
        <w:tblStyle w:val="GridTable1Light"/>
        <w:tblW w:w="5000" w:type="pct"/>
        <w:tblLook w:val="04A0" w:firstRow="1" w:lastRow="0" w:firstColumn="1" w:lastColumn="0" w:noHBand="0" w:noVBand="1"/>
      </w:tblPr>
      <w:tblGrid>
        <w:gridCol w:w="9062"/>
      </w:tblGrid>
      <w:tr w:rsidR="00EF73C6" w:rsidRPr="00F52E31" w14:paraId="1387C1AA" w14:textId="77777777" w:rsidTr="00EF7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4E2254" w14:textId="77777777" w:rsidR="00EF73C6" w:rsidRPr="0031468F" w:rsidRDefault="00EF73C6" w:rsidP="005A25C9">
            <w:pPr>
              <w:spacing w:before="0" w:after="0" w:line="240" w:lineRule="auto"/>
              <w:rPr>
                <w:sz w:val="20"/>
                <w:szCs w:val="20"/>
              </w:rPr>
            </w:pPr>
            <w:r w:rsidRPr="005A25C9">
              <w:rPr>
                <w:sz w:val="20"/>
                <w:szCs w:val="20"/>
              </w:rPr>
              <w:t>Pregled regulatornih mjera energetske učinkovitosti u RH</w:t>
            </w:r>
          </w:p>
        </w:tc>
      </w:tr>
      <w:tr w:rsidR="00EF73C6" w:rsidRPr="00F52E31" w14:paraId="34D4A202" w14:textId="77777777" w:rsidTr="00EF73C6">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5A1D65BB" w14:textId="77777777" w:rsidR="00EF73C6" w:rsidRPr="0031468F" w:rsidRDefault="00EF73C6" w:rsidP="005A25C9">
            <w:pPr>
              <w:spacing w:before="0" w:after="0" w:line="240" w:lineRule="auto"/>
              <w:rPr>
                <w:sz w:val="20"/>
                <w:szCs w:val="20"/>
              </w:rPr>
            </w:pPr>
            <w:r w:rsidRPr="005A25C9">
              <w:rPr>
                <w:sz w:val="20"/>
                <w:szCs w:val="20"/>
              </w:rPr>
              <w:t>Zakon o energetskoj učinkovitosti</w:t>
            </w:r>
          </w:p>
        </w:tc>
      </w:tr>
      <w:tr w:rsidR="00EF73C6" w:rsidRPr="00F52E31" w14:paraId="34998930"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C57EFDB" w14:textId="77777777" w:rsidR="00EF73C6" w:rsidRPr="00F52E31" w:rsidRDefault="00EF73C6" w:rsidP="00EF73C6">
            <w:pPr>
              <w:spacing w:before="0" w:after="0" w:line="240" w:lineRule="auto"/>
              <w:rPr>
                <w:b w:val="0"/>
                <w:sz w:val="20"/>
              </w:rPr>
            </w:pPr>
            <w:r w:rsidRPr="00F52E31">
              <w:rPr>
                <w:b w:val="0"/>
                <w:sz w:val="20"/>
              </w:rPr>
              <w:t>Obveza Vlade RH da usvoji Nacionalni akcijski plan energetske učinkovitosti (NAPEnU) za trogodišnje razdoblje s mjerama koje će se provoditi na cijelom području RH</w:t>
            </w:r>
          </w:p>
        </w:tc>
      </w:tr>
      <w:tr w:rsidR="00EF73C6" w:rsidRPr="00F52E31" w14:paraId="485FA93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130CE1C" w14:textId="0DD10585" w:rsidR="00EF73C6" w:rsidRPr="005A25C9" w:rsidRDefault="00EF73C6" w:rsidP="005A25C9">
            <w:pPr>
              <w:spacing w:before="0" w:after="0" w:line="240" w:lineRule="auto"/>
              <w:rPr>
                <w:b w:val="0"/>
                <w:sz w:val="20"/>
                <w:szCs w:val="20"/>
              </w:rPr>
            </w:pPr>
            <w:r w:rsidRPr="0031468F">
              <w:rPr>
                <w:b w:val="0"/>
                <w:sz w:val="20"/>
              </w:rPr>
              <w:t>Obveza županija i velikih gradova (&gt; 35.000 stanovnika) da donose Akcijske planove (trogodišnje) i godišnje planove energetske učinkovitosti</w:t>
            </w:r>
            <w:r w:rsidR="0086329E">
              <w:rPr>
                <w:b w:val="0"/>
                <w:sz w:val="20"/>
              </w:rPr>
              <w:t xml:space="preserve"> </w:t>
            </w:r>
          </w:p>
        </w:tc>
      </w:tr>
      <w:tr w:rsidR="00EF73C6" w:rsidRPr="00F52E31" w14:paraId="1DB8BA93"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8EB80CB" w14:textId="77777777" w:rsidR="00EF73C6" w:rsidRPr="005A25C9" w:rsidRDefault="00EF73C6" w:rsidP="005A25C9">
            <w:pPr>
              <w:spacing w:before="0" w:after="0" w:line="240" w:lineRule="auto"/>
              <w:rPr>
                <w:b w:val="0"/>
                <w:sz w:val="20"/>
                <w:szCs w:val="20"/>
              </w:rPr>
            </w:pPr>
            <w:r w:rsidRPr="0031468F">
              <w:rPr>
                <w:b w:val="0"/>
                <w:sz w:val="20"/>
              </w:rPr>
              <w:t>Obveza Vlade RH da usvoji Dugoročnu strategiju za poticanje ulaganja u obnovu nacionalnog fonda zgrada Republike Hrvatske te je ažurira svake tri godine</w:t>
            </w:r>
          </w:p>
        </w:tc>
      </w:tr>
      <w:tr w:rsidR="00EF73C6" w:rsidRPr="00F52E31" w14:paraId="42F639B9"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2DA502D" w14:textId="1ECD7C75" w:rsidR="00EF73C6" w:rsidRPr="00F52E31" w:rsidRDefault="00EF73C6" w:rsidP="00EF73C6">
            <w:pPr>
              <w:spacing w:before="0" w:after="0" w:line="240" w:lineRule="auto"/>
              <w:rPr>
                <w:bCs w:val="0"/>
                <w:sz w:val="20"/>
              </w:rPr>
            </w:pPr>
            <w:r w:rsidRPr="00F52E31">
              <w:rPr>
                <w:b w:val="0"/>
                <w:sz w:val="20"/>
              </w:rPr>
              <w:t>Sustav obveze energetske učinkovitosti za distributere energije</w:t>
            </w:r>
            <w:r>
              <w:rPr>
                <w:b w:val="0"/>
                <w:sz w:val="20"/>
              </w:rPr>
              <w:t xml:space="preserve"> – prema konačnom nacrtu izmjena i dopuna, obve</w:t>
            </w:r>
            <w:r w:rsidR="00C651D3">
              <w:rPr>
                <w:b w:val="0"/>
                <w:sz w:val="20"/>
              </w:rPr>
              <w:t>z</w:t>
            </w:r>
            <w:r>
              <w:rPr>
                <w:b w:val="0"/>
                <w:sz w:val="20"/>
              </w:rPr>
              <w:t>nici postaju opskrbljivači energijom</w:t>
            </w:r>
          </w:p>
          <w:p w14:paraId="1C429FB9" w14:textId="2DA38AA6" w:rsidR="00EF73C6" w:rsidRPr="00F52E31" w:rsidRDefault="00EF73C6" w:rsidP="00EF73C6">
            <w:pPr>
              <w:spacing w:before="0" w:after="0" w:line="240" w:lineRule="auto"/>
              <w:rPr>
                <w:b w:val="0"/>
                <w:sz w:val="20"/>
              </w:rPr>
            </w:pPr>
            <w:r w:rsidRPr="00F52E31">
              <w:rPr>
                <w:b w:val="0"/>
                <w:sz w:val="20"/>
              </w:rPr>
              <w:t>(</w:t>
            </w:r>
            <w:r w:rsidRPr="00F52E31">
              <w:rPr>
                <w:sz w:val="20"/>
              </w:rPr>
              <w:t>provedbeni podzakonski akt kojim bi se uspostavila funkcionalna shema obveza do ovog trenutka nije usvojen te su se provodile samo alternativne mjere definirane u 3.</w:t>
            </w:r>
            <w:r>
              <w:rPr>
                <w:sz w:val="20"/>
              </w:rPr>
              <w:t xml:space="preserve"> </w:t>
            </w:r>
            <w:r w:rsidRPr="00F52E31">
              <w:rPr>
                <w:sz w:val="20"/>
              </w:rPr>
              <w:t xml:space="preserve">NAPEnU </w:t>
            </w:r>
            <w:r w:rsidRPr="00F52E31">
              <w:rPr>
                <w:b w:val="0"/>
                <w:sz w:val="20"/>
              </w:rPr>
              <w:t>)</w:t>
            </w:r>
          </w:p>
        </w:tc>
      </w:tr>
      <w:tr w:rsidR="00EF73C6" w:rsidRPr="00F52E31" w14:paraId="61C09DA0"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7B114CEA" w14:textId="0A079051" w:rsidR="00EF73C6" w:rsidRPr="005A25C9" w:rsidRDefault="00EF73C6" w:rsidP="005A25C9">
            <w:pPr>
              <w:spacing w:before="0" w:after="0" w:line="240" w:lineRule="auto"/>
              <w:rPr>
                <w:b w:val="0"/>
                <w:sz w:val="20"/>
                <w:szCs w:val="20"/>
              </w:rPr>
            </w:pPr>
            <w:r w:rsidRPr="0031468F">
              <w:rPr>
                <w:b w:val="0"/>
                <w:sz w:val="20"/>
              </w:rPr>
              <w:t>Obveze opskrbljivača o mjerenju i obračunavanju potrošnje te informiranju kupaca o prethodnoj potrošnji, što obuhvaća usporedbu s prosječnim uobičajenim ili referentnim krajnjim kupcem iz iste kategorije krajnjih kupaca opskrbljivača (H.1</w:t>
            </w:r>
            <w:r w:rsidR="001749F6" w:rsidRPr="0031468F">
              <w:rPr>
                <w:b w:val="0"/>
                <w:sz w:val="20"/>
              </w:rPr>
              <w:t xml:space="preserve"> [</w:t>
            </w:r>
            <w:r w:rsidR="001749F6" w:rsidRPr="0031468F">
              <w:rPr>
                <w:sz w:val="20"/>
              </w:rPr>
              <w:fldChar w:fldCharType="begin"/>
            </w:r>
            <w:r w:rsidR="001749F6">
              <w:rPr>
                <w:b w:val="0"/>
                <w:sz w:val="20"/>
              </w:rPr>
              <w:instrText xml:space="preserve"> REF _Ref531609660 \r \h </w:instrText>
            </w:r>
            <w:r w:rsidR="001749F6" w:rsidRPr="0031468F">
              <w:rPr>
                <w:sz w:val="20"/>
              </w:rPr>
            </w:r>
            <w:r w:rsidR="001749F6" w:rsidRPr="0031468F">
              <w:rPr>
                <w:sz w:val="20"/>
              </w:rPr>
              <w:fldChar w:fldCharType="separate"/>
            </w:r>
            <w:r w:rsidR="00E5423A">
              <w:rPr>
                <w:b w:val="0"/>
                <w:sz w:val="20"/>
              </w:rPr>
              <w:t>13</w:t>
            </w:r>
            <w:r w:rsidR="001749F6" w:rsidRPr="0031468F">
              <w:rPr>
                <w:sz w:val="20"/>
              </w:rPr>
              <w:fldChar w:fldCharType="end"/>
            </w:r>
            <w:r w:rsidR="001749F6" w:rsidRPr="0031468F">
              <w:rPr>
                <w:b w:val="0"/>
                <w:sz w:val="20"/>
              </w:rPr>
              <w:t>]</w:t>
            </w:r>
            <w:r w:rsidRPr="0031468F">
              <w:rPr>
                <w:b w:val="0"/>
                <w:sz w:val="20"/>
              </w:rPr>
              <w:t>; MEN-7</w:t>
            </w:r>
            <w:r w:rsidR="001749F6" w:rsidRPr="0031468F">
              <w:rPr>
                <w:b w:val="0"/>
                <w:sz w:val="20"/>
              </w:rPr>
              <w:t xml:space="preserve"> [</w:t>
            </w:r>
            <w:r w:rsidR="001749F6" w:rsidRPr="0031468F">
              <w:rPr>
                <w:sz w:val="20"/>
              </w:rPr>
              <w:fldChar w:fldCharType="begin"/>
            </w:r>
            <w:r w:rsidR="001749F6">
              <w:rPr>
                <w:b w:val="0"/>
                <w:sz w:val="20"/>
              </w:rPr>
              <w:instrText xml:space="preserve"> REF _Ref531604343 \r \h </w:instrText>
            </w:r>
            <w:r w:rsidR="001749F6" w:rsidRPr="0031468F">
              <w:rPr>
                <w:sz w:val="20"/>
              </w:rPr>
            </w:r>
            <w:r w:rsidR="001749F6" w:rsidRPr="0031468F">
              <w:rPr>
                <w:sz w:val="20"/>
              </w:rPr>
              <w:fldChar w:fldCharType="separate"/>
            </w:r>
            <w:r w:rsidR="00E5423A">
              <w:rPr>
                <w:b w:val="0"/>
                <w:sz w:val="20"/>
              </w:rPr>
              <w:t>8</w:t>
            </w:r>
            <w:r w:rsidR="001749F6" w:rsidRPr="0031468F">
              <w:rPr>
                <w:sz w:val="20"/>
              </w:rPr>
              <w:fldChar w:fldCharType="end"/>
            </w:r>
            <w:r w:rsidR="001749F6" w:rsidRPr="0031468F">
              <w:rPr>
                <w:b w:val="0"/>
                <w:sz w:val="20"/>
              </w:rPr>
              <w:t>]</w:t>
            </w:r>
            <w:r w:rsidRPr="0031468F">
              <w:rPr>
                <w:b w:val="0"/>
                <w:sz w:val="20"/>
              </w:rPr>
              <w:t>)</w:t>
            </w:r>
          </w:p>
        </w:tc>
      </w:tr>
      <w:tr w:rsidR="00EF73C6" w:rsidRPr="00F52E31" w14:paraId="061440E4"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56BDD44" w14:textId="77777777" w:rsidR="00EF73C6" w:rsidRPr="005A25C9" w:rsidRDefault="00EF73C6" w:rsidP="005A25C9">
            <w:pPr>
              <w:spacing w:before="0" w:after="0" w:line="240" w:lineRule="auto"/>
              <w:rPr>
                <w:b w:val="0"/>
                <w:sz w:val="20"/>
                <w:szCs w:val="20"/>
              </w:rPr>
            </w:pPr>
            <w:r w:rsidRPr="0031468F">
              <w:rPr>
                <w:b w:val="0"/>
                <w:sz w:val="20"/>
              </w:rPr>
              <w:t>Obveze distributera energije da</w:t>
            </w:r>
            <w:r>
              <w:t xml:space="preserve"> </w:t>
            </w:r>
            <w:r w:rsidRPr="0031468F">
              <w:rPr>
                <w:b w:val="0"/>
                <w:sz w:val="20"/>
              </w:rPr>
              <w:t>podatke o mjerenju i potrošnji energije u javnom sektoru unose na mjesečnoj razini u nacionalni informacijski sustav za gospodarenje energijom (ISGE) te da osiguraju pojedinačna brojila krajnjim kupcima</w:t>
            </w:r>
          </w:p>
        </w:tc>
      </w:tr>
      <w:tr w:rsidR="00EF73C6" w:rsidRPr="00F52E31" w14:paraId="66AFC53C"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20A0D5F" w14:textId="77777777" w:rsidR="00EF73C6" w:rsidRPr="005A25C9" w:rsidRDefault="00EF73C6" w:rsidP="005A25C9">
            <w:pPr>
              <w:spacing w:before="0" w:after="0" w:line="240" w:lineRule="auto"/>
              <w:rPr>
                <w:b w:val="0"/>
                <w:sz w:val="20"/>
                <w:szCs w:val="20"/>
              </w:rPr>
            </w:pPr>
            <w:r w:rsidRPr="0031468F">
              <w:rPr>
                <w:b w:val="0"/>
                <w:sz w:val="20"/>
              </w:rPr>
              <w:t>Obveze regulatornog tijela za energetiku da osigura poticanje energetske učinkovitosti kroz tarife te da osigura poticaje za poboljšanje učinkovitosti u planiranju i radu infrastrukture za prirodni plin i električnu energiju</w:t>
            </w:r>
          </w:p>
        </w:tc>
      </w:tr>
      <w:tr w:rsidR="00EF73C6" w:rsidRPr="00F52E31" w14:paraId="10F7F54D"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02E72D5" w14:textId="77777777" w:rsidR="00EF73C6" w:rsidRPr="00F52E31" w:rsidRDefault="00EF73C6" w:rsidP="00EF73C6">
            <w:pPr>
              <w:spacing w:before="0" w:after="0" w:line="240" w:lineRule="auto"/>
              <w:rPr>
                <w:b w:val="0"/>
                <w:sz w:val="20"/>
              </w:rPr>
            </w:pPr>
            <w:r w:rsidRPr="00F52E31">
              <w:rPr>
                <w:b w:val="0"/>
                <w:sz w:val="20"/>
              </w:rPr>
              <w:t xml:space="preserve">Obveze operatora prijenosnog i distribucijskog sustava da omoguće pristup mreži, prijenos i distribuciju električne energije proizvedene iz visokoučinkovite kogeneracije </w:t>
            </w:r>
          </w:p>
        </w:tc>
      </w:tr>
      <w:tr w:rsidR="00EF73C6" w:rsidRPr="00F52E31" w14:paraId="27CAEA29"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38A4CFD" w14:textId="0A0DC883" w:rsidR="00EF73C6" w:rsidRPr="005A25C9" w:rsidRDefault="00EF73C6" w:rsidP="005A25C9">
            <w:pPr>
              <w:spacing w:before="0" w:after="0" w:line="240" w:lineRule="auto"/>
              <w:rPr>
                <w:sz w:val="20"/>
                <w:szCs w:val="20"/>
              </w:rPr>
            </w:pPr>
            <w:r w:rsidRPr="0031468F">
              <w:rPr>
                <w:b w:val="0"/>
                <w:sz w:val="20"/>
              </w:rPr>
              <w:t>Obveze velikih poduzeća o provedbi energetskih pregleda svake 4 godine ili uvođenju sustava gospodarenja energijom (MEN-15</w:t>
            </w:r>
            <w:r w:rsidR="00206B71">
              <w:rPr>
                <w:b w:val="0"/>
                <w:sz w:val="20"/>
              </w:rPr>
              <w:t xml:space="preserve"> </w:t>
            </w:r>
            <w:r w:rsidR="001749F6" w:rsidRPr="0031468F">
              <w:rPr>
                <w:b w:val="0"/>
                <w:sz w:val="20"/>
              </w:rPr>
              <w:t>[</w:t>
            </w:r>
            <w:r w:rsidR="001749F6" w:rsidRPr="0031468F">
              <w:rPr>
                <w:sz w:val="20"/>
              </w:rPr>
              <w:fldChar w:fldCharType="begin"/>
            </w:r>
            <w:r w:rsidR="001749F6">
              <w:rPr>
                <w:b w:val="0"/>
                <w:sz w:val="20"/>
              </w:rPr>
              <w:instrText xml:space="preserve"> REF _Ref531604343 \r \h </w:instrText>
            </w:r>
            <w:r w:rsidR="001749F6" w:rsidRPr="0031468F">
              <w:rPr>
                <w:sz w:val="20"/>
              </w:rPr>
            </w:r>
            <w:r w:rsidR="001749F6" w:rsidRPr="0031468F">
              <w:rPr>
                <w:sz w:val="20"/>
              </w:rPr>
              <w:fldChar w:fldCharType="separate"/>
            </w:r>
            <w:r w:rsidR="00E5423A">
              <w:rPr>
                <w:b w:val="0"/>
                <w:sz w:val="20"/>
              </w:rPr>
              <w:t>8</w:t>
            </w:r>
            <w:r w:rsidR="001749F6" w:rsidRPr="0031468F">
              <w:rPr>
                <w:sz w:val="20"/>
              </w:rPr>
              <w:fldChar w:fldCharType="end"/>
            </w:r>
            <w:r w:rsidR="001749F6" w:rsidRPr="0031468F">
              <w:rPr>
                <w:b w:val="0"/>
                <w:sz w:val="20"/>
              </w:rPr>
              <w:t>]</w:t>
            </w:r>
            <w:r w:rsidR="00206B71">
              <w:rPr>
                <w:b w:val="0"/>
                <w:sz w:val="20"/>
              </w:rPr>
              <w:t>)</w:t>
            </w:r>
          </w:p>
          <w:p w14:paraId="3BB848BA" w14:textId="77777777" w:rsidR="00EF73C6" w:rsidRPr="005A25C9" w:rsidRDefault="00EF73C6" w:rsidP="0031468F">
            <w:pPr>
              <w:spacing w:before="0" w:after="0" w:line="240" w:lineRule="auto"/>
              <w:rPr>
                <w:b w:val="0"/>
                <w:sz w:val="20"/>
                <w:szCs w:val="20"/>
              </w:rPr>
            </w:pPr>
            <w:r w:rsidRPr="0031468F">
              <w:rPr>
                <w:b w:val="0"/>
                <w:sz w:val="20"/>
              </w:rPr>
              <w:t>(</w:t>
            </w:r>
            <w:r w:rsidRPr="005A25C9">
              <w:rPr>
                <w:sz w:val="20"/>
                <w:szCs w:val="20"/>
              </w:rPr>
              <w:t xml:space="preserve">Pravilnik o energetskom pregledu za velika poduzeća (NN </w:t>
            </w:r>
            <w:r w:rsidRPr="0031468F">
              <w:rPr>
                <w:sz w:val="20"/>
                <w:szCs w:val="20"/>
              </w:rPr>
              <w:t>br. 123/15)</w:t>
            </w:r>
            <w:r w:rsidRPr="0031468F">
              <w:rPr>
                <w:b w:val="0"/>
                <w:sz w:val="20"/>
              </w:rPr>
              <w:t>)</w:t>
            </w:r>
          </w:p>
        </w:tc>
      </w:tr>
      <w:tr w:rsidR="00EF73C6" w:rsidRPr="00F52E31" w14:paraId="617E9004"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E85E3BD" w14:textId="26CD854D" w:rsidR="00EF73C6" w:rsidRPr="005A25C9" w:rsidRDefault="00EF73C6" w:rsidP="005A25C9">
            <w:pPr>
              <w:spacing w:before="0" w:after="0" w:line="240" w:lineRule="auto"/>
              <w:rPr>
                <w:b w:val="0"/>
                <w:sz w:val="20"/>
                <w:szCs w:val="20"/>
              </w:rPr>
            </w:pPr>
            <w:r w:rsidRPr="0031468F">
              <w:rPr>
                <w:b w:val="0"/>
                <w:sz w:val="20"/>
              </w:rPr>
              <w:t xml:space="preserve">Obveza javnog sektora da provodi energetske preglede sustava javne rasvjete svakih 5 godina te da održava i rekonstruira javnu rasvjetu </w:t>
            </w:r>
            <w:r w:rsidR="00A13BE2">
              <w:rPr>
                <w:b w:val="0"/>
                <w:sz w:val="20"/>
              </w:rPr>
              <w:t xml:space="preserve">tako </w:t>
            </w:r>
            <w:r w:rsidRPr="0031468F">
              <w:rPr>
                <w:b w:val="0"/>
                <w:sz w:val="20"/>
              </w:rPr>
              <w:t>da smanjuje potrošnju električne energije i ispunjava ostale uvjete propisane Zakonom o zaštiti od svjetlosnog onečišćenja (NN 114/11) i propisa koji iz njega proizlaze</w:t>
            </w:r>
          </w:p>
        </w:tc>
      </w:tr>
      <w:tr w:rsidR="00EF73C6" w:rsidRPr="00F52E31" w14:paraId="1660F86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4F67D8CC" w14:textId="4C2C5431" w:rsidR="00EF73C6" w:rsidRPr="00F52E31" w:rsidRDefault="00EF73C6" w:rsidP="00EF73C6">
            <w:pPr>
              <w:spacing w:before="0" w:after="0" w:line="240" w:lineRule="auto"/>
              <w:rPr>
                <w:bCs w:val="0"/>
                <w:sz w:val="20"/>
              </w:rPr>
            </w:pPr>
            <w:r w:rsidRPr="00F52E31">
              <w:rPr>
                <w:b w:val="0"/>
                <w:sz w:val="20"/>
              </w:rPr>
              <w:t>Obveza javnog sektora da sustavno gospodari energijom, što podrazumijeva imenovanje odgovorne osobe za gospodarenje energijom, redovno praćenje potrošnje energije i unošenje pod</w:t>
            </w:r>
            <w:r w:rsidR="00C651D3">
              <w:rPr>
                <w:b w:val="0"/>
                <w:sz w:val="20"/>
              </w:rPr>
              <w:t>a</w:t>
            </w:r>
            <w:r w:rsidRPr="00F52E31">
              <w:rPr>
                <w:b w:val="0"/>
                <w:sz w:val="20"/>
              </w:rPr>
              <w:t xml:space="preserve">taka o potrošnji energije u nacionalni informacijski sustav za gospodarenje energijom (ISGE) </w:t>
            </w:r>
          </w:p>
          <w:p w14:paraId="5DF4E0CD" w14:textId="7972D98C" w:rsidR="00EF73C6" w:rsidRPr="004179D0" w:rsidRDefault="00EF73C6" w:rsidP="00EF73C6">
            <w:pPr>
              <w:spacing w:before="0" w:after="0" w:line="240" w:lineRule="auto"/>
              <w:rPr>
                <w:b w:val="0"/>
                <w:sz w:val="20"/>
                <w:szCs w:val="20"/>
              </w:rPr>
            </w:pPr>
            <w:r w:rsidRPr="004179D0">
              <w:rPr>
                <w:rStyle w:val="Strong"/>
                <w:sz w:val="20"/>
                <w:szCs w:val="20"/>
              </w:rPr>
              <w:t>(</w:t>
            </w:r>
            <w:r w:rsidRPr="351A17E0">
              <w:rPr>
                <w:rStyle w:val="Strong"/>
                <w:sz w:val="20"/>
                <w:szCs w:val="20"/>
              </w:rPr>
              <w:t xml:space="preserve">Pravilnik o sustavnom gospodarenju energijom u javnom sektoru (NN br. </w:t>
            </w:r>
            <w:hyperlink r:id="rId14" w:history="1">
              <w:r w:rsidRPr="351A17E0">
                <w:rPr>
                  <w:rStyle w:val="Strong"/>
                  <w:sz w:val="20"/>
                  <w:szCs w:val="20"/>
                </w:rPr>
                <w:t>18/15</w:t>
              </w:r>
            </w:hyperlink>
            <w:r w:rsidRPr="351A17E0">
              <w:rPr>
                <w:rStyle w:val="Strong"/>
                <w:sz w:val="20"/>
                <w:szCs w:val="20"/>
              </w:rPr>
              <w:t>, )</w:t>
            </w:r>
            <w:r w:rsidRPr="004179D0">
              <w:rPr>
                <w:rStyle w:val="Strong"/>
                <w:sz w:val="20"/>
                <w:szCs w:val="20"/>
              </w:rPr>
              <w:t>)</w:t>
            </w:r>
          </w:p>
        </w:tc>
      </w:tr>
      <w:tr w:rsidR="00EF73C6" w:rsidRPr="00F52E31" w14:paraId="0675D79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1258E43" w14:textId="77777777" w:rsidR="00EF73C6" w:rsidRPr="00F52E31" w:rsidRDefault="00EF73C6" w:rsidP="00EF73C6">
            <w:pPr>
              <w:spacing w:before="0" w:after="0" w:line="240" w:lineRule="auto"/>
              <w:rPr>
                <w:bCs w:val="0"/>
                <w:sz w:val="20"/>
              </w:rPr>
            </w:pPr>
            <w:r w:rsidRPr="00F52E31">
              <w:rPr>
                <w:b w:val="0"/>
                <w:sz w:val="20"/>
              </w:rPr>
              <w:t>Obveza prijavljivanja svih aktivnosti energetske učinkovitosti i ostvarenih ušteda u nacionalni sustav za praćenje, mjerenje i verifikaciju ušteda (SMiV) za javni sektor, pružatelje energetskih usluga i davatelje subvencija</w:t>
            </w:r>
          </w:p>
          <w:p w14:paraId="38CF5ED5" w14:textId="77777777" w:rsidR="00EF73C6" w:rsidRPr="005A25C9" w:rsidRDefault="00EF73C6" w:rsidP="005A25C9">
            <w:pPr>
              <w:spacing w:before="0" w:after="0" w:line="240" w:lineRule="auto"/>
              <w:rPr>
                <w:b w:val="0"/>
                <w:sz w:val="20"/>
                <w:szCs w:val="20"/>
              </w:rPr>
            </w:pPr>
            <w:r w:rsidRPr="00A238EB">
              <w:rPr>
                <w:b w:val="0"/>
                <w:bCs w:val="0"/>
                <w:sz w:val="20"/>
              </w:rPr>
              <w:t>(</w:t>
            </w:r>
            <w:r w:rsidRPr="005A25C9">
              <w:rPr>
                <w:sz w:val="20"/>
                <w:szCs w:val="20"/>
              </w:rPr>
              <w:t>Pravilnik o sustavu za praćenje, mjerenje i verifikaciju ušteda energije</w:t>
            </w:r>
            <w:r w:rsidRPr="00A238EB">
              <w:rPr>
                <w:b w:val="0"/>
                <w:bCs w:val="0"/>
                <w:sz w:val="20"/>
              </w:rPr>
              <w:t xml:space="preserve"> </w:t>
            </w:r>
            <w:r w:rsidRPr="005A25C9">
              <w:rPr>
                <w:sz w:val="20"/>
                <w:szCs w:val="20"/>
              </w:rPr>
              <w:t>(NN br. 71/15)</w:t>
            </w:r>
            <w:r w:rsidRPr="00A238EB">
              <w:rPr>
                <w:b w:val="0"/>
                <w:bCs w:val="0"/>
                <w:sz w:val="20"/>
              </w:rPr>
              <w:t>)</w:t>
            </w:r>
          </w:p>
        </w:tc>
      </w:tr>
      <w:tr w:rsidR="00EF73C6" w:rsidRPr="00F52E31" w14:paraId="354C7EA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71DC76E5" w14:textId="77777777" w:rsidR="00EF73C6" w:rsidRPr="005A25C9" w:rsidRDefault="00EF73C6" w:rsidP="005A25C9">
            <w:pPr>
              <w:spacing w:before="0" w:after="0" w:line="240" w:lineRule="auto"/>
              <w:rPr>
                <w:sz w:val="20"/>
                <w:szCs w:val="20"/>
              </w:rPr>
            </w:pPr>
            <w:r w:rsidRPr="00A238EB">
              <w:rPr>
                <w:b w:val="0"/>
                <w:sz w:val="20"/>
              </w:rPr>
              <w:t xml:space="preserve">Obveza nadležnih ministarstava i NKT-a uspostavljanja i vođenja informacije platforme o energetskoj učinkovitosti </w:t>
            </w:r>
          </w:p>
          <w:p w14:paraId="31CA347D" w14:textId="4610D36F"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Nacionalni portal energetske učinkovitosti:</w:t>
            </w:r>
            <w:r w:rsidRPr="00A238EB">
              <w:rPr>
                <w:b w:val="0"/>
                <w:sz w:val="20"/>
              </w:rPr>
              <w:t xml:space="preserve"> </w:t>
            </w:r>
            <w:hyperlink r:id="rId15" w:history="1">
              <w:r w:rsidRPr="00733872">
                <w:rPr>
                  <w:rStyle w:val="Hyperlink"/>
                  <w:b w:val="0"/>
                  <w:sz w:val="20"/>
                  <w:szCs w:val="20"/>
                </w:rPr>
                <w:t>https://www.enu.hr/</w:t>
              </w:r>
            </w:hyperlink>
            <w:r w:rsidRPr="00A238EB">
              <w:rPr>
                <w:sz w:val="20"/>
                <w:szCs w:val="20"/>
              </w:rPr>
              <w:t>)</w:t>
            </w:r>
          </w:p>
        </w:tc>
      </w:tr>
      <w:tr w:rsidR="00EF73C6" w:rsidRPr="00F52E31" w14:paraId="7C9C287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2A3549C" w14:textId="0EA6872B" w:rsidR="00EF73C6" w:rsidRPr="005A25C9" w:rsidRDefault="00EF73C6" w:rsidP="005A25C9">
            <w:pPr>
              <w:spacing w:before="0" w:after="0" w:line="240" w:lineRule="auto"/>
              <w:rPr>
                <w:sz w:val="20"/>
                <w:szCs w:val="20"/>
              </w:rPr>
            </w:pPr>
            <w:r w:rsidRPr="00A238EB">
              <w:rPr>
                <w:sz w:val="20"/>
                <w:szCs w:val="20"/>
              </w:rPr>
              <w:t xml:space="preserve">Obveza označavanja uređaja povezanih s energijom </w:t>
            </w:r>
            <w:r w:rsidRPr="00F976A8">
              <w:rPr>
                <w:b w:val="0"/>
                <w:sz w:val="20"/>
                <w:szCs w:val="20"/>
              </w:rPr>
              <w:t>(MEN-8</w:t>
            </w:r>
            <w:r w:rsidR="001749F6" w:rsidRPr="00F976A8">
              <w:rPr>
                <w:b w:val="0"/>
                <w:sz w:val="20"/>
                <w:szCs w:val="20"/>
              </w:rPr>
              <w:t xml:space="preserve"> [</w:t>
            </w:r>
            <w:r w:rsidR="001749F6" w:rsidRPr="00F976A8">
              <w:rPr>
                <w:sz w:val="20"/>
              </w:rPr>
              <w:fldChar w:fldCharType="begin"/>
            </w:r>
            <w:r w:rsidR="001749F6" w:rsidRPr="00F976A8">
              <w:rPr>
                <w:b w:val="0"/>
                <w:sz w:val="20"/>
              </w:rPr>
              <w:instrText xml:space="preserve"> REF _Ref531604343 \r \h </w:instrText>
            </w:r>
            <w:r w:rsidR="00206B71" w:rsidRPr="00F976A8">
              <w:rPr>
                <w:b w:val="0"/>
              </w:rPr>
              <w:instrText xml:space="preserve"> \* MERGEFORMAT </w:instrText>
            </w:r>
            <w:r w:rsidR="001749F6" w:rsidRPr="00F976A8">
              <w:rPr>
                <w:sz w:val="20"/>
              </w:rPr>
            </w:r>
            <w:r w:rsidR="001749F6" w:rsidRPr="00F976A8">
              <w:rPr>
                <w:sz w:val="20"/>
              </w:rPr>
              <w:fldChar w:fldCharType="separate"/>
            </w:r>
            <w:r w:rsidR="00E5423A">
              <w:rPr>
                <w:b w:val="0"/>
                <w:sz w:val="20"/>
              </w:rPr>
              <w:t>8</w:t>
            </w:r>
            <w:r w:rsidR="001749F6" w:rsidRPr="00F976A8">
              <w:rPr>
                <w:sz w:val="20"/>
              </w:rPr>
              <w:fldChar w:fldCharType="end"/>
            </w:r>
            <w:r w:rsidR="001749F6" w:rsidRPr="00BF6BC3">
              <w:rPr>
                <w:b w:val="0"/>
                <w:sz w:val="20"/>
              </w:rPr>
              <w:t>]</w:t>
            </w:r>
            <w:r w:rsidR="351A17E0" w:rsidRPr="00F976A8">
              <w:rPr>
                <w:b w:val="0"/>
              </w:rPr>
              <w:t>)</w:t>
            </w:r>
          </w:p>
          <w:p w14:paraId="5EF1C840" w14:textId="77777777" w:rsidR="00EF73C6" w:rsidRPr="005A25C9" w:rsidRDefault="00EF73C6" w:rsidP="0031468F">
            <w:pPr>
              <w:spacing w:before="0" w:after="0" w:line="240" w:lineRule="auto"/>
              <w:rPr>
                <w:b w:val="0"/>
                <w:sz w:val="20"/>
                <w:szCs w:val="20"/>
              </w:rPr>
            </w:pPr>
            <w:r w:rsidRPr="00A238EB">
              <w:rPr>
                <w:b w:val="0"/>
                <w:sz w:val="20"/>
              </w:rPr>
              <w:t>(relevantne uredbe EU za pojedine grupe uređaja)</w:t>
            </w:r>
          </w:p>
        </w:tc>
      </w:tr>
      <w:tr w:rsidR="00EF73C6" w:rsidRPr="00F52E31" w14:paraId="1EE7CA7D"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DC89E85" w14:textId="77777777" w:rsidR="00EF73C6" w:rsidRPr="005A25C9" w:rsidRDefault="00EF73C6" w:rsidP="005A25C9">
            <w:pPr>
              <w:spacing w:before="0" w:after="0" w:line="240" w:lineRule="auto"/>
              <w:rPr>
                <w:sz w:val="20"/>
                <w:szCs w:val="20"/>
              </w:rPr>
            </w:pPr>
            <w:r w:rsidRPr="00A238EB">
              <w:rPr>
                <w:b w:val="0"/>
                <w:sz w:val="20"/>
              </w:rPr>
              <w:t xml:space="preserve">Reguliranje energetske usluge (ugovora o energetskom učinku) u javnom sektoru </w:t>
            </w:r>
          </w:p>
          <w:p w14:paraId="64760697" w14:textId="77777777"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Uredba o ugovaranju i provedbi energetske usluge u javnom sektoru NN br. 11/15)</w:t>
            </w:r>
            <w:r w:rsidRPr="00A238EB">
              <w:rPr>
                <w:b w:val="0"/>
                <w:sz w:val="20"/>
              </w:rPr>
              <w:t>)</w:t>
            </w:r>
          </w:p>
        </w:tc>
      </w:tr>
      <w:tr w:rsidR="00EF73C6" w:rsidRPr="00F52E31" w14:paraId="3E1DF75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D4FEC03" w14:textId="77777777" w:rsidR="00EF73C6" w:rsidRPr="00F52E31" w:rsidRDefault="00EF73C6" w:rsidP="00EF73C6">
            <w:pPr>
              <w:spacing w:before="0" w:after="0" w:line="240" w:lineRule="auto"/>
              <w:rPr>
                <w:b w:val="0"/>
                <w:sz w:val="20"/>
              </w:rPr>
            </w:pPr>
            <w:r w:rsidRPr="00F52E31">
              <w:rPr>
                <w:b w:val="0"/>
                <w:sz w:val="20"/>
              </w:rPr>
              <w:t>Reguliranje ugovaranja energetske usluge i radova energetske obnove višestambenih zgrada te utvrđivanje donošenja odluke o energetskoj obnovi na temelju natpolovične većine glasova suvlasnika koja se računa po suvlasničkim dijelovima i po broju suvlasnika zgrade</w:t>
            </w:r>
          </w:p>
        </w:tc>
      </w:tr>
      <w:tr w:rsidR="00EF73C6" w:rsidRPr="00F52E31" w14:paraId="00D9B89A"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EA5E287" w14:textId="77777777" w:rsidR="00EF73C6" w:rsidRPr="005A25C9" w:rsidRDefault="00EF73C6" w:rsidP="005A25C9">
            <w:pPr>
              <w:spacing w:before="0" w:after="0" w:line="240" w:lineRule="auto"/>
              <w:rPr>
                <w:sz w:val="20"/>
                <w:szCs w:val="20"/>
              </w:rPr>
            </w:pPr>
            <w:r w:rsidRPr="00A238EB">
              <w:rPr>
                <w:b w:val="0"/>
                <w:sz w:val="20"/>
              </w:rPr>
              <w:t xml:space="preserve">Obveza korištenja kriterija energetske učinkovitosti u postupcima javne nabave proizvoda povezanih s energijom </w:t>
            </w:r>
          </w:p>
          <w:p w14:paraId="5CF0116F" w14:textId="77777777"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Pravilnik o zahtjevima energetske učinkovitosti proizvoda povezanih s energijom u postupcima javne nabave (NN br. 70/15)</w:t>
            </w:r>
            <w:r w:rsidRPr="00A238EB">
              <w:rPr>
                <w:b w:val="0"/>
                <w:sz w:val="20"/>
              </w:rPr>
              <w:t>)</w:t>
            </w:r>
          </w:p>
        </w:tc>
      </w:tr>
      <w:tr w:rsidR="00EF73C6" w:rsidRPr="00F52E31" w14:paraId="739CEEA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B8BA74A" w14:textId="7208369B" w:rsidR="00EF73C6" w:rsidRPr="005A25C9" w:rsidRDefault="00EF73C6" w:rsidP="005A25C9">
            <w:pPr>
              <w:spacing w:before="0" w:after="0" w:line="240" w:lineRule="auto"/>
              <w:rPr>
                <w:sz w:val="20"/>
                <w:szCs w:val="20"/>
              </w:rPr>
            </w:pPr>
            <w:r w:rsidRPr="00A238EB">
              <w:rPr>
                <w:b w:val="0"/>
                <w:sz w:val="20"/>
              </w:rPr>
              <w:t xml:space="preserve">Obveza zadovoljavanja eko-dizajna proizvoda povezanih s energijom prilikom stavljanja na tržište </w:t>
            </w:r>
            <w:r w:rsidRPr="00BF6BC3">
              <w:rPr>
                <w:b w:val="0"/>
                <w:sz w:val="20"/>
              </w:rPr>
              <w:t>(MEN-9</w:t>
            </w:r>
            <w:r w:rsidR="001749F6" w:rsidRPr="00BF6BC3">
              <w:rPr>
                <w:b w:val="0"/>
                <w:sz w:val="20"/>
              </w:rPr>
              <w:t xml:space="preserve"> [</w:t>
            </w:r>
            <w:r w:rsidR="001749F6" w:rsidRPr="00F976A8">
              <w:fldChar w:fldCharType="begin"/>
            </w:r>
            <w:r w:rsidR="001749F6" w:rsidRPr="00F976A8">
              <w:rPr>
                <w:b w:val="0"/>
                <w:sz w:val="20"/>
              </w:rPr>
              <w:instrText xml:space="preserve"> REF _Ref531604343 \r \h </w:instrText>
            </w:r>
            <w:r w:rsidR="00BF6BC3" w:rsidRPr="00F976A8">
              <w:rPr>
                <w:b w:val="0"/>
              </w:rPr>
              <w:instrText xml:space="preserve"> \* MERGEFOR</w:instrText>
            </w:r>
            <w:r w:rsidR="00BF6BC3" w:rsidRPr="00F976A8">
              <w:instrText xml:space="preserve">MAT </w:instrText>
            </w:r>
            <w:r w:rsidR="001749F6" w:rsidRPr="00F976A8">
              <w:rPr>
                <w:sz w:val="20"/>
              </w:rPr>
              <w:fldChar w:fldCharType="separate"/>
            </w:r>
            <w:r w:rsidR="00E5423A">
              <w:rPr>
                <w:b w:val="0"/>
                <w:sz w:val="20"/>
              </w:rPr>
              <w:t>8</w:t>
            </w:r>
            <w:r w:rsidR="001749F6" w:rsidRPr="00F976A8">
              <w:rPr>
                <w:sz w:val="20"/>
              </w:rPr>
              <w:fldChar w:fldCharType="end"/>
            </w:r>
            <w:r w:rsidR="001749F6" w:rsidRPr="00BF6BC3">
              <w:rPr>
                <w:b w:val="0"/>
                <w:sz w:val="20"/>
              </w:rPr>
              <w:t>]</w:t>
            </w:r>
            <w:r w:rsidR="351A17E0" w:rsidRPr="00F976A8">
              <w:rPr>
                <w:b w:val="0"/>
              </w:rPr>
              <w:t>)</w:t>
            </w:r>
          </w:p>
          <w:p w14:paraId="779D9653" w14:textId="77777777" w:rsidR="00EF73C6" w:rsidRPr="005A25C9" w:rsidRDefault="00EF73C6" w:rsidP="0031468F">
            <w:pPr>
              <w:spacing w:before="0" w:after="0" w:line="240" w:lineRule="auto"/>
              <w:rPr>
                <w:b w:val="0"/>
                <w:sz w:val="20"/>
                <w:szCs w:val="20"/>
              </w:rPr>
            </w:pPr>
            <w:r w:rsidRPr="00A238EB">
              <w:rPr>
                <w:sz w:val="20"/>
                <w:szCs w:val="20"/>
              </w:rPr>
              <w:t>(</w:t>
            </w:r>
            <w:r w:rsidRPr="005A25C9">
              <w:rPr>
                <w:sz w:val="20"/>
                <w:szCs w:val="20"/>
              </w:rPr>
              <w:t>Pravilnik o utvrđivanju zahtjeva za eko-dizajn proizvoda povezanih s energijom (NN br. 50/15)</w:t>
            </w:r>
            <w:r w:rsidRPr="00A238EB">
              <w:rPr>
                <w:b w:val="0"/>
                <w:sz w:val="20"/>
              </w:rPr>
              <w:t>)</w:t>
            </w:r>
          </w:p>
        </w:tc>
      </w:tr>
      <w:tr w:rsidR="00EF73C6" w:rsidRPr="00F52E31" w14:paraId="4E0668D5" w14:textId="77777777" w:rsidTr="00EF73C6">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667C6A49" w14:textId="77777777" w:rsidR="00EF73C6" w:rsidRPr="0031468F" w:rsidRDefault="00EF73C6" w:rsidP="005A25C9">
            <w:pPr>
              <w:spacing w:before="0" w:after="0" w:line="240" w:lineRule="auto"/>
              <w:rPr>
                <w:sz w:val="20"/>
                <w:szCs w:val="20"/>
              </w:rPr>
            </w:pPr>
            <w:r w:rsidRPr="005A25C9">
              <w:rPr>
                <w:sz w:val="20"/>
                <w:szCs w:val="20"/>
              </w:rPr>
              <w:t>Zakon o zaštiti od svjetlosnog onečišćenja</w:t>
            </w:r>
          </w:p>
        </w:tc>
      </w:tr>
      <w:tr w:rsidR="00EF73C6" w:rsidRPr="00E579D4" w14:paraId="6D0FA67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66F085F3" w14:textId="77777777" w:rsidR="00EF73C6" w:rsidRPr="0075630F" w:rsidRDefault="00EF73C6" w:rsidP="005A25C9">
            <w:pPr>
              <w:spacing w:before="0" w:after="0" w:line="240" w:lineRule="auto"/>
              <w:rPr>
                <w:b w:val="0"/>
                <w:sz w:val="20"/>
                <w:szCs w:val="20"/>
              </w:rPr>
            </w:pPr>
            <w:r w:rsidRPr="0075630F">
              <w:rPr>
                <w:b w:val="0"/>
                <w:sz w:val="20"/>
                <w:szCs w:val="20"/>
              </w:rPr>
              <w:t xml:space="preserve">Obvezna primjena svjetiljki koje daju isti svjetlosni učinak uz manju potrošnju energije; obvezna primjena standarda upravljanja rasvijetljenošću, uvjeta i najviše dopuštene razine intenziteta svjetla, rasvijetljenosti, svjetline i raspršenja na otvorenom; obvezna primjena mjera zaštite od svjetlosnog onečišćenja kojima se mora spriječiti nastajanje prekomjerne emisije i raspršivanja svjetla u okoliš; kod planiranja, gradnje, održavanja i rekonstrukcije rasvjete potrebno je izabrati tehnička rješenja i uvažavati dostignuća i rješenja kojima se osigurava da rasvjeta bude izvedena prema hrvatskim normama iz područja rasvjete, da se koriste energetski učinkovita rješenja te da parametri rasvijetljenosti ne prelaze granične vrijednosti </w:t>
            </w:r>
          </w:p>
          <w:p w14:paraId="344F9B90" w14:textId="77777777" w:rsidR="00EF73C6" w:rsidRPr="00E579D4" w:rsidRDefault="00EF73C6" w:rsidP="00EF73C6">
            <w:pPr>
              <w:spacing w:before="0" w:after="0" w:line="240" w:lineRule="auto"/>
              <w:rPr>
                <w:b w:val="0"/>
                <w:sz w:val="20"/>
              </w:rPr>
            </w:pPr>
            <w:r w:rsidRPr="00F52E31">
              <w:rPr>
                <w:b w:val="0"/>
                <w:sz w:val="20"/>
              </w:rPr>
              <w:t>(</w:t>
            </w:r>
            <w:r w:rsidRPr="0075630F">
              <w:rPr>
                <w:sz w:val="20"/>
              </w:rPr>
              <w:t>na temelju ovog Zakona nije usvojen niti jedan predviđeni</w:t>
            </w:r>
            <w:r>
              <w:rPr>
                <w:b w:val="0"/>
                <w:sz w:val="20"/>
              </w:rPr>
              <w:t xml:space="preserve"> </w:t>
            </w:r>
            <w:r w:rsidRPr="00F52E31">
              <w:rPr>
                <w:sz w:val="20"/>
              </w:rPr>
              <w:t>provedbeni podzakonski akt kojim</w:t>
            </w:r>
            <w:r>
              <w:rPr>
                <w:sz w:val="20"/>
              </w:rPr>
              <w:t>a bi se uspostavili integralni uvjeti za energetski učinkovitu i okolišno prihvatljivu javnu rasvjetu</w:t>
            </w:r>
            <w:r w:rsidRPr="00F52E31">
              <w:rPr>
                <w:b w:val="0"/>
                <w:sz w:val="20"/>
              </w:rPr>
              <w:t>)</w:t>
            </w:r>
          </w:p>
        </w:tc>
      </w:tr>
      <w:tr w:rsidR="00EF73C6" w:rsidRPr="00F52E31" w14:paraId="739786B2" w14:textId="77777777" w:rsidTr="00EF73C6">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0C715A07" w14:textId="77777777" w:rsidR="00EF73C6" w:rsidRPr="0031468F" w:rsidRDefault="00EF73C6" w:rsidP="005A25C9">
            <w:pPr>
              <w:spacing w:before="0" w:after="0" w:line="240" w:lineRule="auto"/>
              <w:rPr>
                <w:sz w:val="20"/>
                <w:szCs w:val="20"/>
              </w:rPr>
            </w:pPr>
            <w:r w:rsidRPr="005A25C9">
              <w:rPr>
                <w:sz w:val="20"/>
                <w:szCs w:val="20"/>
              </w:rPr>
              <w:t>Zakon o gradnji</w:t>
            </w:r>
          </w:p>
        </w:tc>
      </w:tr>
      <w:tr w:rsidR="00EF73C6" w:rsidRPr="00F52E31" w14:paraId="758FEDC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71757CC" w14:textId="4A2DDDE2" w:rsidR="00EF73C6" w:rsidRPr="005A25C9" w:rsidRDefault="00EF73C6" w:rsidP="005A25C9">
            <w:pPr>
              <w:spacing w:before="0" w:after="0" w:line="240" w:lineRule="auto"/>
              <w:rPr>
                <w:b w:val="0"/>
                <w:sz w:val="20"/>
                <w:szCs w:val="20"/>
              </w:rPr>
            </w:pPr>
            <w:r w:rsidRPr="00A238EB">
              <w:rPr>
                <w:b w:val="0"/>
                <w:sz w:val="20"/>
              </w:rPr>
              <w:t xml:space="preserve">Gospodarenje energijom i očuvanje topline kao jedan od temeljnih zahtjeva za građevine </w:t>
            </w:r>
            <w:r w:rsidRPr="005A25C9">
              <w:rPr>
                <w:sz w:val="20"/>
                <w:szCs w:val="20"/>
              </w:rPr>
              <w:t>(</w:t>
            </w:r>
            <w:r w:rsidRPr="0031468F">
              <w:rPr>
                <w:sz w:val="20"/>
                <w:szCs w:val="20"/>
              </w:rPr>
              <w:t>Tehničkim propisom i racionalnoj uporabi i toplinskoj zaštitu zgrada (NN br. 128/15, 70/18, 73/18)</w:t>
            </w:r>
            <w:r w:rsidRPr="00A238EB">
              <w:rPr>
                <w:b w:val="0"/>
                <w:sz w:val="20"/>
              </w:rPr>
              <w:t xml:space="preserve"> propisuju se minimalna energetska svojstva za nove zgrade i zgrade koje prolaze veliku rekonstrukciju, način određivanja energetskog svojstva zgrade, izrada elaborata korištenja alternativnih sustava energije te zahtijeva za zgrade gotovo nulte energije)</w:t>
            </w:r>
          </w:p>
        </w:tc>
      </w:tr>
      <w:tr w:rsidR="00EF73C6" w:rsidRPr="00F52E31" w14:paraId="7190B1F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DA19567" w14:textId="77777777" w:rsidR="00EF73C6" w:rsidRPr="005A25C9" w:rsidRDefault="00EF73C6" w:rsidP="005A25C9">
            <w:pPr>
              <w:spacing w:before="0" w:after="0" w:line="240" w:lineRule="auto"/>
              <w:rPr>
                <w:sz w:val="20"/>
                <w:szCs w:val="20"/>
              </w:rPr>
            </w:pPr>
            <w:r w:rsidRPr="00A238EB">
              <w:rPr>
                <w:b w:val="0"/>
                <w:sz w:val="20"/>
              </w:rPr>
              <w:t>Obveza redovnih inspekcija sustava grijanja i sustava hlađenja ili klimatizacije u zgradama te energetskog certificiranja zgrada</w:t>
            </w:r>
          </w:p>
          <w:p w14:paraId="2AED6D8E" w14:textId="77777777" w:rsidR="00EF73C6" w:rsidRPr="005A25C9" w:rsidRDefault="00EF73C6" w:rsidP="0031468F">
            <w:pPr>
              <w:spacing w:before="0" w:after="0" w:line="240" w:lineRule="auto"/>
              <w:rPr>
                <w:b w:val="0"/>
                <w:sz w:val="20"/>
                <w:szCs w:val="20"/>
              </w:rPr>
            </w:pPr>
            <w:r w:rsidRPr="00A238EB">
              <w:rPr>
                <w:b w:val="0"/>
                <w:bCs w:val="0"/>
                <w:sz w:val="20"/>
              </w:rPr>
              <w:t>(</w:t>
            </w:r>
            <w:r w:rsidRPr="005A25C9">
              <w:rPr>
                <w:sz w:val="20"/>
                <w:szCs w:val="20"/>
              </w:rPr>
              <w:t>Pravilnik o energetskom pregledu zgrade i energetskom certificiranju (NN br. 88/17); Pravilnik o kontroli energetskog certifikata zgrad</w:t>
            </w:r>
            <w:r w:rsidRPr="0031468F">
              <w:rPr>
                <w:sz w:val="20"/>
                <w:szCs w:val="20"/>
              </w:rPr>
              <w:t>e i izvješća o redovitom pregledu sustava grijanja i sustava hlađenja ili klimatizacije u zgradi (NN br. 73/15); Pravilnik o osobama ovlaštenim za energetsko certificiranje, energetski pregled zgrade i redoviti pregled sustava grijanja i sustava hlađenja ili klimatizacije u zgradi (NN br. 73/15, 133/15)</w:t>
            </w:r>
            <w:r w:rsidRPr="00A238EB">
              <w:rPr>
                <w:b w:val="0"/>
                <w:bCs w:val="0"/>
                <w:sz w:val="20"/>
              </w:rPr>
              <w:t>)</w:t>
            </w:r>
          </w:p>
        </w:tc>
      </w:tr>
    </w:tbl>
    <w:p w14:paraId="52C5B71F" w14:textId="1F886F5D" w:rsidR="00FF0CF3" w:rsidRPr="00890AE8" w:rsidRDefault="00FF0CF3" w:rsidP="00A238EB">
      <w:pPr>
        <w:pStyle w:val="Caption"/>
        <w:tabs>
          <w:tab w:val="clear" w:pos="1021"/>
          <w:tab w:val="left" w:pos="0"/>
        </w:tabs>
        <w:ind w:left="0" w:firstLine="0"/>
        <w:jc w:val="both"/>
      </w:pPr>
      <w:r w:rsidRPr="00890AE8">
        <w:rPr>
          <w:b w:val="0"/>
          <w:sz w:val="22"/>
          <w:szCs w:val="22"/>
        </w:rPr>
        <w:t xml:space="preserve">Osim regulatornih mjera, u Hrvatskoj se provode i druge mjere energetske učinkovitosti i to prema trogodišnjim nacionalnim akcijskim planovima. Posljednji, četvrti NAPEnU pripremljen je za razdoblje od 2017. do 2019. </w:t>
      </w:r>
      <w:r w:rsidRPr="00621307">
        <w:rPr>
          <w:b w:val="0"/>
          <w:sz w:val="22"/>
          <w:szCs w:val="22"/>
        </w:rPr>
        <w:t>godine</w:t>
      </w:r>
      <w:r w:rsidR="001749F6" w:rsidRPr="00B4224E">
        <w:rPr>
          <w:b w:val="0"/>
          <w:sz w:val="22"/>
          <w:szCs w:val="22"/>
        </w:rPr>
        <w:t xml:space="preserve"> </w:t>
      </w:r>
      <w:r w:rsidR="001749F6" w:rsidRPr="00621307">
        <w:rPr>
          <w:b w:val="0"/>
          <w:sz w:val="22"/>
          <w:szCs w:val="22"/>
        </w:rPr>
        <w:t>[</w:t>
      </w:r>
      <w:r w:rsidR="003D500A">
        <w:rPr>
          <w:b w:val="0"/>
          <w:sz w:val="22"/>
          <w:szCs w:val="22"/>
        </w:rPr>
        <w:fldChar w:fldCharType="begin"/>
      </w:r>
      <w:r w:rsidR="003D500A">
        <w:rPr>
          <w:b w:val="0"/>
          <w:sz w:val="22"/>
          <w:szCs w:val="22"/>
        </w:rPr>
        <w:instrText xml:space="preserve"> REF _Ref531609660 \r \h </w:instrText>
      </w:r>
      <w:r w:rsidR="003D500A">
        <w:rPr>
          <w:b w:val="0"/>
          <w:sz w:val="22"/>
          <w:szCs w:val="22"/>
        </w:rPr>
      </w:r>
      <w:r w:rsidR="003D500A">
        <w:rPr>
          <w:b w:val="0"/>
          <w:sz w:val="22"/>
          <w:szCs w:val="22"/>
        </w:rPr>
        <w:fldChar w:fldCharType="separate"/>
      </w:r>
      <w:r w:rsidR="00E5423A">
        <w:rPr>
          <w:b w:val="0"/>
          <w:sz w:val="22"/>
          <w:szCs w:val="22"/>
        </w:rPr>
        <w:t>13</w:t>
      </w:r>
      <w:r w:rsidR="003D500A">
        <w:rPr>
          <w:b w:val="0"/>
          <w:sz w:val="22"/>
          <w:szCs w:val="22"/>
        </w:rPr>
        <w:fldChar w:fldCharType="end"/>
      </w:r>
      <w:r w:rsidR="001749F6" w:rsidRPr="00621307">
        <w:rPr>
          <w:b w:val="0"/>
          <w:sz w:val="22"/>
          <w:szCs w:val="22"/>
        </w:rPr>
        <w:t>]</w:t>
      </w:r>
      <w:r w:rsidRPr="00621307">
        <w:rPr>
          <w:b w:val="0"/>
          <w:sz w:val="22"/>
          <w:szCs w:val="22"/>
        </w:rPr>
        <w:t>.</w:t>
      </w:r>
      <w:r w:rsidRPr="00890AE8">
        <w:rPr>
          <w:b w:val="0"/>
          <w:sz w:val="22"/>
          <w:szCs w:val="22"/>
        </w:rPr>
        <w:t xml:space="preserve"> Mjere iz </w:t>
      </w:r>
      <w:r w:rsidR="00180A86" w:rsidRPr="00890AE8">
        <w:rPr>
          <w:b w:val="0"/>
          <w:sz w:val="22"/>
          <w:szCs w:val="22"/>
        </w:rPr>
        <w:t xml:space="preserve">nacrta </w:t>
      </w:r>
      <w:r w:rsidRPr="00890AE8">
        <w:rPr>
          <w:b w:val="0"/>
          <w:sz w:val="22"/>
          <w:szCs w:val="22"/>
        </w:rPr>
        <w:t>4.</w:t>
      </w:r>
      <w:r w:rsidR="009368C3" w:rsidRPr="00890AE8">
        <w:rPr>
          <w:b w:val="0"/>
          <w:sz w:val="22"/>
          <w:szCs w:val="22"/>
        </w:rPr>
        <w:t xml:space="preserve"> </w:t>
      </w:r>
      <w:r w:rsidRPr="00890AE8">
        <w:rPr>
          <w:b w:val="0"/>
          <w:sz w:val="22"/>
          <w:szCs w:val="22"/>
        </w:rPr>
        <w:t>NAPEnU koje se u trenutku izrade ovog Plana provode u Hrvatskoj prikazuje</w:t>
      </w:r>
      <w:r w:rsidRPr="00F976A8">
        <w:rPr>
          <w:b w:val="0"/>
          <w:sz w:val="22"/>
          <w:szCs w:val="22"/>
        </w:rPr>
        <w:t xml:space="preserve"> </w:t>
      </w:r>
      <w:r w:rsidR="00EF73C6" w:rsidRPr="00F976A8">
        <w:rPr>
          <w:b w:val="0"/>
          <w:sz w:val="22"/>
          <w:szCs w:val="22"/>
        </w:rPr>
        <w:fldChar w:fldCharType="begin"/>
      </w:r>
      <w:r w:rsidR="00EF73C6" w:rsidRPr="00F976A8">
        <w:rPr>
          <w:b w:val="0"/>
          <w:sz w:val="22"/>
          <w:szCs w:val="22"/>
        </w:rPr>
        <w:instrText xml:space="preserve"> REF _Ref531596836 \h </w:instrText>
      </w:r>
      <w:r w:rsidR="008400DD">
        <w:rPr>
          <w:b w:val="0"/>
          <w:sz w:val="22"/>
          <w:szCs w:val="22"/>
        </w:rPr>
        <w:instrText xml:space="preserve"> \* MERGEFORMAT </w:instrText>
      </w:r>
      <w:r w:rsidR="00EF73C6" w:rsidRPr="00F976A8">
        <w:rPr>
          <w:b w:val="0"/>
          <w:sz w:val="22"/>
          <w:szCs w:val="22"/>
        </w:rPr>
      </w:r>
      <w:r w:rsidR="00EF73C6" w:rsidRPr="00F976A8">
        <w:rPr>
          <w:b w:val="0"/>
          <w:sz w:val="22"/>
          <w:szCs w:val="22"/>
        </w:rPr>
        <w:fldChar w:fldCharType="separate"/>
      </w:r>
      <w:r w:rsidR="00E5423A" w:rsidRPr="00E5423A">
        <w:rPr>
          <w:b w:val="0"/>
          <w:sz w:val="22"/>
          <w:szCs w:val="22"/>
        </w:rPr>
        <w:t>Tablica 1</w:t>
      </w:r>
      <w:r w:rsidR="00E5423A" w:rsidRPr="00E5423A">
        <w:rPr>
          <w:b w:val="0"/>
          <w:sz w:val="22"/>
          <w:szCs w:val="22"/>
        </w:rPr>
        <w:noBreakHyphen/>
        <w:t>6</w:t>
      </w:r>
      <w:r w:rsidR="00EF73C6" w:rsidRPr="00F976A8">
        <w:rPr>
          <w:b w:val="0"/>
          <w:sz w:val="22"/>
          <w:szCs w:val="22"/>
        </w:rPr>
        <w:fldChar w:fldCharType="end"/>
      </w:r>
      <w:r w:rsidR="00EF73C6" w:rsidRPr="00F976A8">
        <w:rPr>
          <w:b w:val="0"/>
          <w:sz w:val="22"/>
          <w:szCs w:val="22"/>
        </w:rPr>
        <w:t xml:space="preserve">. </w:t>
      </w:r>
      <w:r w:rsidRPr="00890AE8">
        <w:rPr>
          <w:b w:val="0"/>
          <w:sz w:val="22"/>
          <w:szCs w:val="22"/>
        </w:rPr>
        <w:t>Radi se dominantno o mjerama financijskog poticanja mehanizmima bespovratnih sredstava ili financijskim instrumentima iz nacionalnih izvora (Fonda za zaštitu okoliša i energetsku učinkovitost) i EU izvora (Europski fond za regionalni razvoj</w:t>
      </w:r>
      <w:r w:rsidR="00400E82" w:rsidRPr="00890AE8">
        <w:rPr>
          <w:b w:val="0"/>
          <w:sz w:val="22"/>
          <w:szCs w:val="22"/>
        </w:rPr>
        <w:t xml:space="preserve">, </w:t>
      </w:r>
      <w:r w:rsidRPr="00890AE8">
        <w:rPr>
          <w:b w:val="0"/>
          <w:sz w:val="22"/>
          <w:szCs w:val="22"/>
        </w:rPr>
        <w:t>EFRR), u skladu s mjerama definiranima u Operativnom programu Konkurentnosti kohezija 2014.– 2020. (OPKK).</w:t>
      </w:r>
      <w:r w:rsidR="00482332" w:rsidRPr="00890AE8">
        <w:rPr>
          <w:b w:val="0"/>
          <w:sz w:val="22"/>
          <w:szCs w:val="22"/>
        </w:rPr>
        <w:t xml:space="preserve"> Potrebno je istaknuti da su navedene mjere također prijavljene i u</w:t>
      </w:r>
      <w:r w:rsidR="00E616C5" w:rsidRPr="00890AE8">
        <w:rPr>
          <w:b w:val="0"/>
          <w:sz w:val="22"/>
          <w:szCs w:val="22"/>
        </w:rPr>
        <w:t xml:space="preserve"> Sedmo</w:t>
      </w:r>
      <w:r w:rsidR="000A0786" w:rsidRPr="00890AE8">
        <w:rPr>
          <w:b w:val="0"/>
          <w:sz w:val="22"/>
          <w:szCs w:val="22"/>
        </w:rPr>
        <w:t>m</w:t>
      </w:r>
      <w:r w:rsidR="00E616C5" w:rsidRPr="00890AE8">
        <w:rPr>
          <w:b w:val="0"/>
          <w:sz w:val="22"/>
          <w:szCs w:val="22"/>
        </w:rPr>
        <w:t xml:space="preserve"> nacionalno</w:t>
      </w:r>
      <w:r w:rsidR="000A0786" w:rsidRPr="00890AE8">
        <w:rPr>
          <w:b w:val="0"/>
          <w:sz w:val="22"/>
          <w:szCs w:val="22"/>
        </w:rPr>
        <w:t>m</w:t>
      </w:r>
      <w:r w:rsidR="00E616C5" w:rsidRPr="00890AE8">
        <w:rPr>
          <w:b w:val="0"/>
          <w:sz w:val="22"/>
          <w:szCs w:val="22"/>
        </w:rPr>
        <w:t xml:space="preserve"> </w:t>
      </w:r>
      <w:r w:rsidR="000A0786" w:rsidRPr="00890AE8">
        <w:rPr>
          <w:b w:val="0"/>
          <w:sz w:val="22"/>
          <w:szCs w:val="22"/>
        </w:rPr>
        <w:t>izvješću</w:t>
      </w:r>
      <w:r w:rsidR="00E616C5" w:rsidRPr="00890AE8">
        <w:rPr>
          <w:b w:val="0"/>
          <w:sz w:val="22"/>
          <w:szCs w:val="22"/>
        </w:rPr>
        <w:t xml:space="preserve"> i trećem dvogodišnjem izvješ</w:t>
      </w:r>
      <w:r w:rsidR="000610C7" w:rsidRPr="00890AE8">
        <w:rPr>
          <w:b w:val="0"/>
          <w:sz w:val="22"/>
          <w:szCs w:val="22"/>
        </w:rPr>
        <w:t>ću</w:t>
      </w:r>
      <w:r w:rsidR="009A4252" w:rsidRPr="00890AE8">
        <w:rPr>
          <w:b w:val="0"/>
          <w:sz w:val="22"/>
          <w:szCs w:val="22"/>
        </w:rPr>
        <w:t xml:space="preserve"> Republike Hrvatske prema </w:t>
      </w:r>
      <w:r w:rsidR="000610C7" w:rsidRPr="00890AE8">
        <w:rPr>
          <w:b w:val="0"/>
          <w:sz w:val="22"/>
          <w:szCs w:val="22"/>
        </w:rPr>
        <w:t>O</w:t>
      </w:r>
      <w:r w:rsidR="009A4252" w:rsidRPr="00890AE8">
        <w:rPr>
          <w:b w:val="0"/>
          <w:sz w:val="22"/>
          <w:szCs w:val="22"/>
        </w:rPr>
        <w:t xml:space="preserve">kvirnoj konvenciji </w:t>
      </w:r>
      <w:r w:rsidR="000610C7" w:rsidRPr="00890AE8">
        <w:rPr>
          <w:b w:val="0"/>
          <w:sz w:val="22"/>
          <w:szCs w:val="22"/>
        </w:rPr>
        <w:t xml:space="preserve">UN-a </w:t>
      </w:r>
      <w:r w:rsidR="009A4252" w:rsidRPr="00890AE8">
        <w:rPr>
          <w:b w:val="0"/>
          <w:sz w:val="22"/>
          <w:szCs w:val="22"/>
        </w:rPr>
        <w:t xml:space="preserve">o klimatskim promjenama </w:t>
      </w:r>
      <w:r w:rsidR="00E616C5" w:rsidRPr="00890AE8">
        <w:rPr>
          <w:b w:val="0"/>
          <w:sz w:val="22"/>
          <w:szCs w:val="22"/>
        </w:rPr>
        <w:t>(UNFCCC)</w:t>
      </w:r>
      <w:r w:rsidR="00EF5587" w:rsidRPr="00890AE8">
        <w:rPr>
          <w:b w:val="0"/>
          <w:sz w:val="22"/>
          <w:szCs w:val="22"/>
        </w:rPr>
        <w:t xml:space="preserve">. Stoga su uz naziv svake mjere, dane i njihove oznake iz navedena dva dokumenta. </w:t>
      </w:r>
    </w:p>
    <w:p w14:paraId="4EEB85E8" w14:textId="50A9AC8A" w:rsidR="00EF73C6" w:rsidRPr="00F149EB" w:rsidRDefault="00EF5587" w:rsidP="00EF73C6">
      <w:pPr>
        <w:pStyle w:val="Caption"/>
      </w:pPr>
      <w:bookmarkStart w:id="71" w:name="_Ref531596836"/>
      <w:bookmarkStart w:id="72" w:name="_Toc531935326"/>
      <w:r w:rsidRPr="00F149EB">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6</w:t>
      </w:r>
      <w:r w:rsidR="00B22048">
        <w:rPr>
          <w:noProof/>
        </w:rPr>
        <w:fldChar w:fldCharType="end"/>
      </w:r>
      <w:bookmarkEnd w:id="71"/>
      <w:r w:rsidR="00A87274">
        <w:t xml:space="preserve"> </w:t>
      </w:r>
      <w:r>
        <w:t>Pregled postojećih ne-regulatornih mjera energetske učinkovitosti</w:t>
      </w:r>
      <w:r w:rsidR="006639E3">
        <w:t xml:space="preserve"> po sektorima </w:t>
      </w:r>
      <w:r w:rsidR="005977A5">
        <w:t>neposredne potrošnje</w:t>
      </w:r>
      <w:r w:rsidR="00A37D74">
        <w:t xml:space="preserve"> (bez prometa)</w:t>
      </w:r>
      <w:bookmarkEnd w:id="72"/>
      <w:r w:rsidR="00EF73C6" w:rsidRPr="00EF73C6">
        <w:t xml:space="preserve"> </w:t>
      </w:r>
    </w:p>
    <w:tbl>
      <w:tblPr>
        <w:tblStyle w:val="GridTable1Light"/>
        <w:tblW w:w="5000" w:type="pct"/>
        <w:tblLook w:val="04A0" w:firstRow="1" w:lastRow="0" w:firstColumn="1" w:lastColumn="0" w:noHBand="0" w:noVBand="1"/>
      </w:tblPr>
      <w:tblGrid>
        <w:gridCol w:w="2265"/>
        <w:gridCol w:w="2266"/>
        <w:gridCol w:w="4531"/>
      </w:tblGrid>
      <w:tr w:rsidR="00EF73C6" w:rsidRPr="00EF5587" w14:paraId="1179454F" w14:textId="77777777" w:rsidTr="00314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C7CF74A" w14:textId="77777777" w:rsidR="00EF73C6" w:rsidRPr="00EF5587" w:rsidRDefault="00EF73C6" w:rsidP="00EF73C6">
            <w:pPr>
              <w:spacing w:before="0" w:after="0" w:line="240" w:lineRule="auto"/>
              <w:rPr>
                <w:rFonts w:cs="Arial"/>
                <w:sz w:val="20"/>
                <w:szCs w:val="20"/>
              </w:rPr>
            </w:pPr>
            <w:r w:rsidRPr="00EF5587">
              <w:rPr>
                <w:rFonts w:cs="Arial"/>
                <w:sz w:val="20"/>
                <w:szCs w:val="20"/>
              </w:rPr>
              <w:t>Naziv mjere</w:t>
            </w:r>
          </w:p>
        </w:tc>
        <w:tc>
          <w:tcPr>
            <w:tcW w:w="1250" w:type="pct"/>
          </w:tcPr>
          <w:p w14:paraId="21279BD7" w14:textId="77777777" w:rsidR="00EF73C6" w:rsidRPr="00EF5587" w:rsidRDefault="00EF73C6" w:rsidP="00EF73C6">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p>
        </w:tc>
        <w:tc>
          <w:tcPr>
            <w:tcW w:w="2500" w:type="pct"/>
          </w:tcPr>
          <w:p w14:paraId="0792454D" w14:textId="77777777" w:rsidR="00EF73C6" w:rsidRPr="00EF5587" w:rsidRDefault="00EF73C6" w:rsidP="00EF73C6">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EF73C6" w:rsidRPr="00EF5587" w14:paraId="563C9581"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7464B339" w14:textId="77777777" w:rsidR="00EF73C6" w:rsidRPr="00EF5587" w:rsidRDefault="00EF73C6" w:rsidP="00EF73C6">
            <w:pPr>
              <w:spacing w:before="0" w:after="0" w:line="240" w:lineRule="auto"/>
              <w:rPr>
                <w:rFonts w:cs="Arial"/>
                <w:sz w:val="20"/>
                <w:szCs w:val="20"/>
              </w:rPr>
            </w:pPr>
            <w:r w:rsidRPr="00EF5587">
              <w:rPr>
                <w:rFonts w:cs="Arial"/>
                <w:sz w:val="20"/>
                <w:szCs w:val="20"/>
              </w:rPr>
              <w:t>Kućanstva</w:t>
            </w:r>
          </w:p>
        </w:tc>
      </w:tr>
      <w:tr w:rsidR="00EF73C6" w:rsidRPr="00EF5587" w14:paraId="31969E94"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6D40632E" w14:textId="6970F9CA" w:rsidR="00EF73C6" w:rsidRPr="00EF5587" w:rsidRDefault="00EF73C6" w:rsidP="00EF73C6">
            <w:pPr>
              <w:pStyle w:val="Default"/>
              <w:rPr>
                <w:sz w:val="20"/>
                <w:szCs w:val="20"/>
              </w:rPr>
            </w:pPr>
            <w:r w:rsidRPr="00EF5587">
              <w:rPr>
                <w:b w:val="0"/>
                <w:bCs w:val="0"/>
                <w:sz w:val="20"/>
                <w:szCs w:val="20"/>
              </w:rPr>
              <w:t xml:space="preserve">Poticanje integralne obnove višestambenih zgrada </w:t>
            </w:r>
            <w:r w:rsidRPr="00736D7C">
              <w:rPr>
                <w:b w:val="0"/>
                <w:bCs w:val="0"/>
                <w:sz w:val="20"/>
                <w:szCs w:val="20"/>
              </w:rPr>
              <w:t>(B.3</w:t>
            </w:r>
            <w:r w:rsidR="003D500A">
              <w:rPr>
                <w:b w:val="0"/>
                <w:bCs w:val="0"/>
                <w:sz w:val="20"/>
                <w:szCs w:val="20"/>
              </w:rPr>
              <w:t xml:space="preserve"> </w:t>
            </w:r>
            <w:r w:rsidR="003D500A">
              <w:rPr>
                <w:b w:val="0"/>
                <w:sz w:val="20"/>
              </w:rPr>
              <w:t>[</w:t>
            </w:r>
            <w:r w:rsidR="003D500A">
              <w:rPr>
                <w:sz w:val="20"/>
              </w:rPr>
              <w:fldChar w:fldCharType="begin"/>
            </w:r>
            <w:r w:rsidR="003D500A">
              <w:rPr>
                <w:b w:val="0"/>
                <w:sz w:val="20"/>
              </w:rPr>
              <w:instrText xml:space="preserve"> REF _Ref531609660 \r \h </w:instrText>
            </w:r>
            <w:r w:rsidR="003D500A">
              <w:rPr>
                <w:sz w:val="20"/>
              </w:rPr>
            </w:r>
            <w:r w:rsidR="003D500A">
              <w:rPr>
                <w:sz w:val="20"/>
              </w:rPr>
              <w:fldChar w:fldCharType="separate"/>
            </w:r>
            <w:r w:rsidR="00E5423A">
              <w:rPr>
                <w:b w:val="0"/>
                <w:sz w:val="20"/>
              </w:rPr>
              <w:t>13</w:t>
            </w:r>
            <w:r w:rsidR="003D500A">
              <w:rPr>
                <w:sz w:val="20"/>
              </w:rPr>
              <w:fldChar w:fldCharType="end"/>
            </w:r>
            <w:r w:rsidR="003D500A">
              <w:rPr>
                <w:b w:val="0"/>
                <w:sz w:val="20"/>
              </w:rPr>
              <w:t>]</w:t>
            </w:r>
            <w:r w:rsidRPr="00736D7C">
              <w:rPr>
                <w:b w:val="0"/>
                <w:bCs w:val="0"/>
                <w:sz w:val="20"/>
                <w:szCs w:val="20"/>
              </w:rPr>
              <w:t>; MEN-2</w:t>
            </w:r>
            <w:r w:rsidR="003D500A">
              <w:rPr>
                <w:b w:val="0"/>
                <w:bCs w:val="0"/>
                <w:sz w:val="20"/>
                <w:szCs w:val="20"/>
              </w:rPr>
              <w:t xml:space="preserve"> </w:t>
            </w:r>
            <w:r w:rsidR="003D500A">
              <w:rPr>
                <w:b w:val="0"/>
                <w:sz w:val="20"/>
              </w:rPr>
              <w:t>[</w:t>
            </w:r>
            <w:r w:rsidR="003D500A">
              <w:rPr>
                <w:sz w:val="20"/>
              </w:rPr>
              <w:fldChar w:fldCharType="begin"/>
            </w:r>
            <w:r w:rsidR="003D500A">
              <w:rPr>
                <w:b w:val="0"/>
                <w:sz w:val="20"/>
              </w:rPr>
              <w:instrText xml:space="preserve"> REF _Ref531604343 \r \h </w:instrText>
            </w:r>
            <w:r w:rsidR="003D500A">
              <w:rPr>
                <w:sz w:val="20"/>
              </w:rPr>
            </w:r>
            <w:r w:rsidR="003D500A">
              <w:rPr>
                <w:sz w:val="20"/>
              </w:rPr>
              <w:fldChar w:fldCharType="separate"/>
            </w:r>
            <w:r w:rsidR="00E5423A">
              <w:rPr>
                <w:b w:val="0"/>
                <w:sz w:val="20"/>
              </w:rPr>
              <w:t>8</w:t>
            </w:r>
            <w:r w:rsidR="003D500A">
              <w:rPr>
                <w:sz w:val="20"/>
              </w:rPr>
              <w:fldChar w:fldCharType="end"/>
            </w:r>
            <w:r w:rsidR="003D500A">
              <w:rPr>
                <w:b w:val="0"/>
                <w:sz w:val="20"/>
              </w:rPr>
              <w:t>]</w:t>
            </w:r>
            <w:r w:rsidRPr="00736D7C">
              <w:rPr>
                <w:b w:val="0"/>
                <w:bCs w:val="0"/>
                <w:sz w:val="20"/>
                <w:szCs w:val="20"/>
              </w:rPr>
              <w:t>)</w:t>
            </w:r>
          </w:p>
        </w:tc>
        <w:tc>
          <w:tcPr>
            <w:tcW w:w="1250" w:type="pct"/>
          </w:tcPr>
          <w:p w14:paraId="5A29DC70"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Bespovratna sredstva</w:t>
            </w:r>
          </w:p>
        </w:tc>
        <w:tc>
          <w:tcPr>
            <w:tcW w:w="2500" w:type="pct"/>
          </w:tcPr>
          <w:p w14:paraId="12FA90ED" w14:textId="35CBF01D" w:rsidR="00EF73C6" w:rsidRPr="0031468F" w:rsidRDefault="0084539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Program se u razdoblju </w:t>
            </w:r>
            <w:r w:rsidR="00A8751A">
              <w:rPr>
                <w:sz w:val="20"/>
                <w:szCs w:val="20"/>
              </w:rPr>
              <w:t>o</w:t>
            </w:r>
            <w:r>
              <w:rPr>
                <w:sz w:val="20"/>
                <w:szCs w:val="20"/>
              </w:rPr>
              <w:t>d 2014. do 2016. provodio uz nacionalna sredstva Fonda za zaštitu okoliša i energetsku učinkovitost; Krajem 2016. godine MGIPU je raspisao poziv prema kojemu je dodijeljeno 560 milijuna kn za energetsku obnovu 586 zgrada; pretpostavlja se da će se svi projekti realizirati do kraja 2019. godine; nije poznato hoće li se shema nastaviti</w:t>
            </w:r>
          </w:p>
        </w:tc>
      </w:tr>
      <w:tr w:rsidR="00EF73C6" w:rsidRPr="00EF5587" w14:paraId="238768FE"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7A4E5C5E" w14:textId="26D9772A" w:rsidR="00EF73C6" w:rsidRPr="00EF5587" w:rsidRDefault="00EF73C6" w:rsidP="00EF73C6">
            <w:pPr>
              <w:pStyle w:val="Default"/>
              <w:rPr>
                <w:sz w:val="20"/>
                <w:szCs w:val="20"/>
              </w:rPr>
            </w:pPr>
            <w:r w:rsidRPr="00EF5587">
              <w:rPr>
                <w:b w:val="0"/>
                <w:bCs w:val="0"/>
                <w:sz w:val="20"/>
                <w:szCs w:val="20"/>
              </w:rPr>
              <w:t xml:space="preserve">Program energetske obnove obiteljskih kuća 2014.-2020. </w:t>
            </w:r>
            <w:r w:rsidRPr="00B73AF5">
              <w:rPr>
                <w:b w:val="0"/>
                <w:bCs w:val="0"/>
                <w:sz w:val="20"/>
                <w:szCs w:val="20"/>
              </w:rPr>
              <w:t>(B.5</w:t>
            </w:r>
            <w:r w:rsidR="008400DD">
              <w:rPr>
                <w:b w:val="0"/>
                <w:bCs w:val="0"/>
                <w:sz w:val="20"/>
                <w:szCs w:val="20"/>
              </w:rPr>
              <w:t xml:space="preserve"> [12]</w:t>
            </w:r>
            <w:r w:rsidRPr="00B73AF5">
              <w:rPr>
                <w:b w:val="0"/>
                <w:bCs w:val="0"/>
                <w:sz w:val="20"/>
                <w:szCs w:val="20"/>
              </w:rPr>
              <w:t>; MEN-4</w:t>
            </w:r>
            <w:r w:rsidR="008400DD">
              <w:rPr>
                <w:b w:val="0"/>
                <w:bCs w:val="0"/>
                <w:sz w:val="20"/>
                <w:szCs w:val="20"/>
              </w:rPr>
              <w:t xml:space="preserve"> [7]</w:t>
            </w:r>
            <w:r w:rsidRPr="00B73AF5">
              <w:rPr>
                <w:b w:val="0"/>
                <w:bCs w:val="0"/>
                <w:sz w:val="20"/>
                <w:szCs w:val="20"/>
              </w:rPr>
              <w:t>)</w:t>
            </w:r>
          </w:p>
        </w:tc>
        <w:tc>
          <w:tcPr>
            <w:tcW w:w="1250" w:type="pct"/>
          </w:tcPr>
          <w:p w14:paraId="2B3A82BA"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Bespovratna sredstva</w:t>
            </w:r>
          </w:p>
        </w:tc>
        <w:tc>
          <w:tcPr>
            <w:tcW w:w="2500" w:type="pct"/>
          </w:tcPr>
          <w:p w14:paraId="7EB5E7B8" w14:textId="59162591" w:rsidR="00EF73C6" w:rsidRPr="0031468F" w:rsidRDefault="0084539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se u razdoblju pd 2014. do 2016. provodio uz nacionalna sredstva Fonda za zaštitu okoliša i energetsku učinkovitost; Raspoloživa sredstva iz EFRR prema OPKK su 228 milijuna kn – predviđa se iskorištavanje ovih sredstava do kraja 2023. godine; početak provedbe mjere očekuje se u 2019.</w:t>
            </w:r>
          </w:p>
        </w:tc>
      </w:tr>
      <w:tr w:rsidR="00EF73C6" w:rsidRPr="00EF5587" w14:paraId="7EF4E4C2"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1CD3A886" w14:textId="77777777" w:rsidR="00EF73C6" w:rsidRPr="00CB7357" w:rsidRDefault="00EF73C6" w:rsidP="00EF73C6">
            <w:pPr>
              <w:spacing w:before="0" w:after="0" w:line="240" w:lineRule="auto"/>
              <w:rPr>
                <w:rFonts w:cs="Arial"/>
                <w:sz w:val="20"/>
                <w:szCs w:val="20"/>
              </w:rPr>
            </w:pPr>
            <w:r w:rsidRPr="00CB7357">
              <w:rPr>
                <w:rFonts w:cs="Arial"/>
                <w:sz w:val="20"/>
                <w:szCs w:val="20"/>
              </w:rPr>
              <w:t>Javni sektor</w:t>
            </w:r>
          </w:p>
        </w:tc>
      </w:tr>
      <w:tr w:rsidR="00EF73C6" w:rsidRPr="00EF5587" w14:paraId="1B343983"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3F8DCA4" w14:textId="107077D7" w:rsidR="00EF73C6" w:rsidRPr="00EF5587" w:rsidRDefault="00EF73C6" w:rsidP="00EF73C6">
            <w:pPr>
              <w:pStyle w:val="Default"/>
              <w:rPr>
                <w:sz w:val="20"/>
                <w:szCs w:val="20"/>
              </w:rPr>
            </w:pPr>
            <w:r w:rsidRPr="00EF5587">
              <w:rPr>
                <w:b w:val="0"/>
                <w:bCs w:val="0"/>
                <w:sz w:val="20"/>
                <w:szCs w:val="20"/>
              </w:rPr>
              <w:t>Program energetske obnove zgrada javnog sektora 201</w:t>
            </w:r>
            <w:r>
              <w:rPr>
                <w:b w:val="0"/>
                <w:bCs w:val="0"/>
                <w:sz w:val="20"/>
                <w:szCs w:val="20"/>
              </w:rPr>
              <w:t>4</w:t>
            </w:r>
            <w:r w:rsidRPr="00EF5587">
              <w:rPr>
                <w:b w:val="0"/>
                <w:bCs w:val="0"/>
                <w:sz w:val="20"/>
                <w:szCs w:val="20"/>
              </w:rPr>
              <w:t>.-20</w:t>
            </w:r>
            <w:r>
              <w:rPr>
                <w:b w:val="0"/>
                <w:bCs w:val="0"/>
                <w:sz w:val="20"/>
                <w:szCs w:val="20"/>
              </w:rPr>
              <w:t>15</w:t>
            </w:r>
            <w:r w:rsidRPr="00EF5587">
              <w:rPr>
                <w:b w:val="0"/>
                <w:bCs w:val="0"/>
                <w:sz w:val="20"/>
                <w:szCs w:val="20"/>
              </w:rPr>
              <w:t>.</w:t>
            </w:r>
            <w:r>
              <w:rPr>
                <w:b w:val="0"/>
                <w:bCs w:val="0"/>
                <w:sz w:val="20"/>
                <w:szCs w:val="20"/>
              </w:rPr>
              <w:t xml:space="preserve"> (P.1</w:t>
            </w:r>
            <w:r w:rsidR="008400DD">
              <w:rPr>
                <w:b w:val="0"/>
                <w:bCs w:val="0"/>
                <w:sz w:val="20"/>
                <w:szCs w:val="20"/>
              </w:rPr>
              <w:t xml:space="preserve"> [12]</w:t>
            </w:r>
            <w:r>
              <w:rPr>
                <w:b w:val="0"/>
                <w:bCs w:val="0"/>
                <w:sz w:val="20"/>
                <w:szCs w:val="20"/>
              </w:rPr>
              <w:t>)</w:t>
            </w:r>
          </w:p>
        </w:tc>
        <w:tc>
          <w:tcPr>
            <w:tcW w:w="1250" w:type="pct"/>
          </w:tcPr>
          <w:p w14:paraId="4D354449"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ESCO model</w:t>
            </w:r>
          </w:p>
          <w:p w14:paraId="0F89940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Bespovratna sredstva</w:t>
            </w:r>
          </w:p>
        </w:tc>
        <w:tc>
          <w:tcPr>
            <w:tcW w:w="2500" w:type="pct"/>
          </w:tcPr>
          <w:p w14:paraId="2C001BB8" w14:textId="77777777"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Program se provodi ugovaranjem energetske usluge u zgradama javnog sektora, kojega u ime i za račun javnog sektora provodi Agencija za pravni promet i posredovanje nekretninama (APN), a Fond za zaštitu okoliša i energetsku učinkovitost (FZOEU) osigurava bespovratna sredstva do 40% opravdanih troškova energetske obnove.</w:t>
            </w:r>
          </w:p>
        </w:tc>
      </w:tr>
      <w:tr w:rsidR="00EF73C6" w:rsidRPr="00EF5587" w14:paraId="48FC47DB"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D8F1DFF" w14:textId="35A21470" w:rsidR="00EF73C6" w:rsidRPr="00EF5587" w:rsidRDefault="00EF73C6" w:rsidP="00EF73C6">
            <w:pPr>
              <w:pStyle w:val="Default"/>
              <w:rPr>
                <w:sz w:val="20"/>
                <w:szCs w:val="20"/>
              </w:rPr>
            </w:pPr>
            <w:r w:rsidRPr="00EF5587">
              <w:rPr>
                <w:b w:val="0"/>
                <w:bCs w:val="0"/>
                <w:sz w:val="20"/>
                <w:szCs w:val="20"/>
              </w:rPr>
              <w:t xml:space="preserve">Program energetske obnove zgrada javnog sektora 2016.-2020. </w:t>
            </w:r>
            <w:r w:rsidRPr="005023D2">
              <w:rPr>
                <w:b w:val="0"/>
                <w:bCs w:val="0"/>
                <w:sz w:val="20"/>
                <w:szCs w:val="20"/>
              </w:rPr>
              <w:t>(P.2</w:t>
            </w:r>
            <w:r w:rsidR="008400DD">
              <w:rPr>
                <w:b w:val="0"/>
                <w:bCs w:val="0"/>
                <w:sz w:val="20"/>
                <w:szCs w:val="20"/>
              </w:rPr>
              <w:t xml:space="preserve"> [12]</w:t>
            </w:r>
            <w:r w:rsidRPr="005023D2">
              <w:rPr>
                <w:b w:val="0"/>
                <w:bCs w:val="0"/>
                <w:sz w:val="20"/>
                <w:szCs w:val="20"/>
              </w:rPr>
              <w:t>; MEN-5</w:t>
            </w:r>
            <w:r w:rsidR="008400DD">
              <w:rPr>
                <w:b w:val="0"/>
                <w:bCs w:val="0"/>
                <w:sz w:val="20"/>
                <w:szCs w:val="20"/>
              </w:rPr>
              <w:t xml:space="preserve"> [7]</w:t>
            </w:r>
            <w:r w:rsidRPr="005023D2">
              <w:rPr>
                <w:b w:val="0"/>
                <w:bCs w:val="0"/>
                <w:sz w:val="20"/>
                <w:szCs w:val="20"/>
              </w:rPr>
              <w:t>)</w:t>
            </w:r>
          </w:p>
        </w:tc>
        <w:tc>
          <w:tcPr>
            <w:tcW w:w="1250" w:type="pct"/>
          </w:tcPr>
          <w:p w14:paraId="367E9D73"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Bespovratna sredstva</w:t>
            </w:r>
          </w:p>
          <w:p w14:paraId="326B082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4F240BDE"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Energetska usluga</w:t>
            </w:r>
          </w:p>
        </w:tc>
        <w:tc>
          <w:tcPr>
            <w:tcW w:w="2500" w:type="pct"/>
          </w:tcPr>
          <w:p w14:paraId="34E825BB"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Raspoloživa sredstva iz EFRR prema OPKK su 211 milijuna EUR za energetsku obnovu zgrada javnog sektora; predviđa se da će realizacija projekata u sklopu ovog programa završiti do kraja 2023. godine</w:t>
            </w:r>
          </w:p>
        </w:tc>
      </w:tr>
      <w:tr w:rsidR="00EF73C6" w:rsidRPr="00EF5587" w14:paraId="31CDCD70"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15D7CFF" w14:textId="1DE33BC2" w:rsidR="00EF73C6" w:rsidRPr="00EF5587" w:rsidRDefault="00EF73C6" w:rsidP="00EF73C6">
            <w:pPr>
              <w:pStyle w:val="Default"/>
              <w:rPr>
                <w:b w:val="0"/>
                <w:bCs w:val="0"/>
                <w:sz w:val="20"/>
                <w:szCs w:val="20"/>
              </w:rPr>
            </w:pPr>
            <w:r w:rsidRPr="00EF5587">
              <w:rPr>
                <w:b w:val="0"/>
                <w:bCs w:val="0"/>
                <w:sz w:val="20"/>
                <w:szCs w:val="20"/>
              </w:rPr>
              <w:t>Sustavno gospodarenje energijom u javnom sektoru</w:t>
            </w:r>
            <w:r w:rsidRPr="005023D2">
              <w:rPr>
                <w:rFonts w:cs="Times New Roman"/>
                <w:b w:val="0"/>
                <w:bCs w:val="0"/>
                <w:color w:val="auto"/>
                <w:sz w:val="22"/>
                <w:szCs w:val="22"/>
              </w:rPr>
              <w:t xml:space="preserve"> </w:t>
            </w:r>
            <w:r w:rsidRPr="005023D2">
              <w:rPr>
                <w:b w:val="0"/>
                <w:bCs w:val="0"/>
                <w:sz w:val="20"/>
                <w:szCs w:val="20"/>
              </w:rPr>
              <w:t>(P.3</w:t>
            </w:r>
            <w:r w:rsidR="008400DD">
              <w:rPr>
                <w:b w:val="0"/>
                <w:bCs w:val="0"/>
                <w:sz w:val="20"/>
                <w:szCs w:val="20"/>
              </w:rPr>
              <w:t xml:space="preserve"> [12]</w:t>
            </w:r>
            <w:r w:rsidRPr="005023D2">
              <w:rPr>
                <w:b w:val="0"/>
                <w:bCs w:val="0"/>
                <w:sz w:val="20"/>
                <w:szCs w:val="20"/>
              </w:rPr>
              <w:t>; MEN-6</w:t>
            </w:r>
            <w:r w:rsidR="008400DD">
              <w:rPr>
                <w:b w:val="0"/>
                <w:bCs w:val="0"/>
                <w:sz w:val="20"/>
                <w:szCs w:val="20"/>
              </w:rPr>
              <w:t xml:space="preserve"> [7]</w:t>
            </w:r>
            <w:r w:rsidRPr="005023D2">
              <w:rPr>
                <w:b w:val="0"/>
                <w:bCs w:val="0"/>
                <w:sz w:val="20"/>
                <w:szCs w:val="20"/>
              </w:rPr>
              <w:t>)</w:t>
            </w:r>
          </w:p>
        </w:tc>
        <w:tc>
          <w:tcPr>
            <w:tcW w:w="1250" w:type="pct"/>
          </w:tcPr>
          <w:p w14:paraId="4A90ED58"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Informativne mjere</w:t>
            </w:r>
          </w:p>
        </w:tc>
        <w:tc>
          <w:tcPr>
            <w:tcW w:w="2500" w:type="pct"/>
          </w:tcPr>
          <w:p w14:paraId="34EE3757" w14:textId="77777777"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Program provodi APN, a temelji se na obvezi javnog sektora za sustavno gospodarenje energijom; uštede u ovom programu posljedica su organizacijskih i informativnih mjera</w:t>
            </w:r>
          </w:p>
        </w:tc>
      </w:tr>
      <w:tr w:rsidR="00EF73C6" w:rsidRPr="00EF5587" w14:paraId="7487CF01"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F4F0A71" w14:textId="0F6F22B9" w:rsidR="00EF73C6" w:rsidRPr="00EF5587" w:rsidRDefault="00EF73C6" w:rsidP="00EF73C6">
            <w:pPr>
              <w:pStyle w:val="Default"/>
              <w:rPr>
                <w:b w:val="0"/>
                <w:bCs w:val="0"/>
                <w:sz w:val="20"/>
                <w:szCs w:val="20"/>
              </w:rPr>
            </w:pPr>
            <w:r w:rsidRPr="00EF5587">
              <w:rPr>
                <w:b w:val="0"/>
                <w:bCs w:val="0"/>
                <w:sz w:val="20"/>
                <w:szCs w:val="20"/>
              </w:rPr>
              <w:t>Program „Energetski učinkovita javna rasvjeta“</w:t>
            </w:r>
            <w:r>
              <w:rPr>
                <w:b w:val="0"/>
                <w:bCs w:val="0"/>
                <w:sz w:val="20"/>
                <w:szCs w:val="20"/>
              </w:rPr>
              <w:t xml:space="preserve"> </w:t>
            </w:r>
            <w:r w:rsidRPr="00D12928">
              <w:rPr>
                <w:b w:val="0"/>
                <w:bCs w:val="0"/>
                <w:sz w:val="20"/>
                <w:szCs w:val="20"/>
              </w:rPr>
              <w:t>(P.4</w:t>
            </w:r>
            <w:r w:rsidR="008400DD">
              <w:rPr>
                <w:b w:val="0"/>
                <w:bCs w:val="0"/>
                <w:sz w:val="20"/>
                <w:szCs w:val="20"/>
              </w:rPr>
              <w:t xml:space="preserve"> [12]</w:t>
            </w:r>
            <w:r w:rsidRPr="00D12928">
              <w:rPr>
                <w:b w:val="0"/>
                <w:bCs w:val="0"/>
                <w:sz w:val="20"/>
                <w:szCs w:val="20"/>
              </w:rPr>
              <w:t>; MEN-13</w:t>
            </w:r>
            <w:r w:rsidR="008400DD">
              <w:rPr>
                <w:b w:val="0"/>
                <w:bCs w:val="0"/>
                <w:sz w:val="20"/>
                <w:szCs w:val="20"/>
              </w:rPr>
              <w:t xml:space="preserve"> [7]</w:t>
            </w:r>
            <w:r w:rsidRPr="00D12928">
              <w:rPr>
                <w:b w:val="0"/>
                <w:bCs w:val="0"/>
                <w:sz w:val="20"/>
                <w:szCs w:val="20"/>
              </w:rPr>
              <w:t>)</w:t>
            </w:r>
          </w:p>
        </w:tc>
        <w:tc>
          <w:tcPr>
            <w:tcW w:w="1250" w:type="pct"/>
          </w:tcPr>
          <w:p w14:paraId="56507933"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Povol</w:t>
            </w:r>
            <w:r w:rsidRPr="0031468F">
              <w:rPr>
                <w:sz w:val="20"/>
                <w:szCs w:val="20"/>
              </w:rPr>
              <w:t>jni krediti</w:t>
            </w:r>
          </w:p>
        </w:tc>
        <w:tc>
          <w:tcPr>
            <w:tcW w:w="2500" w:type="pct"/>
          </w:tcPr>
          <w:p w14:paraId="684685CC" w14:textId="77777777"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Raspoloživa sredstva iz EFRR prema OPKK su 150 milijuna kn (20 milijuna EUR) za energetsku obnovu sustava javne rasvjete; program se provodi kreditiranjem kojeg osigurava HBOR; predviđa se da će realizacija projekata u sklopu ovog programa završiti do kraja 2023. godine</w:t>
            </w:r>
          </w:p>
        </w:tc>
      </w:tr>
      <w:tr w:rsidR="00EF73C6" w:rsidRPr="00DD7F26" w14:paraId="6BBC7FE7"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91D48C9" w14:textId="3C5F48F0" w:rsidR="00EF73C6" w:rsidRPr="00DD7F26" w:rsidRDefault="00EF73C6" w:rsidP="00EF73C6">
            <w:pPr>
              <w:pStyle w:val="Default"/>
              <w:rPr>
                <w:b w:val="0"/>
                <w:sz w:val="20"/>
                <w:szCs w:val="20"/>
              </w:rPr>
            </w:pPr>
            <w:r w:rsidRPr="00DD7F26">
              <w:rPr>
                <w:b w:val="0"/>
                <w:sz w:val="20"/>
                <w:szCs w:val="20"/>
              </w:rPr>
              <w:t>“Zelena” javna nabava (P.5</w:t>
            </w:r>
            <w:r w:rsidR="008400DD">
              <w:rPr>
                <w:b w:val="0"/>
                <w:sz w:val="20"/>
                <w:szCs w:val="20"/>
              </w:rPr>
              <w:t xml:space="preserve"> [12]</w:t>
            </w:r>
            <w:r w:rsidRPr="00DD7F26">
              <w:rPr>
                <w:b w:val="0"/>
                <w:sz w:val="20"/>
                <w:szCs w:val="20"/>
              </w:rPr>
              <w:t>; MEN-14</w:t>
            </w:r>
            <w:r w:rsidR="008400DD">
              <w:rPr>
                <w:b w:val="0"/>
                <w:sz w:val="20"/>
                <w:szCs w:val="20"/>
              </w:rPr>
              <w:t xml:space="preserve"> [7]</w:t>
            </w:r>
            <w:r w:rsidRPr="00DD7F26">
              <w:rPr>
                <w:b w:val="0"/>
                <w:sz w:val="20"/>
                <w:szCs w:val="20"/>
              </w:rPr>
              <w:t>)</w:t>
            </w:r>
          </w:p>
        </w:tc>
        <w:tc>
          <w:tcPr>
            <w:tcW w:w="1250" w:type="pct"/>
          </w:tcPr>
          <w:p w14:paraId="137DFE65"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Dobrovoljni sporazumi i kooperativni instrumenti</w:t>
            </w:r>
          </w:p>
        </w:tc>
        <w:tc>
          <w:tcPr>
            <w:tcW w:w="2500" w:type="pct"/>
          </w:tcPr>
          <w:p w14:paraId="63952515" w14:textId="1CBECC8E"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Izrada i provedba n</w:t>
            </w:r>
            <w:r w:rsidRPr="00AB11E8">
              <w:rPr>
                <w:rFonts w:cs="Arial"/>
                <w:bCs/>
                <w:sz w:val="20"/>
                <w:szCs w:val="20"/>
              </w:rPr>
              <w:t>acionalni</w:t>
            </w:r>
            <w:r w:rsidR="00C651D3">
              <w:rPr>
                <w:rFonts w:cs="Arial"/>
                <w:bCs/>
                <w:sz w:val="20"/>
                <w:szCs w:val="20"/>
              </w:rPr>
              <w:t>h</w:t>
            </w:r>
            <w:r w:rsidRPr="00AB11E8">
              <w:rPr>
                <w:rFonts w:cs="Arial"/>
                <w:bCs/>
                <w:sz w:val="20"/>
                <w:szCs w:val="20"/>
              </w:rPr>
              <w:t xml:space="preserve"> akcijski</w:t>
            </w:r>
            <w:r>
              <w:rPr>
                <w:rFonts w:cs="Arial"/>
                <w:bCs/>
                <w:sz w:val="20"/>
                <w:szCs w:val="20"/>
              </w:rPr>
              <w:t>h</w:t>
            </w:r>
            <w:r w:rsidRPr="00AB11E8">
              <w:rPr>
                <w:rFonts w:cs="Arial"/>
                <w:bCs/>
                <w:sz w:val="20"/>
                <w:szCs w:val="20"/>
              </w:rPr>
              <w:t xml:space="preserve"> plan</w:t>
            </w:r>
            <w:r>
              <w:rPr>
                <w:rFonts w:cs="Arial"/>
                <w:bCs/>
                <w:sz w:val="20"/>
                <w:szCs w:val="20"/>
              </w:rPr>
              <w:t>ova</w:t>
            </w:r>
            <w:r w:rsidRPr="00AB11E8">
              <w:rPr>
                <w:rFonts w:cs="Arial"/>
                <w:bCs/>
                <w:sz w:val="20"/>
                <w:szCs w:val="20"/>
              </w:rPr>
              <w:t xml:space="preserve"> za </w:t>
            </w:r>
            <w:r>
              <w:rPr>
                <w:rFonts w:cs="Arial"/>
                <w:bCs/>
                <w:sz w:val="20"/>
                <w:szCs w:val="20"/>
              </w:rPr>
              <w:t>z</w:t>
            </w:r>
            <w:r w:rsidRPr="00AB11E8">
              <w:rPr>
                <w:rFonts w:cs="Arial"/>
                <w:bCs/>
                <w:sz w:val="20"/>
                <w:szCs w:val="20"/>
              </w:rPr>
              <w:t>elenu javnu</w:t>
            </w:r>
            <w:r>
              <w:rPr>
                <w:rFonts w:cs="Arial"/>
                <w:bCs/>
                <w:sz w:val="20"/>
                <w:szCs w:val="20"/>
              </w:rPr>
              <w:t xml:space="preserve"> nabavu s ciljem </w:t>
            </w:r>
            <w:r w:rsidRPr="00590FEB">
              <w:rPr>
                <w:rFonts w:cs="Arial"/>
                <w:bCs/>
                <w:sz w:val="20"/>
                <w:szCs w:val="20"/>
              </w:rPr>
              <w:t xml:space="preserve">da </w:t>
            </w:r>
            <w:r>
              <w:rPr>
                <w:rFonts w:cs="Arial"/>
                <w:bCs/>
                <w:sz w:val="20"/>
                <w:szCs w:val="20"/>
              </w:rPr>
              <w:t xml:space="preserve">u </w:t>
            </w:r>
            <w:r w:rsidRPr="00590FEB">
              <w:rPr>
                <w:rFonts w:cs="Arial"/>
                <w:bCs/>
                <w:sz w:val="20"/>
                <w:szCs w:val="20"/>
              </w:rPr>
              <w:t>50% provedenih postupaka javne nabave bud</w:t>
            </w:r>
            <w:r>
              <w:rPr>
                <w:rFonts w:cs="Arial"/>
                <w:bCs/>
                <w:sz w:val="20"/>
                <w:szCs w:val="20"/>
              </w:rPr>
              <w:t>u</w:t>
            </w:r>
            <w:r w:rsidRPr="00590FEB">
              <w:rPr>
                <w:rFonts w:cs="Arial"/>
                <w:bCs/>
                <w:sz w:val="20"/>
                <w:szCs w:val="20"/>
              </w:rPr>
              <w:t xml:space="preserve"> prim</w:t>
            </w:r>
            <w:r w:rsidR="00C651D3">
              <w:rPr>
                <w:rFonts w:cs="Arial"/>
                <w:bCs/>
                <w:sz w:val="20"/>
                <w:szCs w:val="20"/>
              </w:rPr>
              <w:t>i</w:t>
            </w:r>
            <w:r w:rsidRPr="00590FEB">
              <w:rPr>
                <w:rFonts w:cs="Arial"/>
                <w:bCs/>
                <w:sz w:val="20"/>
                <w:szCs w:val="20"/>
              </w:rPr>
              <w:t>jen</w:t>
            </w:r>
            <w:r>
              <w:rPr>
                <w:rFonts w:cs="Arial"/>
                <w:bCs/>
                <w:sz w:val="20"/>
                <w:szCs w:val="20"/>
              </w:rPr>
              <w:t xml:space="preserve">jena </w:t>
            </w:r>
            <w:r w:rsidRPr="00590FEB">
              <w:rPr>
                <w:rFonts w:cs="Arial"/>
                <w:bCs/>
                <w:sz w:val="20"/>
                <w:szCs w:val="20"/>
              </w:rPr>
              <w:t>mjerila zelene javne nabave do 2020. godine</w:t>
            </w:r>
          </w:p>
        </w:tc>
      </w:tr>
      <w:tr w:rsidR="00EF73C6" w:rsidRPr="00DD7F26" w14:paraId="0A02A893"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3983A2A0" w14:textId="77777777" w:rsidR="00EF73C6" w:rsidRPr="00DD7F26" w:rsidRDefault="00EF73C6" w:rsidP="00EF73C6">
            <w:pPr>
              <w:spacing w:before="0" w:after="0" w:line="240" w:lineRule="auto"/>
              <w:rPr>
                <w:rFonts w:cs="Arial"/>
                <w:sz w:val="20"/>
                <w:szCs w:val="20"/>
              </w:rPr>
            </w:pPr>
            <w:r w:rsidRPr="00DD7F26">
              <w:rPr>
                <w:rFonts w:cs="Arial"/>
                <w:sz w:val="20"/>
                <w:szCs w:val="20"/>
              </w:rPr>
              <w:t>Komercijalni uslužni sektor</w:t>
            </w:r>
          </w:p>
        </w:tc>
      </w:tr>
      <w:tr w:rsidR="00EF73C6" w:rsidRPr="00EF5587" w14:paraId="6AEBAA3E"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2309B7B7" w14:textId="6FF5185E" w:rsidR="00EF73C6" w:rsidRPr="00EF5587" w:rsidRDefault="00EF73C6" w:rsidP="00EF73C6">
            <w:pPr>
              <w:pStyle w:val="Default"/>
              <w:jc w:val="both"/>
              <w:rPr>
                <w:sz w:val="20"/>
                <w:szCs w:val="20"/>
              </w:rPr>
            </w:pPr>
            <w:r w:rsidRPr="00EF5587">
              <w:rPr>
                <w:b w:val="0"/>
                <w:bCs w:val="0"/>
                <w:sz w:val="20"/>
                <w:szCs w:val="20"/>
              </w:rPr>
              <w:t xml:space="preserve">Povećanje energetske učinkovitosti i korištenja OIE u komercijalnom uslužnom sektoru (turizam i trgovina) </w:t>
            </w:r>
            <w:r w:rsidRPr="00736D7C">
              <w:rPr>
                <w:b w:val="0"/>
                <w:bCs w:val="0"/>
                <w:sz w:val="20"/>
                <w:szCs w:val="20"/>
              </w:rPr>
              <w:t>(B.4</w:t>
            </w:r>
            <w:r w:rsidR="00F976A8">
              <w:rPr>
                <w:b w:val="0"/>
                <w:bCs w:val="0"/>
                <w:sz w:val="20"/>
                <w:szCs w:val="20"/>
              </w:rPr>
              <w:t xml:space="preserve"> [12]</w:t>
            </w:r>
            <w:r w:rsidRPr="00736D7C">
              <w:rPr>
                <w:b w:val="0"/>
                <w:bCs w:val="0"/>
                <w:sz w:val="20"/>
                <w:szCs w:val="20"/>
              </w:rPr>
              <w:t>; MEN-3</w:t>
            </w:r>
            <w:r w:rsidR="00F976A8">
              <w:rPr>
                <w:b w:val="0"/>
                <w:bCs w:val="0"/>
                <w:sz w:val="20"/>
                <w:szCs w:val="20"/>
              </w:rPr>
              <w:t xml:space="preserve"> [7]</w:t>
            </w:r>
            <w:r w:rsidRPr="00736D7C">
              <w:rPr>
                <w:b w:val="0"/>
                <w:bCs w:val="0"/>
                <w:sz w:val="20"/>
                <w:szCs w:val="20"/>
              </w:rPr>
              <w:t>)</w:t>
            </w:r>
          </w:p>
        </w:tc>
        <w:tc>
          <w:tcPr>
            <w:tcW w:w="1250" w:type="pct"/>
          </w:tcPr>
          <w:p w14:paraId="46D9B6AE"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Bespovratna sredstva</w:t>
            </w:r>
          </w:p>
          <w:p w14:paraId="29420AD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65A623C8"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00" w:type="pct"/>
          </w:tcPr>
          <w:p w14:paraId="31B79569"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Raspoloživa sredstva iz EFRR prema OPKK su 300 milijuna kn (40 milijuna EUR) – predviđa se iskoriš</w:t>
            </w:r>
            <w:r w:rsidRPr="0031468F">
              <w:rPr>
                <w:rFonts w:cs="Arial"/>
                <w:sz w:val="20"/>
                <w:szCs w:val="20"/>
              </w:rPr>
              <w:t>tavanje ovih sredstava do kraja 2023. godine; provedba mjere je započela trenutno otvorenim javnim pozivom Ministarstva zaštite okoliša i energetike</w:t>
            </w:r>
          </w:p>
        </w:tc>
      </w:tr>
      <w:tr w:rsidR="00EF73C6" w:rsidRPr="00EF5587" w14:paraId="0640F353"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6DEF0934" w14:textId="77777777" w:rsidR="00EF73C6" w:rsidRPr="00EF5587" w:rsidRDefault="00EF73C6" w:rsidP="00EF73C6">
            <w:pPr>
              <w:spacing w:before="0" w:after="0" w:line="240" w:lineRule="auto"/>
              <w:rPr>
                <w:rFonts w:cs="Arial"/>
                <w:sz w:val="20"/>
                <w:szCs w:val="20"/>
              </w:rPr>
            </w:pPr>
            <w:r w:rsidRPr="00EF5587">
              <w:rPr>
                <w:rFonts w:cs="Arial"/>
                <w:sz w:val="20"/>
                <w:szCs w:val="20"/>
              </w:rPr>
              <w:t>Industrija</w:t>
            </w:r>
          </w:p>
        </w:tc>
      </w:tr>
      <w:tr w:rsidR="00EF73C6" w:rsidRPr="00EF5587" w14:paraId="4AFF222F"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04C36C21" w14:textId="1A5859A5" w:rsidR="00EF73C6" w:rsidRPr="00EF5587" w:rsidRDefault="00EF73C6" w:rsidP="00EF73C6">
            <w:pPr>
              <w:pStyle w:val="Default"/>
              <w:jc w:val="both"/>
              <w:rPr>
                <w:sz w:val="20"/>
                <w:szCs w:val="20"/>
              </w:rPr>
            </w:pPr>
            <w:r w:rsidRPr="00EF5587">
              <w:rPr>
                <w:b w:val="0"/>
                <w:bCs w:val="0"/>
                <w:sz w:val="20"/>
                <w:szCs w:val="20"/>
              </w:rPr>
              <w:t xml:space="preserve">Povećanje energetske učinkovitosti i korištenja OIE u proizvodnim industrijama </w:t>
            </w:r>
            <w:r w:rsidRPr="00B73AF5">
              <w:rPr>
                <w:b w:val="0"/>
                <w:bCs w:val="0"/>
                <w:sz w:val="20"/>
                <w:szCs w:val="20"/>
              </w:rPr>
              <w:t>(I.2</w:t>
            </w:r>
            <w:r w:rsidR="00F976A8">
              <w:rPr>
                <w:b w:val="0"/>
                <w:bCs w:val="0"/>
                <w:sz w:val="20"/>
                <w:szCs w:val="20"/>
              </w:rPr>
              <w:t xml:space="preserve"> [12]</w:t>
            </w:r>
            <w:r w:rsidRPr="00B73AF5">
              <w:rPr>
                <w:b w:val="0"/>
                <w:bCs w:val="0"/>
                <w:sz w:val="20"/>
                <w:szCs w:val="20"/>
              </w:rPr>
              <w:t>; MEN-17</w:t>
            </w:r>
            <w:r w:rsidR="00F976A8">
              <w:rPr>
                <w:b w:val="0"/>
                <w:bCs w:val="0"/>
                <w:sz w:val="20"/>
                <w:szCs w:val="20"/>
              </w:rPr>
              <w:t xml:space="preserve"> [7]</w:t>
            </w:r>
            <w:r w:rsidRPr="00B73AF5">
              <w:rPr>
                <w:b w:val="0"/>
                <w:bCs w:val="0"/>
                <w:sz w:val="20"/>
                <w:szCs w:val="20"/>
              </w:rPr>
              <w:t>)</w:t>
            </w:r>
          </w:p>
        </w:tc>
        <w:tc>
          <w:tcPr>
            <w:tcW w:w="1250" w:type="pct"/>
          </w:tcPr>
          <w:p w14:paraId="5817F193"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Bespovratna sredstva</w:t>
            </w:r>
          </w:p>
          <w:p w14:paraId="299B6819"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49F55CCD"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00" w:type="pct"/>
          </w:tcPr>
          <w:p w14:paraId="64F5F684"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Raspoloživa sredstva iz EFRR prema OPKK su 450 milijuna kn (60 milijuna EUR) – predviđa se iskorištavanje ovih sredstava do kraja 2023. godine; provedba mjere je započela javnim pozivom Ministarstva zaštite okoliša i energetike na temelju kojega je dodijeljeno oko 270 milijuna kn za 77 projekata </w:t>
            </w:r>
          </w:p>
        </w:tc>
      </w:tr>
      <w:tr w:rsidR="00EF73C6" w:rsidRPr="00EF5587" w14:paraId="3CAFF6CD"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8CF450F" w14:textId="77A16E57" w:rsidR="00EF73C6" w:rsidRPr="0069758D" w:rsidRDefault="00EF73C6" w:rsidP="00EF73C6">
            <w:pPr>
              <w:pStyle w:val="Default"/>
              <w:jc w:val="both"/>
              <w:rPr>
                <w:b w:val="0"/>
                <w:sz w:val="20"/>
                <w:szCs w:val="20"/>
              </w:rPr>
            </w:pPr>
            <w:r>
              <w:rPr>
                <w:b w:val="0"/>
                <w:sz w:val="20"/>
                <w:szCs w:val="20"/>
              </w:rPr>
              <w:t>Naknada</w:t>
            </w:r>
            <w:r w:rsidRPr="0069758D">
              <w:rPr>
                <w:b w:val="0"/>
                <w:sz w:val="20"/>
                <w:szCs w:val="20"/>
              </w:rPr>
              <w:t xml:space="preserve"> na emisiju CO</w:t>
            </w:r>
            <w:r w:rsidRPr="0069758D">
              <w:rPr>
                <w:b w:val="0"/>
                <w:sz w:val="20"/>
                <w:szCs w:val="20"/>
                <w:vertAlign w:val="subscript"/>
              </w:rPr>
              <w:t>2</w:t>
            </w:r>
            <w:r w:rsidRPr="0069758D">
              <w:rPr>
                <w:b w:val="0"/>
                <w:sz w:val="20"/>
                <w:szCs w:val="20"/>
              </w:rPr>
              <w:t xml:space="preserve"> za stacionarne izvore koji nisu u EU ETS-u (MEN-22</w:t>
            </w:r>
            <w:r w:rsidR="00F976A8">
              <w:rPr>
                <w:b w:val="0"/>
                <w:sz w:val="20"/>
                <w:szCs w:val="20"/>
              </w:rPr>
              <w:t xml:space="preserve"> [7]</w:t>
            </w:r>
            <w:r w:rsidRPr="0069758D">
              <w:rPr>
                <w:b w:val="0"/>
                <w:sz w:val="20"/>
                <w:szCs w:val="20"/>
              </w:rPr>
              <w:t>)</w:t>
            </w:r>
          </w:p>
        </w:tc>
        <w:tc>
          <w:tcPr>
            <w:tcW w:w="1250" w:type="pct"/>
          </w:tcPr>
          <w:p w14:paraId="02991E1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Porez</w:t>
            </w:r>
          </w:p>
        </w:tc>
        <w:tc>
          <w:tcPr>
            <w:tcW w:w="2500" w:type="pct"/>
          </w:tcPr>
          <w:p w14:paraId="47239FA2"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14876">
              <w:rPr>
                <w:rFonts w:cs="Arial"/>
                <w:bCs/>
                <w:sz w:val="20"/>
                <w:szCs w:val="20"/>
              </w:rPr>
              <w:t>Uredba o jediničnim naknadama, korektivnim koeficijentima i pobližim kriterijima i mjerilima za utvrđivanje naknade na emisiju u okoliš ugljikovog dioksida (NN 73/07, 48/09, 2/18) propisuje obvezu plaćanja naknade na emisiju CO</w:t>
            </w:r>
            <w:r w:rsidRPr="0001299F">
              <w:rPr>
                <w:rFonts w:cs="Arial"/>
                <w:bCs/>
                <w:sz w:val="20"/>
                <w:szCs w:val="20"/>
                <w:vertAlign w:val="subscript"/>
              </w:rPr>
              <w:t>2</w:t>
            </w:r>
            <w:r w:rsidRPr="00714876">
              <w:rPr>
                <w:rFonts w:cs="Arial"/>
                <w:bCs/>
                <w:sz w:val="20"/>
                <w:szCs w:val="20"/>
              </w:rPr>
              <w:t xml:space="preserve"> za sve stacionarne izvore koji emitiraju više od 450 tona CO</w:t>
            </w:r>
            <w:r w:rsidRPr="0001299F">
              <w:rPr>
                <w:rFonts w:cs="Arial"/>
                <w:bCs/>
                <w:sz w:val="20"/>
                <w:szCs w:val="20"/>
                <w:vertAlign w:val="subscript"/>
              </w:rPr>
              <w:t>2</w:t>
            </w:r>
            <w:r w:rsidRPr="00714876">
              <w:rPr>
                <w:rFonts w:cs="Arial"/>
                <w:bCs/>
                <w:sz w:val="20"/>
                <w:szCs w:val="20"/>
              </w:rPr>
              <w:t xml:space="preserve"> godišnje. Obveznicima plaćanja naknada koji ulažu u </w:t>
            </w:r>
            <w:r>
              <w:rPr>
                <w:rFonts w:cs="Arial"/>
                <w:bCs/>
                <w:sz w:val="20"/>
                <w:szCs w:val="20"/>
              </w:rPr>
              <w:t>EnU</w:t>
            </w:r>
            <w:r w:rsidRPr="00714876">
              <w:rPr>
                <w:rFonts w:cs="Arial"/>
                <w:bCs/>
                <w:sz w:val="20"/>
                <w:szCs w:val="20"/>
              </w:rPr>
              <w:t xml:space="preserve">, </w:t>
            </w:r>
            <w:r>
              <w:rPr>
                <w:rFonts w:cs="Arial"/>
                <w:bCs/>
                <w:sz w:val="20"/>
                <w:szCs w:val="20"/>
              </w:rPr>
              <w:t xml:space="preserve">OIE </w:t>
            </w:r>
            <w:r w:rsidRPr="00714876">
              <w:rPr>
                <w:rFonts w:cs="Arial"/>
                <w:bCs/>
                <w:sz w:val="20"/>
                <w:szCs w:val="20"/>
              </w:rPr>
              <w:t>i druge mjere za smanjenje emisije CO</w:t>
            </w:r>
            <w:r w:rsidRPr="0001299F">
              <w:rPr>
                <w:rFonts w:cs="Arial"/>
                <w:bCs/>
                <w:sz w:val="20"/>
                <w:szCs w:val="20"/>
                <w:vertAlign w:val="subscript"/>
              </w:rPr>
              <w:t>2</w:t>
            </w:r>
            <w:r w:rsidRPr="00714876">
              <w:rPr>
                <w:rFonts w:cs="Arial"/>
                <w:bCs/>
                <w:sz w:val="20"/>
                <w:szCs w:val="20"/>
              </w:rPr>
              <w:t xml:space="preserve"> i ostalih emisija stakleničkih plinova naplaćuje se niža naknada.</w:t>
            </w:r>
          </w:p>
        </w:tc>
      </w:tr>
    </w:tbl>
    <w:p w14:paraId="0CCA1929" w14:textId="79C782F7" w:rsidR="00060359" w:rsidRDefault="00F74B73" w:rsidP="00A238EB">
      <w:pPr>
        <w:pStyle w:val="Caption"/>
        <w:tabs>
          <w:tab w:val="clear" w:pos="1021"/>
          <w:tab w:val="left" w:pos="0"/>
        </w:tabs>
        <w:ind w:left="0" w:firstLine="0"/>
        <w:jc w:val="both"/>
      </w:pPr>
      <w:r w:rsidRPr="00890AE8">
        <w:rPr>
          <w:b w:val="0"/>
          <w:sz w:val="22"/>
          <w:szCs w:val="22"/>
        </w:rPr>
        <w:t>Uz gore navedene mjere, u postojećim dokumentima definiran</w:t>
      </w:r>
      <w:r w:rsidR="006639E3" w:rsidRPr="00890AE8">
        <w:rPr>
          <w:b w:val="0"/>
          <w:sz w:val="22"/>
          <w:szCs w:val="22"/>
        </w:rPr>
        <w:t xml:space="preserve"> je i niz mjera informativno-</w:t>
      </w:r>
      <w:r w:rsidR="00B4224E">
        <w:rPr>
          <w:b w:val="0"/>
          <w:sz w:val="22"/>
          <w:szCs w:val="22"/>
        </w:rPr>
        <w:t>edukativnog</w:t>
      </w:r>
      <w:r w:rsidR="00B4224E" w:rsidRPr="00890AE8">
        <w:rPr>
          <w:b w:val="0"/>
          <w:sz w:val="22"/>
          <w:szCs w:val="22"/>
        </w:rPr>
        <w:t xml:space="preserve"> </w:t>
      </w:r>
      <w:r w:rsidR="006639E3" w:rsidRPr="00890AE8">
        <w:rPr>
          <w:b w:val="0"/>
          <w:sz w:val="22"/>
          <w:szCs w:val="22"/>
        </w:rPr>
        <w:t xml:space="preserve">karaktera, koje </w:t>
      </w:r>
      <w:r w:rsidR="005977A5" w:rsidRPr="00890AE8">
        <w:rPr>
          <w:b w:val="0"/>
          <w:sz w:val="22"/>
          <w:szCs w:val="22"/>
        </w:rPr>
        <w:t>prikazuje</w:t>
      </w:r>
      <w:r w:rsidR="005977A5">
        <w:t xml:space="preserve"> </w:t>
      </w:r>
      <w:r w:rsidR="005977A5" w:rsidRPr="00CF2D4C">
        <w:rPr>
          <w:b w:val="0"/>
          <w:sz w:val="22"/>
          <w:szCs w:val="22"/>
        </w:rPr>
        <w:fldChar w:fldCharType="begin"/>
      </w:r>
      <w:r w:rsidR="005977A5" w:rsidRPr="00CF2D4C">
        <w:rPr>
          <w:b w:val="0"/>
          <w:sz w:val="22"/>
          <w:szCs w:val="22"/>
        </w:rPr>
        <w:instrText xml:space="preserve"> REF _Ref530993158 \h </w:instrText>
      </w:r>
      <w:r w:rsidR="00B40E8D" w:rsidRPr="00CF2D4C">
        <w:rPr>
          <w:b w:val="0"/>
          <w:sz w:val="22"/>
          <w:szCs w:val="22"/>
        </w:rPr>
        <w:instrText xml:space="preserve"> \* MERGEFORMAT </w:instrText>
      </w:r>
      <w:r w:rsidR="005977A5" w:rsidRPr="00CF2D4C">
        <w:rPr>
          <w:b w:val="0"/>
          <w:sz w:val="22"/>
          <w:szCs w:val="22"/>
        </w:rPr>
      </w:r>
      <w:r w:rsidR="005977A5" w:rsidRPr="00CF2D4C">
        <w:rPr>
          <w:b w:val="0"/>
          <w:sz w:val="22"/>
          <w:szCs w:val="22"/>
        </w:rPr>
        <w:fldChar w:fldCharType="separate"/>
      </w:r>
      <w:r w:rsidR="00E5423A" w:rsidRPr="00E5423A">
        <w:rPr>
          <w:b w:val="0"/>
          <w:sz w:val="22"/>
          <w:szCs w:val="22"/>
        </w:rPr>
        <w:t>Tablica 1</w:t>
      </w:r>
      <w:r w:rsidR="00E5423A" w:rsidRPr="00E5423A">
        <w:rPr>
          <w:b w:val="0"/>
          <w:sz w:val="22"/>
          <w:szCs w:val="22"/>
        </w:rPr>
        <w:noBreakHyphen/>
        <w:t>7</w:t>
      </w:r>
      <w:r w:rsidR="005977A5" w:rsidRPr="00CF2D4C">
        <w:rPr>
          <w:b w:val="0"/>
          <w:sz w:val="22"/>
          <w:szCs w:val="22"/>
        </w:rPr>
        <w:fldChar w:fldCharType="end"/>
      </w:r>
      <w:r w:rsidR="006639E3" w:rsidRPr="00CF2D4C">
        <w:rPr>
          <w:b w:val="0"/>
          <w:sz w:val="22"/>
          <w:szCs w:val="22"/>
        </w:rPr>
        <w:t xml:space="preserve"> </w:t>
      </w:r>
      <w:r w:rsidRPr="00CF2D4C">
        <w:rPr>
          <w:b w:val="0"/>
          <w:sz w:val="22"/>
          <w:szCs w:val="22"/>
        </w:rPr>
        <w:t>.</w:t>
      </w:r>
    </w:p>
    <w:p w14:paraId="06525AF2" w14:textId="42974370" w:rsidR="005977A5" w:rsidRPr="00F149EB" w:rsidRDefault="005977A5" w:rsidP="005977A5">
      <w:pPr>
        <w:pStyle w:val="Caption"/>
      </w:pPr>
      <w:bookmarkStart w:id="73" w:name="_Ref530993158"/>
      <w:bookmarkStart w:id="74" w:name="_Toc531935327"/>
      <w:r w:rsidRPr="00F149EB">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7</w:t>
      </w:r>
      <w:r w:rsidR="00B22048">
        <w:rPr>
          <w:noProof/>
        </w:rPr>
        <w:fldChar w:fldCharType="end"/>
      </w:r>
      <w:bookmarkEnd w:id="73"/>
      <w:r w:rsidR="00A87274">
        <w:t xml:space="preserve"> </w:t>
      </w:r>
      <w:r>
        <w:t>Pregled postojećih međusektorskih mjera energetske učinkovitosti</w:t>
      </w:r>
      <w:bookmarkEnd w:id="74"/>
      <w:r>
        <w:t xml:space="preserve"> </w:t>
      </w:r>
    </w:p>
    <w:tbl>
      <w:tblPr>
        <w:tblStyle w:val="GridTable1Light"/>
        <w:tblW w:w="5000" w:type="pct"/>
        <w:tblLook w:val="04A0" w:firstRow="1" w:lastRow="0" w:firstColumn="1" w:lastColumn="0" w:noHBand="0" w:noVBand="1"/>
      </w:tblPr>
      <w:tblGrid>
        <w:gridCol w:w="2262"/>
        <w:gridCol w:w="2269"/>
        <w:gridCol w:w="4531"/>
      </w:tblGrid>
      <w:tr w:rsidR="00FF5ED3" w:rsidRPr="00EF5587" w14:paraId="24E3B562" w14:textId="77777777" w:rsidTr="006C7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38BFB0D1" w14:textId="77777777" w:rsidR="00FF5ED3" w:rsidRPr="00EF5587" w:rsidRDefault="00FF5ED3" w:rsidP="00E00C7D">
            <w:pPr>
              <w:spacing w:before="0" w:after="0" w:line="240" w:lineRule="auto"/>
              <w:rPr>
                <w:rFonts w:cs="Arial"/>
                <w:sz w:val="20"/>
                <w:szCs w:val="20"/>
              </w:rPr>
            </w:pPr>
            <w:r w:rsidRPr="00EF5587">
              <w:rPr>
                <w:rFonts w:cs="Arial"/>
                <w:sz w:val="20"/>
                <w:szCs w:val="20"/>
              </w:rPr>
              <w:t>Naziv mjere</w:t>
            </w:r>
          </w:p>
        </w:tc>
        <w:tc>
          <w:tcPr>
            <w:tcW w:w="1252" w:type="pct"/>
          </w:tcPr>
          <w:p w14:paraId="2CEF0B95" w14:textId="77777777" w:rsidR="00FF5ED3" w:rsidRPr="00EF5587" w:rsidRDefault="00FF5ED3" w:rsidP="00E00C7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p>
        </w:tc>
        <w:tc>
          <w:tcPr>
            <w:tcW w:w="2500" w:type="pct"/>
          </w:tcPr>
          <w:p w14:paraId="699C1BCF" w14:textId="77777777" w:rsidR="00FF5ED3" w:rsidRPr="00EF5587" w:rsidRDefault="00FF5ED3" w:rsidP="00E00C7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FF5ED3" w:rsidRPr="002003B1" w14:paraId="190DDD07"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4EB23AA1" w14:textId="013353A2" w:rsidR="00FF5ED3" w:rsidRPr="004D46C4" w:rsidRDefault="00FF5ED3" w:rsidP="00E00C7D">
            <w:pPr>
              <w:pStyle w:val="Default"/>
              <w:rPr>
                <w:b w:val="0"/>
                <w:sz w:val="20"/>
                <w:szCs w:val="20"/>
              </w:rPr>
            </w:pPr>
            <w:r w:rsidRPr="004D46C4">
              <w:rPr>
                <w:b w:val="0"/>
                <w:sz w:val="20"/>
                <w:szCs w:val="20"/>
              </w:rPr>
              <w:t>Program poticanja zgrada gotovo nulte energije (B.2</w:t>
            </w:r>
            <w:r w:rsidR="006C7BAA">
              <w:rPr>
                <w:b w:val="0"/>
                <w:sz w:val="20"/>
                <w:szCs w:val="20"/>
              </w:rPr>
              <w:t xml:space="preserve"> [12]</w:t>
            </w:r>
            <w:r w:rsidRPr="004D46C4">
              <w:rPr>
                <w:b w:val="0"/>
                <w:sz w:val="20"/>
                <w:szCs w:val="20"/>
              </w:rPr>
              <w:t>; MEN-1</w:t>
            </w:r>
            <w:r w:rsidR="006C7BAA">
              <w:rPr>
                <w:b w:val="0"/>
                <w:sz w:val="20"/>
                <w:szCs w:val="20"/>
              </w:rPr>
              <w:t xml:space="preserve"> [7]</w:t>
            </w:r>
            <w:r w:rsidRPr="004D46C4">
              <w:rPr>
                <w:b w:val="0"/>
                <w:sz w:val="20"/>
                <w:szCs w:val="20"/>
              </w:rPr>
              <w:t>)</w:t>
            </w:r>
          </w:p>
        </w:tc>
        <w:tc>
          <w:tcPr>
            <w:tcW w:w="1252" w:type="pct"/>
          </w:tcPr>
          <w:p w14:paraId="26801E03" w14:textId="77777777" w:rsidR="00FF5ED3" w:rsidRPr="00EF5587" w:rsidRDefault="00FF5ED3"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64E80">
              <w:rPr>
                <w:rFonts w:cs="Arial"/>
                <w:sz w:val="20"/>
                <w:szCs w:val="20"/>
              </w:rPr>
              <w:t>Informacijske mjere</w:t>
            </w:r>
          </w:p>
        </w:tc>
        <w:tc>
          <w:tcPr>
            <w:tcW w:w="2500" w:type="pct"/>
          </w:tcPr>
          <w:p w14:paraId="1C0C25AB" w14:textId="77777777" w:rsidR="00FF5ED3" w:rsidRPr="00EF5587" w:rsidRDefault="00FF5ED3" w:rsidP="00E00C7D">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Ova mjera podupire zakonsku obvezu te podrazumijeva obrazovanje i informiranje kako sudionika u gradnji tako i opće javnosti o nZEB standardu gradnje i obnove</w:t>
            </w:r>
          </w:p>
        </w:tc>
      </w:tr>
      <w:tr w:rsidR="00FF5ED3" w:rsidRPr="002003B1" w14:paraId="56B28639"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43E50918" w14:textId="3BA2BBCE" w:rsidR="00FF5ED3" w:rsidRPr="00407817" w:rsidRDefault="00FF5ED3" w:rsidP="00E00C7D">
            <w:pPr>
              <w:pStyle w:val="Default"/>
              <w:rPr>
                <w:b w:val="0"/>
                <w:sz w:val="20"/>
                <w:szCs w:val="20"/>
              </w:rPr>
            </w:pPr>
            <w:r w:rsidRPr="008A7688">
              <w:rPr>
                <w:b w:val="0"/>
                <w:sz w:val="20"/>
                <w:szCs w:val="20"/>
              </w:rPr>
              <w:t>Informativni računi</w:t>
            </w:r>
            <w:r>
              <w:rPr>
                <w:b w:val="0"/>
                <w:sz w:val="20"/>
                <w:szCs w:val="20"/>
              </w:rPr>
              <w:t xml:space="preserve"> (H.1</w:t>
            </w:r>
            <w:r w:rsidR="006C7BAA">
              <w:rPr>
                <w:b w:val="0"/>
                <w:sz w:val="20"/>
                <w:szCs w:val="20"/>
              </w:rPr>
              <w:t xml:space="preserve"> [12]</w:t>
            </w:r>
            <w:r>
              <w:rPr>
                <w:b w:val="0"/>
                <w:sz w:val="20"/>
                <w:szCs w:val="20"/>
              </w:rPr>
              <w:t>; MEN-7</w:t>
            </w:r>
            <w:r w:rsidR="006C7BAA">
              <w:rPr>
                <w:b w:val="0"/>
                <w:sz w:val="20"/>
                <w:szCs w:val="20"/>
              </w:rPr>
              <w:t xml:space="preserve"> [7]</w:t>
            </w:r>
            <w:r>
              <w:rPr>
                <w:b w:val="0"/>
                <w:sz w:val="20"/>
                <w:szCs w:val="20"/>
              </w:rPr>
              <w:t>)</w:t>
            </w:r>
          </w:p>
        </w:tc>
        <w:tc>
          <w:tcPr>
            <w:tcW w:w="1252" w:type="pct"/>
          </w:tcPr>
          <w:p w14:paraId="449AB65C" w14:textId="77777777" w:rsidR="00FF5ED3" w:rsidRDefault="00FF5ED3"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Regulatorne mjere</w:t>
            </w:r>
          </w:p>
          <w:p w14:paraId="7E52BCB0" w14:textId="77777777" w:rsidR="00FF5ED3" w:rsidRPr="00E76553" w:rsidRDefault="00FF5ED3"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Informacijske mjere</w:t>
            </w:r>
          </w:p>
        </w:tc>
        <w:tc>
          <w:tcPr>
            <w:tcW w:w="2500" w:type="pct"/>
          </w:tcPr>
          <w:p w14:paraId="471DA0E7"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Obveze opskrbljivača o mjerenju i obračunavanju potrošnje te</w:t>
            </w:r>
            <w:r w:rsidRPr="0031468F">
              <w:rPr>
                <w:b/>
                <w:sz w:val="20"/>
                <w:szCs w:val="20"/>
              </w:rPr>
              <w:t xml:space="preserve"> informiranju kupaca o </w:t>
            </w:r>
            <w:r w:rsidRPr="0031468F">
              <w:rPr>
                <w:sz w:val="20"/>
                <w:szCs w:val="20"/>
              </w:rPr>
              <w:t xml:space="preserve">prethodnoj potrošnji, </w:t>
            </w:r>
            <w:r w:rsidRPr="0031468F">
              <w:rPr>
                <w:b/>
                <w:sz w:val="20"/>
                <w:szCs w:val="20"/>
              </w:rPr>
              <w:t>što</w:t>
            </w:r>
            <w:r w:rsidRPr="0031468F">
              <w:rPr>
                <w:sz w:val="20"/>
                <w:szCs w:val="20"/>
              </w:rPr>
              <w:t xml:space="preserve"> obuhvaća usporedbu s prosječnim uobičajenim ili referentnim krajnjim kupcem iz iste kategorije krajnjih kupaca opskrbljivača</w:t>
            </w:r>
          </w:p>
        </w:tc>
      </w:tr>
      <w:tr w:rsidR="00FF5ED3" w:rsidRPr="002003B1" w14:paraId="3D6C65E3"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19D41D6A" w14:textId="0FA03568" w:rsidR="00FF5ED3" w:rsidRPr="001E0E25" w:rsidRDefault="00FF5ED3" w:rsidP="00E00C7D">
            <w:pPr>
              <w:pStyle w:val="Default"/>
              <w:rPr>
                <w:b w:val="0"/>
                <w:sz w:val="20"/>
                <w:szCs w:val="20"/>
              </w:rPr>
            </w:pPr>
            <w:r w:rsidRPr="001E0E25">
              <w:rPr>
                <w:b w:val="0"/>
                <w:sz w:val="20"/>
                <w:szCs w:val="20"/>
              </w:rPr>
              <w:t>Info kampanje i promocija energetskih usluga (H.2</w:t>
            </w:r>
            <w:r w:rsidR="006C7BAA">
              <w:rPr>
                <w:b w:val="0"/>
                <w:sz w:val="20"/>
                <w:szCs w:val="20"/>
              </w:rPr>
              <w:t xml:space="preserve"> [12]</w:t>
            </w:r>
            <w:r w:rsidRPr="001E0E25">
              <w:rPr>
                <w:b w:val="0"/>
                <w:sz w:val="20"/>
                <w:szCs w:val="20"/>
              </w:rPr>
              <w:t>; MEN-10</w:t>
            </w:r>
            <w:r w:rsidR="006C7BAA">
              <w:rPr>
                <w:b w:val="0"/>
                <w:sz w:val="20"/>
                <w:szCs w:val="20"/>
              </w:rPr>
              <w:t xml:space="preserve"> [7]</w:t>
            </w:r>
            <w:r w:rsidRPr="001E0E25">
              <w:rPr>
                <w:b w:val="0"/>
                <w:sz w:val="20"/>
                <w:szCs w:val="20"/>
              </w:rPr>
              <w:t>)</w:t>
            </w:r>
          </w:p>
        </w:tc>
        <w:tc>
          <w:tcPr>
            <w:tcW w:w="1252" w:type="pct"/>
          </w:tcPr>
          <w:p w14:paraId="797923C7" w14:textId="77777777" w:rsidR="00FF5ED3" w:rsidRPr="00EF5587" w:rsidRDefault="00FF5ED3"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76553">
              <w:rPr>
                <w:rFonts w:cs="Arial"/>
                <w:sz w:val="20"/>
                <w:szCs w:val="20"/>
              </w:rPr>
              <w:t xml:space="preserve">Informacijske </w:t>
            </w:r>
            <w:r>
              <w:rPr>
                <w:rFonts w:cs="Arial"/>
                <w:sz w:val="20"/>
                <w:szCs w:val="20"/>
              </w:rPr>
              <w:t>mjere</w:t>
            </w:r>
          </w:p>
        </w:tc>
        <w:tc>
          <w:tcPr>
            <w:tcW w:w="2500" w:type="pct"/>
          </w:tcPr>
          <w:p w14:paraId="375E72F1" w14:textId="77777777" w:rsidR="00FF5ED3" w:rsidRPr="005A25C9"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Provedba ciljanih promotivnih kampanja vezanih dominantno uz programe sufinanciranja energetske obnove zgrada te promocija energetskih usluga putem nacionalnog portala energetske učinkovitosti</w:t>
            </w:r>
          </w:p>
        </w:tc>
      </w:tr>
      <w:tr w:rsidR="00FF5ED3" w:rsidRPr="002003B1" w14:paraId="2D319E79"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028D833F" w14:textId="46CCCC2E" w:rsidR="00FF5ED3" w:rsidRPr="001E0E25" w:rsidRDefault="00FF5ED3" w:rsidP="00E00C7D">
            <w:pPr>
              <w:pStyle w:val="Default"/>
              <w:rPr>
                <w:b w:val="0"/>
                <w:sz w:val="20"/>
                <w:szCs w:val="20"/>
              </w:rPr>
            </w:pPr>
            <w:r w:rsidRPr="001E0E25">
              <w:rPr>
                <w:b w:val="0"/>
                <w:sz w:val="20"/>
                <w:szCs w:val="20"/>
              </w:rPr>
              <w:t>Obrazovanje u području EnU (H.4</w:t>
            </w:r>
            <w:r w:rsidR="006C7BAA">
              <w:rPr>
                <w:b w:val="0"/>
                <w:sz w:val="20"/>
                <w:szCs w:val="20"/>
              </w:rPr>
              <w:t xml:space="preserve"> [12]</w:t>
            </w:r>
            <w:r w:rsidRPr="001E0E25">
              <w:rPr>
                <w:b w:val="0"/>
                <w:sz w:val="20"/>
                <w:szCs w:val="20"/>
              </w:rPr>
              <w:t>; MEN-12</w:t>
            </w:r>
            <w:r w:rsidR="006C7BAA">
              <w:rPr>
                <w:b w:val="0"/>
                <w:sz w:val="20"/>
                <w:szCs w:val="20"/>
              </w:rPr>
              <w:t xml:space="preserve"> [7]</w:t>
            </w:r>
            <w:r w:rsidRPr="001E0E25">
              <w:rPr>
                <w:b w:val="0"/>
                <w:sz w:val="20"/>
                <w:szCs w:val="20"/>
              </w:rPr>
              <w:t>)</w:t>
            </w:r>
          </w:p>
        </w:tc>
        <w:tc>
          <w:tcPr>
            <w:tcW w:w="1252" w:type="pct"/>
          </w:tcPr>
          <w:p w14:paraId="09F0A9D5" w14:textId="77777777" w:rsidR="00FF5ED3" w:rsidRPr="005A25C9"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Obrazovne mjere</w:t>
            </w:r>
          </w:p>
        </w:tc>
        <w:tc>
          <w:tcPr>
            <w:tcW w:w="2500" w:type="pct"/>
          </w:tcPr>
          <w:p w14:paraId="70B00EB8"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Uspostava sustava certifikacije i cjeloživotnog učenja građevinskih radnika u području energetske učinkovitosti </w:t>
            </w:r>
          </w:p>
        </w:tc>
      </w:tr>
      <w:tr w:rsidR="00FF5ED3" w:rsidRPr="002003B1" w14:paraId="56546DE0"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63995967" w14:textId="0F69B71B" w:rsidR="00FF5ED3" w:rsidRPr="005814C1" w:rsidRDefault="00FF5ED3" w:rsidP="00E00C7D">
            <w:pPr>
              <w:pStyle w:val="Default"/>
              <w:rPr>
                <w:b w:val="0"/>
                <w:sz w:val="20"/>
                <w:szCs w:val="20"/>
              </w:rPr>
            </w:pPr>
            <w:r w:rsidRPr="005814C1">
              <w:rPr>
                <w:b w:val="0"/>
                <w:sz w:val="20"/>
                <w:szCs w:val="20"/>
              </w:rPr>
              <w:t>Integrirani informacijski sustav za praćenje EnU (H.6</w:t>
            </w:r>
            <w:r w:rsidR="006C7BAA">
              <w:rPr>
                <w:b w:val="0"/>
                <w:sz w:val="20"/>
                <w:szCs w:val="20"/>
              </w:rPr>
              <w:t xml:space="preserve"> [12]</w:t>
            </w:r>
            <w:r w:rsidRPr="005814C1">
              <w:rPr>
                <w:b w:val="0"/>
                <w:sz w:val="20"/>
                <w:szCs w:val="20"/>
              </w:rPr>
              <w:t>; MCC-2</w:t>
            </w:r>
            <w:r w:rsidR="006C7BAA">
              <w:rPr>
                <w:b w:val="0"/>
                <w:sz w:val="20"/>
                <w:szCs w:val="20"/>
              </w:rPr>
              <w:t xml:space="preserve"> [7]</w:t>
            </w:r>
            <w:r w:rsidRPr="005814C1">
              <w:rPr>
                <w:b w:val="0"/>
                <w:sz w:val="20"/>
                <w:szCs w:val="20"/>
              </w:rPr>
              <w:t>)</w:t>
            </w:r>
          </w:p>
        </w:tc>
        <w:tc>
          <w:tcPr>
            <w:tcW w:w="1252" w:type="pct"/>
          </w:tcPr>
          <w:p w14:paraId="0D07AF45" w14:textId="77777777" w:rsidR="00FF5ED3" w:rsidRPr="005A25C9"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Praćenje provedbe i ostvarenih ušteda energije</w:t>
            </w:r>
          </w:p>
        </w:tc>
        <w:tc>
          <w:tcPr>
            <w:tcW w:w="2500" w:type="pct"/>
          </w:tcPr>
          <w:p w14:paraId="7ADB9E4A"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Sveobuhvatni sustav za praćenje provedbe mjera energetske učinkovitosti i verifikaciju ostvarenih ušteda</w:t>
            </w:r>
          </w:p>
        </w:tc>
      </w:tr>
    </w:tbl>
    <w:p w14:paraId="0F80A8F1" w14:textId="29A63D83" w:rsidR="00B40E8D" w:rsidRDefault="006163EC" w:rsidP="00B40E8D">
      <w:pPr>
        <w:rPr>
          <w:rFonts w:cstheme="minorHAnsi"/>
        </w:rPr>
      </w:pPr>
      <w:r>
        <w:t>Uz gore navedene mjere koje su sve usmjerene na sektore neposredne potrošnje energije, u postojećim dokumentima definiran</w:t>
      </w:r>
      <w:r w:rsidR="00857E54">
        <w:t>e</w:t>
      </w:r>
      <w:r>
        <w:t xml:space="preserve"> </w:t>
      </w:r>
      <w:r w:rsidR="00857E54">
        <w:t xml:space="preserve">su i </w:t>
      </w:r>
      <w:r>
        <w:t>mjer</w:t>
      </w:r>
      <w:r w:rsidR="00857E54">
        <w:t>e</w:t>
      </w:r>
      <w:r>
        <w:t xml:space="preserve">, </w:t>
      </w:r>
      <w:r w:rsidR="00857E54">
        <w:t>koje ciljaju en</w:t>
      </w:r>
      <w:r w:rsidR="00B951D1">
        <w:t>ergetsk</w:t>
      </w:r>
      <w:r w:rsidR="00DE7AED">
        <w:t>u</w:t>
      </w:r>
      <w:r w:rsidR="00B951D1">
        <w:t xml:space="preserve"> </w:t>
      </w:r>
      <w:r w:rsidR="00DE7AED">
        <w:t>infrastrukturu (proizvodnju, prijenos i distribuciju električne i to</w:t>
      </w:r>
      <w:r w:rsidR="00C651D3">
        <w:t>p</w:t>
      </w:r>
      <w:r w:rsidR="00DE7AED">
        <w:t>linske energije)</w:t>
      </w:r>
      <w:r w:rsidR="00B951D1">
        <w:t>, kako</w:t>
      </w:r>
      <w:r w:rsidR="00CA2F8C">
        <w:t xml:space="preserve"> prikazuje</w:t>
      </w:r>
      <w:r w:rsidR="00B951D1">
        <w:t xml:space="preserve"> </w:t>
      </w:r>
      <w:r w:rsidR="00CA2F8C">
        <w:fldChar w:fldCharType="begin"/>
      </w:r>
      <w:r w:rsidR="00CA2F8C">
        <w:instrText xml:space="preserve"> REF _Ref531161045 \h </w:instrText>
      </w:r>
      <w:r w:rsidR="00CA2F8C">
        <w:fldChar w:fldCharType="separate"/>
      </w:r>
      <w:r w:rsidR="00E5423A" w:rsidRPr="00F149EB">
        <w:t xml:space="preserve">Tablica </w:t>
      </w:r>
      <w:r w:rsidR="00E5423A">
        <w:rPr>
          <w:noProof/>
        </w:rPr>
        <w:t>1</w:t>
      </w:r>
      <w:r w:rsidR="00E5423A">
        <w:noBreakHyphen/>
      </w:r>
      <w:r w:rsidR="00E5423A">
        <w:rPr>
          <w:noProof/>
        </w:rPr>
        <w:t>8</w:t>
      </w:r>
      <w:r w:rsidR="00CA2F8C">
        <w:fldChar w:fldCharType="end"/>
      </w:r>
      <w:r w:rsidR="00EA4DB6">
        <w:t>.</w:t>
      </w:r>
      <w:r w:rsidR="00B40E8D">
        <w:t xml:space="preserve"> Pri tome je potrebno istaknuti da je </w:t>
      </w:r>
      <w:r w:rsidR="00B40E8D">
        <w:rPr>
          <w:rFonts w:cstheme="minorHAnsi"/>
        </w:rPr>
        <w:t>HERA, na temelju Zakona o energetskoj učinkovitosti, dužna pri provedbi regulatornih zadataka sukladno odredbama zakona kojima se uređuje tržište električne energije i tržište plina, voditi računa o energetskoj učinkovitosti u vezi sa svojim odlukama o radu infrastrukture za plin i električnu energiju i to:</w:t>
      </w:r>
    </w:p>
    <w:p w14:paraId="55DDED42" w14:textId="77777777" w:rsidR="00B40E8D" w:rsidRDefault="00B40E8D" w:rsidP="00B40E8D">
      <w:pPr>
        <w:pStyle w:val="ListParagraph"/>
        <w:numPr>
          <w:ilvl w:val="0"/>
          <w:numId w:val="94"/>
        </w:numPr>
        <w:tabs>
          <w:tab w:val="clear" w:pos="431"/>
          <w:tab w:val="left" w:pos="708"/>
        </w:tabs>
        <w:suppressAutoHyphens w:val="0"/>
        <w:spacing w:after="160" w:line="256" w:lineRule="auto"/>
        <w:contextualSpacing/>
        <w:rPr>
          <w:rFonts w:cstheme="minorHAnsi"/>
        </w:rPr>
      </w:pPr>
      <w:r>
        <w:rPr>
          <w:rFonts w:cstheme="minorHAnsi"/>
        </w:rPr>
        <w:t>osigurati provedbu procjene potencijala za povećanje energetske učinkovitosti infrastrukture za plin i električnu energiju, posebno u vezi s prijenosom, odnosno transportom, distribucijom, upravljanjem opterećenjem, interoperabilnošću te priključivanjem postrojenja za proizvodnju energije, uključujući mogućnosti pristupa za mikrogeneratore energije te</w:t>
      </w:r>
    </w:p>
    <w:p w14:paraId="3DE3D04C" w14:textId="77777777" w:rsidR="00B40E8D" w:rsidRDefault="00B40E8D" w:rsidP="00B40E8D">
      <w:pPr>
        <w:pStyle w:val="ListParagraph"/>
        <w:numPr>
          <w:ilvl w:val="0"/>
          <w:numId w:val="94"/>
        </w:numPr>
        <w:tabs>
          <w:tab w:val="clear" w:pos="431"/>
          <w:tab w:val="left" w:pos="708"/>
        </w:tabs>
        <w:suppressAutoHyphens w:val="0"/>
        <w:spacing w:after="160" w:line="256" w:lineRule="auto"/>
        <w:contextualSpacing/>
        <w:rPr>
          <w:rFonts w:cstheme="minorHAnsi"/>
        </w:rPr>
      </w:pPr>
      <w:r>
        <w:rPr>
          <w:rFonts w:cstheme="minorHAnsi"/>
        </w:rPr>
        <w:t>utvrditi konkretne mjere i ulaganja za uvođenje troškovno učinkovitih poboljšanja energetske učinkovitosti u mrežnu infrastrukturu, uključujući rokove njihova uvođenja.</w:t>
      </w:r>
    </w:p>
    <w:p w14:paraId="67BACCD9" w14:textId="36D26321" w:rsidR="00B40E8D" w:rsidRDefault="00B40E8D" w:rsidP="00B40E8D">
      <w:pPr>
        <w:rPr>
          <w:rFonts w:cstheme="minorHAnsi"/>
        </w:rPr>
      </w:pPr>
      <w:r>
        <w:rPr>
          <w:rFonts w:cstheme="minorHAnsi"/>
        </w:rPr>
        <w:t>S ciljem provedbe propisanih zadaća, HERA je osigurala izradu studije „Procjena potencijala za povećanje energetske učinkovitosti infrastrukture za električnu energiju</w:t>
      </w:r>
      <w:r w:rsidRPr="00C95155">
        <w:rPr>
          <w:rFonts w:cstheme="minorHAnsi"/>
        </w:rPr>
        <w:t>“ [</w:t>
      </w:r>
      <w:r w:rsidR="009927C2" w:rsidRPr="00CF2D4C">
        <w:rPr>
          <w:rFonts w:cstheme="minorHAnsi"/>
        </w:rPr>
        <w:fldChar w:fldCharType="begin"/>
      </w:r>
      <w:r w:rsidR="009927C2" w:rsidRPr="00CF2D4C">
        <w:rPr>
          <w:rFonts w:cstheme="minorHAnsi"/>
        </w:rPr>
        <w:instrText xml:space="preserve"> REF _Ref531872061 \r \h </w:instrText>
      </w:r>
      <w:r w:rsidR="009927C2">
        <w:rPr>
          <w:rFonts w:cstheme="minorHAnsi"/>
        </w:rPr>
        <w:instrText xml:space="preserve"> \* MERGEFORMAT </w:instrText>
      </w:r>
      <w:r w:rsidR="009927C2" w:rsidRPr="00CF2D4C">
        <w:rPr>
          <w:rFonts w:cstheme="minorHAnsi"/>
        </w:rPr>
      </w:r>
      <w:r w:rsidR="009927C2" w:rsidRPr="00CF2D4C">
        <w:rPr>
          <w:rFonts w:cstheme="minorHAnsi"/>
        </w:rPr>
        <w:fldChar w:fldCharType="separate"/>
      </w:r>
      <w:r w:rsidR="00E5423A">
        <w:rPr>
          <w:rFonts w:cstheme="minorHAnsi"/>
        </w:rPr>
        <w:t>14</w:t>
      </w:r>
      <w:r w:rsidR="009927C2" w:rsidRPr="00CF2D4C">
        <w:rPr>
          <w:rFonts w:cstheme="minorHAnsi"/>
        </w:rPr>
        <w:fldChar w:fldCharType="end"/>
      </w:r>
      <w:r w:rsidRPr="00C95155">
        <w:rPr>
          <w:rFonts w:cstheme="minorHAnsi"/>
        </w:rPr>
        <w:t>]. Studijom</w:t>
      </w:r>
      <w:r>
        <w:rPr>
          <w:rFonts w:cstheme="minorHAnsi"/>
        </w:rPr>
        <w:t xml:space="preserve"> su analizirane mjere koje utječu na tehničke gubitke (smanjenje i povećanje), a koje su sadržane u desetogodišnjim planovima razvoja prijenosnog i distribucijskog sustava za razdoblje od 2016. do 2025. godine, s detaljnom razradom za početno trogodišnje i jednogodišnje razdoblje. Na temelju Studije HERA je donijela Odluku kojom navodi sljedeće:</w:t>
      </w:r>
    </w:p>
    <w:p w14:paraId="0451877D" w14:textId="77777777" w:rsidR="00B40E8D" w:rsidRDefault="00B40E8D" w:rsidP="00B40E8D">
      <w:pPr>
        <w:pStyle w:val="ListParagraph"/>
        <w:numPr>
          <w:ilvl w:val="0"/>
          <w:numId w:val="94"/>
        </w:numPr>
        <w:tabs>
          <w:tab w:val="clear" w:pos="431"/>
          <w:tab w:val="left" w:pos="708"/>
        </w:tabs>
        <w:suppressAutoHyphens w:val="0"/>
        <w:spacing w:after="160" w:line="256" w:lineRule="auto"/>
        <w:contextualSpacing/>
        <w:rPr>
          <w:rFonts w:cstheme="minorHAnsi"/>
        </w:rPr>
      </w:pPr>
      <w:r>
        <w:rPr>
          <w:rFonts w:cstheme="minorHAnsi"/>
        </w:rPr>
        <w:t>HERA je procijenila potencijal za povećanje energetske učinkovitosti infrastrukture za električnu energiju koji za razdoblje od 2016. do 2025. godine u prosjeku iznosi 51 GWh godišnje za prijenosnu mrežu te 25 GWh godišnje za distribucijsku mrežu i</w:t>
      </w:r>
    </w:p>
    <w:p w14:paraId="46C7740B" w14:textId="77777777" w:rsidR="00B40E8D" w:rsidRDefault="00B40E8D" w:rsidP="00B40E8D">
      <w:pPr>
        <w:pStyle w:val="ListParagraph"/>
        <w:numPr>
          <w:ilvl w:val="0"/>
          <w:numId w:val="94"/>
        </w:numPr>
        <w:tabs>
          <w:tab w:val="clear" w:pos="431"/>
          <w:tab w:val="left" w:pos="708"/>
        </w:tabs>
        <w:suppressAutoHyphens w:val="0"/>
        <w:spacing w:after="160" w:line="256" w:lineRule="auto"/>
        <w:contextualSpacing/>
        <w:rPr>
          <w:rFonts w:cstheme="minorHAnsi"/>
        </w:rPr>
      </w:pPr>
      <w:r>
        <w:rPr>
          <w:rFonts w:cstheme="minorHAnsi"/>
        </w:rPr>
        <w:t>HERA je utvrdila da, u cilju ostvarenja navedenih ušteda, mjere, ulaganja te dinamika (rokovi) uvođenja istih trebaju pratiti desetogodišnje planove razvoja prijenosne i distribucijske mreže za razdoblje od 2016. do 2025. godine, s detaljnom razradom za početno trogodišnje i jednogodišnje razdoblje.</w:t>
      </w:r>
    </w:p>
    <w:p w14:paraId="11838243" w14:textId="50858D75" w:rsidR="006163EC" w:rsidRDefault="00B40E8D" w:rsidP="006163EC">
      <w:r>
        <w:rPr>
          <w:rFonts w:cstheme="minorHAnsi"/>
        </w:rPr>
        <w:t>Navedene mjere proizlaze iz potrebe povećanja sigurnosti pogona i zadovoljenja tehničkih propisa te su njihove investicije previsoke da se mogu opravdati isključivo uštedom koja će se ostvariti smanjenjem gubitaka. Kada se stvore preduvjeti za uvođenje naprednih tehnologija poput upravljanja opterećenjem, HERA će revidirati svoju procjenu potencijala za povećanje energetske učinkovitosti infrastrukture za električnu energiju te utvrditi rokove uvođenja naprednih mjera.</w:t>
      </w:r>
    </w:p>
    <w:p w14:paraId="6D5E413B" w14:textId="53C34D6A" w:rsidR="00CA2F8C" w:rsidRPr="00F149EB" w:rsidRDefault="00CA2F8C" w:rsidP="00CA2F8C">
      <w:pPr>
        <w:pStyle w:val="Caption"/>
      </w:pPr>
      <w:bookmarkStart w:id="75" w:name="_Ref531161045"/>
      <w:bookmarkStart w:id="76" w:name="_Toc531935328"/>
      <w:r w:rsidRPr="00F149EB">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8</w:t>
      </w:r>
      <w:r w:rsidR="00B22048">
        <w:rPr>
          <w:noProof/>
        </w:rPr>
        <w:fldChar w:fldCharType="end"/>
      </w:r>
      <w:bookmarkEnd w:id="75"/>
      <w:r w:rsidR="00483D4C">
        <w:t xml:space="preserve"> </w:t>
      </w:r>
      <w:r>
        <w:t xml:space="preserve">Pregled postojećih mjera energetske učinkovitosti </w:t>
      </w:r>
      <w:r w:rsidR="00DE7AED">
        <w:t>za ene</w:t>
      </w:r>
      <w:r w:rsidR="00B4224E">
        <w:t>rgetsku infrastrukturu</w:t>
      </w:r>
      <w:bookmarkEnd w:id="76"/>
    </w:p>
    <w:tbl>
      <w:tblPr>
        <w:tblStyle w:val="GridTable1Light"/>
        <w:tblW w:w="5000" w:type="pct"/>
        <w:tblLook w:val="04A0" w:firstRow="1" w:lastRow="0" w:firstColumn="1" w:lastColumn="0" w:noHBand="0" w:noVBand="1"/>
      </w:tblPr>
      <w:tblGrid>
        <w:gridCol w:w="2265"/>
        <w:gridCol w:w="2266"/>
        <w:gridCol w:w="4531"/>
      </w:tblGrid>
      <w:tr w:rsidR="00CA2F8C" w:rsidRPr="00EF5587" w14:paraId="6262DCBD" w14:textId="77777777" w:rsidTr="00314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3F973F6" w14:textId="77777777" w:rsidR="00CA2F8C" w:rsidRPr="00EF5587" w:rsidRDefault="00CA2F8C" w:rsidP="004912C3">
            <w:pPr>
              <w:spacing w:before="0" w:after="0" w:line="240" w:lineRule="auto"/>
              <w:rPr>
                <w:rFonts w:cs="Arial"/>
                <w:sz w:val="20"/>
                <w:szCs w:val="20"/>
              </w:rPr>
            </w:pPr>
            <w:r w:rsidRPr="00EF5587">
              <w:rPr>
                <w:rFonts w:cs="Arial"/>
                <w:sz w:val="20"/>
                <w:szCs w:val="20"/>
              </w:rPr>
              <w:t>Naziv mjere</w:t>
            </w:r>
          </w:p>
        </w:tc>
        <w:tc>
          <w:tcPr>
            <w:tcW w:w="1250" w:type="pct"/>
          </w:tcPr>
          <w:p w14:paraId="23E28434" w14:textId="77777777" w:rsidR="00CA2F8C" w:rsidRPr="00EF5587" w:rsidRDefault="00CA2F8C" w:rsidP="004912C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p>
        </w:tc>
        <w:tc>
          <w:tcPr>
            <w:tcW w:w="2500" w:type="pct"/>
          </w:tcPr>
          <w:p w14:paraId="43F67E94" w14:textId="77777777" w:rsidR="00CA2F8C" w:rsidRPr="00EF5587" w:rsidRDefault="00CA2F8C" w:rsidP="004912C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B40E8D" w:rsidRPr="002003B1" w14:paraId="778177ED"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05BB2ADC" w14:textId="50FBD9D0" w:rsidR="00B40E8D" w:rsidRPr="004D46C4" w:rsidRDefault="00B40E8D" w:rsidP="00B40E8D">
            <w:pPr>
              <w:pStyle w:val="Default"/>
              <w:rPr>
                <w:b w:val="0"/>
                <w:sz w:val="20"/>
                <w:szCs w:val="20"/>
              </w:rPr>
            </w:pPr>
            <w:r w:rsidRPr="00CA6073">
              <w:rPr>
                <w:b w:val="0"/>
                <w:sz w:val="20"/>
                <w:szCs w:val="20"/>
              </w:rPr>
              <w:t>Revitalizacija i energetska učinkovitost u postojećim termoelektranama i hidroelektranama</w:t>
            </w:r>
            <w:r w:rsidRPr="00CA6073" w:rsidDel="00CA6073">
              <w:rPr>
                <w:b w:val="0"/>
                <w:sz w:val="20"/>
                <w:szCs w:val="20"/>
              </w:rPr>
              <w:t xml:space="preserve"> </w:t>
            </w:r>
            <w:r w:rsidRPr="004D46C4">
              <w:rPr>
                <w:b w:val="0"/>
                <w:sz w:val="20"/>
                <w:szCs w:val="20"/>
              </w:rPr>
              <w:t>(</w:t>
            </w:r>
            <w:r>
              <w:rPr>
                <w:b w:val="0"/>
                <w:sz w:val="20"/>
                <w:szCs w:val="20"/>
              </w:rPr>
              <w:t>E.1-E.4 [12]</w:t>
            </w:r>
            <w:r w:rsidRPr="004D46C4">
              <w:rPr>
                <w:b w:val="0"/>
                <w:sz w:val="20"/>
                <w:szCs w:val="20"/>
              </w:rPr>
              <w:t>; MEN-</w:t>
            </w:r>
            <w:r>
              <w:rPr>
                <w:b w:val="0"/>
                <w:sz w:val="20"/>
                <w:szCs w:val="20"/>
              </w:rPr>
              <w:t>23 [7]</w:t>
            </w:r>
            <w:r w:rsidRPr="004D46C4">
              <w:rPr>
                <w:b w:val="0"/>
                <w:sz w:val="20"/>
                <w:szCs w:val="20"/>
              </w:rPr>
              <w:t>)</w:t>
            </w:r>
          </w:p>
        </w:tc>
        <w:tc>
          <w:tcPr>
            <w:tcW w:w="1250" w:type="pct"/>
          </w:tcPr>
          <w:p w14:paraId="7867F87C" w14:textId="6E40F0E5" w:rsidR="00B40E8D" w:rsidRPr="00EF5587"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Proizvodnja električne energije</w:t>
            </w:r>
          </w:p>
        </w:tc>
        <w:tc>
          <w:tcPr>
            <w:tcW w:w="2500" w:type="pct"/>
          </w:tcPr>
          <w:p w14:paraId="47B4A096" w14:textId="42D9BDC9" w:rsidR="00B40E8D" w:rsidRPr="00EF5587" w:rsidRDefault="00B40E8D" w:rsidP="00B40E8D">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CA6073">
              <w:rPr>
                <w:bCs/>
                <w:sz w:val="20"/>
                <w:szCs w:val="20"/>
              </w:rPr>
              <w:t xml:space="preserve">Aktivnosti ove mjere odnose se </w:t>
            </w:r>
            <w:r>
              <w:rPr>
                <w:bCs/>
                <w:sz w:val="20"/>
                <w:szCs w:val="20"/>
              </w:rPr>
              <w:t xml:space="preserve">na </w:t>
            </w:r>
            <w:r w:rsidRPr="00CA6073">
              <w:rPr>
                <w:bCs/>
                <w:sz w:val="20"/>
                <w:szCs w:val="20"/>
              </w:rPr>
              <w:t>HEP</w:t>
            </w:r>
            <w:r>
              <w:rPr>
                <w:bCs/>
                <w:sz w:val="20"/>
                <w:szCs w:val="20"/>
              </w:rPr>
              <w:t>, a detaljnije su razrađene u 4.NAPEnU.</w:t>
            </w:r>
            <w:r w:rsidRPr="00CA6073">
              <w:rPr>
                <w:bCs/>
                <w:sz w:val="20"/>
                <w:szCs w:val="20"/>
              </w:rPr>
              <w:t xml:space="preserve"> </w:t>
            </w:r>
            <w:r>
              <w:rPr>
                <w:bCs/>
                <w:sz w:val="20"/>
                <w:szCs w:val="20"/>
              </w:rPr>
              <w:t>Aktivnosti uključuju</w:t>
            </w:r>
            <w:r w:rsidRPr="00CA6073">
              <w:rPr>
                <w:bCs/>
                <w:sz w:val="20"/>
                <w:szCs w:val="20"/>
              </w:rPr>
              <w:t>: rekonstrukciju sustava upravljanja vodama, nov</w:t>
            </w:r>
            <w:r>
              <w:rPr>
                <w:bCs/>
                <w:sz w:val="20"/>
                <w:szCs w:val="20"/>
              </w:rPr>
              <w:t>e</w:t>
            </w:r>
            <w:r w:rsidRPr="00CA6073">
              <w:rPr>
                <w:bCs/>
                <w:sz w:val="20"/>
                <w:szCs w:val="20"/>
              </w:rPr>
              <w:t xml:space="preserve"> parn</w:t>
            </w:r>
            <w:r>
              <w:rPr>
                <w:bCs/>
                <w:sz w:val="20"/>
                <w:szCs w:val="20"/>
              </w:rPr>
              <w:t xml:space="preserve">e </w:t>
            </w:r>
            <w:r w:rsidRPr="00CA6073">
              <w:rPr>
                <w:bCs/>
                <w:sz w:val="20"/>
                <w:szCs w:val="20"/>
              </w:rPr>
              <w:t>kot</w:t>
            </w:r>
            <w:r>
              <w:rPr>
                <w:bCs/>
                <w:sz w:val="20"/>
                <w:szCs w:val="20"/>
              </w:rPr>
              <w:t>love</w:t>
            </w:r>
            <w:r w:rsidRPr="00CA6073">
              <w:rPr>
                <w:bCs/>
                <w:sz w:val="20"/>
                <w:szCs w:val="20"/>
              </w:rPr>
              <w:t>, optimizaciju i automatizaciju hidroelektrana, revitalizaciju hidroelektrana, smanjenje vlastite uporabe topline, nove mjerne sustave itd.</w:t>
            </w:r>
          </w:p>
        </w:tc>
      </w:tr>
      <w:tr w:rsidR="00B40E8D" w:rsidRPr="002003B1" w14:paraId="522E3F9C"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CE2AC58" w14:textId="19BB38CC" w:rsidR="00B40E8D" w:rsidRPr="00407817" w:rsidRDefault="00B40E8D" w:rsidP="00B40E8D">
            <w:pPr>
              <w:pStyle w:val="Default"/>
              <w:rPr>
                <w:b w:val="0"/>
                <w:sz w:val="20"/>
                <w:szCs w:val="20"/>
              </w:rPr>
            </w:pPr>
            <w:r w:rsidRPr="00DB4A8C">
              <w:rPr>
                <w:b w:val="0"/>
                <w:sz w:val="20"/>
                <w:szCs w:val="20"/>
              </w:rPr>
              <w:t>Rekonstrukcija i obnova vrelovoda i parovoda</w:t>
            </w:r>
            <w:r w:rsidRPr="00DB4A8C" w:rsidDel="00DB4A8C">
              <w:rPr>
                <w:b w:val="0"/>
                <w:sz w:val="20"/>
                <w:szCs w:val="20"/>
              </w:rPr>
              <w:t xml:space="preserve"> </w:t>
            </w:r>
            <w:r>
              <w:rPr>
                <w:b w:val="0"/>
                <w:sz w:val="20"/>
                <w:szCs w:val="20"/>
              </w:rPr>
              <w:t>(E.7 [12]; MEN-24 [7])</w:t>
            </w:r>
          </w:p>
        </w:tc>
        <w:tc>
          <w:tcPr>
            <w:tcW w:w="1250" w:type="pct"/>
          </w:tcPr>
          <w:p w14:paraId="4AFAB2BC" w14:textId="3BF3158C" w:rsidR="00B40E8D" w:rsidRPr="00E76553"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Distribucija toplinske energije</w:t>
            </w:r>
          </w:p>
        </w:tc>
        <w:tc>
          <w:tcPr>
            <w:tcW w:w="2500" w:type="pct"/>
          </w:tcPr>
          <w:p w14:paraId="0EA7B097" w14:textId="3A982E63" w:rsidR="00B40E8D" w:rsidRDefault="00B40E8D" w:rsidP="00B40E8D">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B208E4">
              <w:rPr>
                <w:sz w:val="20"/>
              </w:rPr>
              <w:t xml:space="preserve">Zbog starenja i oštećenja vrelovoda i parovoda dolazi do velikih gubitaka energije. </w:t>
            </w:r>
            <w:r>
              <w:rPr>
                <w:sz w:val="20"/>
              </w:rPr>
              <w:t>U</w:t>
            </w:r>
            <w:r w:rsidRPr="00B208E4">
              <w:rPr>
                <w:sz w:val="20"/>
              </w:rPr>
              <w:t xml:space="preserve">laganja u narednom razdoblju </w:t>
            </w:r>
            <w:r>
              <w:rPr>
                <w:sz w:val="20"/>
              </w:rPr>
              <w:t>su</w:t>
            </w:r>
            <w:r w:rsidRPr="00B208E4">
              <w:rPr>
                <w:sz w:val="20"/>
              </w:rPr>
              <w:t xml:space="preserve"> osigurana od komunalnih poduzeća i od korištenja </w:t>
            </w:r>
            <w:r>
              <w:rPr>
                <w:sz w:val="20"/>
              </w:rPr>
              <w:t>ESI fondova</w:t>
            </w:r>
            <w:r w:rsidRPr="00B208E4">
              <w:rPr>
                <w:sz w:val="20"/>
              </w:rPr>
              <w:t xml:space="preserve">, </w:t>
            </w:r>
            <w:r>
              <w:rPr>
                <w:sz w:val="20"/>
              </w:rPr>
              <w:t>prema OPKK, u iznosu od 80 milijuna EUR</w:t>
            </w:r>
            <w:r w:rsidRPr="00B208E4">
              <w:rPr>
                <w:sz w:val="20"/>
              </w:rPr>
              <w:t>.</w:t>
            </w:r>
          </w:p>
        </w:tc>
      </w:tr>
      <w:tr w:rsidR="00B40E8D" w:rsidRPr="002003B1" w14:paraId="61234AD8"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534B2AB3" w14:textId="204FC472" w:rsidR="00B40E8D" w:rsidRPr="001E0E25" w:rsidRDefault="00B40E8D" w:rsidP="00B40E8D">
            <w:pPr>
              <w:pStyle w:val="Default"/>
              <w:rPr>
                <w:b w:val="0"/>
                <w:sz w:val="20"/>
                <w:szCs w:val="20"/>
              </w:rPr>
            </w:pPr>
            <w:r w:rsidRPr="007A5245">
              <w:rPr>
                <w:b w:val="0"/>
                <w:sz w:val="20"/>
                <w:szCs w:val="20"/>
              </w:rPr>
              <w:t>Vođenje elektroenergetskog sustava i razvoj prijenosne i distribucijske mreže</w:t>
            </w:r>
            <w:r w:rsidRPr="007A5245" w:rsidDel="007A5245">
              <w:rPr>
                <w:b w:val="0"/>
                <w:sz w:val="20"/>
                <w:szCs w:val="20"/>
              </w:rPr>
              <w:t xml:space="preserve"> </w:t>
            </w:r>
            <w:r w:rsidRPr="001E0E25">
              <w:rPr>
                <w:b w:val="0"/>
                <w:sz w:val="20"/>
                <w:szCs w:val="20"/>
              </w:rPr>
              <w:t>(</w:t>
            </w:r>
            <w:r>
              <w:rPr>
                <w:b w:val="0"/>
                <w:sz w:val="20"/>
                <w:szCs w:val="20"/>
              </w:rPr>
              <w:t>E</w:t>
            </w:r>
            <w:r w:rsidRPr="001E0E25">
              <w:rPr>
                <w:b w:val="0"/>
                <w:sz w:val="20"/>
                <w:szCs w:val="20"/>
              </w:rPr>
              <w:t>.</w:t>
            </w:r>
            <w:r>
              <w:rPr>
                <w:b w:val="0"/>
                <w:sz w:val="20"/>
                <w:szCs w:val="20"/>
              </w:rPr>
              <w:t>8 i E.9 [12]</w:t>
            </w:r>
            <w:r w:rsidRPr="001E0E25">
              <w:rPr>
                <w:b w:val="0"/>
                <w:sz w:val="20"/>
                <w:szCs w:val="20"/>
              </w:rPr>
              <w:t>; MEN-</w:t>
            </w:r>
            <w:r>
              <w:rPr>
                <w:b w:val="0"/>
                <w:sz w:val="20"/>
                <w:szCs w:val="20"/>
              </w:rPr>
              <w:t>25 [7]</w:t>
            </w:r>
            <w:r w:rsidRPr="001E0E25">
              <w:rPr>
                <w:b w:val="0"/>
                <w:sz w:val="20"/>
                <w:szCs w:val="20"/>
              </w:rPr>
              <w:t>)</w:t>
            </w:r>
          </w:p>
        </w:tc>
        <w:tc>
          <w:tcPr>
            <w:tcW w:w="1250" w:type="pct"/>
          </w:tcPr>
          <w:p w14:paraId="05B1E581" w14:textId="2D7A3A65" w:rsidR="00B40E8D" w:rsidRPr="00EF5587"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Elektroenergetske mreže</w:t>
            </w:r>
          </w:p>
        </w:tc>
        <w:tc>
          <w:tcPr>
            <w:tcW w:w="2500" w:type="pct"/>
          </w:tcPr>
          <w:p w14:paraId="14BE3C7D" w14:textId="451EEF10" w:rsidR="00B40E8D" w:rsidRPr="0031468F" w:rsidRDefault="00B40E8D" w:rsidP="00B40E8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Mjera podr</w:t>
            </w:r>
            <w:r w:rsidRPr="0031468F">
              <w:rPr>
                <w:sz w:val="20"/>
                <w:szCs w:val="20"/>
              </w:rPr>
              <w:t>a</w:t>
            </w:r>
            <w:r w:rsidRPr="005A25C9">
              <w:rPr>
                <w:sz w:val="20"/>
                <w:szCs w:val="20"/>
              </w:rPr>
              <w:t xml:space="preserve">zumijeva </w:t>
            </w:r>
            <w:r w:rsidRPr="0031468F">
              <w:rPr>
                <w:sz w:val="20"/>
                <w:szCs w:val="20"/>
              </w:rPr>
              <w:t>optimizaciju topologije prijenosne mreže i smanjenje gubitaka te razvoj mrežnih kapaciteta od strane HOPS-a</w:t>
            </w:r>
            <w:r w:rsidR="0086329E">
              <w:rPr>
                <w:sz w:val="20"/>
                <w:szCs w:val="20"/>
              </w:rPr>
              <w:t xml:space="preserve"> </w:t>
            </w:r>
            <w:r w:rsidRPr="0031468F">
              <w:rPr>
                <w:sz w:val="20"/>
                <w:szCs w:val="20"/>
              </w:rPr>
              <w:t xml:space="preserve">te smanjenje gubitaka u distribucijskoj mreži i uvođenje naprednih mjerila za krajnje potrošače od strane HEP-ODS. Za pilot projekt „Uvođenje pametnih mreža na pilot područjima“ predviđeno je 20 milijuna EUR iz ESI fondova, prema OPKK. </w:t>
            </w:r>
          </w:p>
        </w:tc>
      </w:tr>
    </w:tbl>
    <w:p w14:paraId="69514202" w14:textId="77777777" w:rsidR="00CA2F8C" w:rsidRDefault="00CA2F8C" w:rsidP="006163EC"/>
    <w:p w14:paraId="3FBA2124" w14:textId="77777777" w:rsidR="0023564C" w:rsidRDefault="0023564C">
      <w:pPr>
        <w:suppressAutoHyphens w:val="0"/>
        <w:spacing w:before="0" w:after="0" w:line="240" w:lineRule="auto"/>
        <w:jc w:val="left"/>
        <w:rPr>
          <w:i/>
        </w:rPr>
      </w:pPr>
      <w:r>
        <w:rPr>
          <w:i/>
        </w:rPr>
        <w:br w:type="page"/>
      </w:r>
    </w:p>
    <w:p w14:paraId="1B216101" w14:textId="53996B67" w:rsidR="00FF0CF3" w:rsidRPr="00816CF6" w:rsidRDefault="00FF0CF3" w:rsidP="00FF0CF3">
      <w:pPr>
        <w:shd w:val="clear" w:color="auto" w:fill="D9D9D9" w:themeFill="background1" w:themeFillShade="D9"/>
        <w:rPr>
          <w:i/>
        </w:rPr>
      </w:pPr>
      <w:r w:rsidRPr="00816CF6">
        <w:rPr>
          <w:i/>
        </w:rPr>
        <w:t xml:space="preserve">Dimenzija </w:t>
      </w:r>
      <w:r>
        <w:rPr>
          <w:i/>
        </w:rPr>
        <w:t>„</w:t>
      </w:r>
      <w:r w:rsidRPr="00816CF6">
        <w:rPr>
          <w:i/>
        </w:rPr>
        <w:t xml:space="preserve">Energetska </w:t>
      </w:r>
      <w:r>
        <w:rPr>
          <w:i/>
        </w:rPr>
        <w:t>sigurnost“</w:t>
      </w:r>
    </w:p>
    <w:p w14:paraId="3BC4E614" w14:textId="3652B258" w:rsidR="00AC79AE" w:rsidRDefault="00AC79AE" w:rsidP="00AC79AE">
      <w:r>
        <w:t>Ključni zakoni releva</w:t>
      </w:r>
      <w:r w:rsidR="00C651D3">
        <w:t>n</w:t>
      </w:r>
      <w:r>
        <w:t>tni za dimenziju Energetska sigurnost su:</w:t>
      </w:r>
    </w:p>
    <w:p w14:paraId="1FD317D6" w14:textId="285A6FE8" w:rsidR="005D0CDF" w:rsidRDefault="00AC79AE" w:rsidP="005822F8">
      <w:pPr>
        <w:pStyle w:val="ListParagraph"/>
        <w:numPr>
          <w:ilvl w:val="0"/>
          <w:numId w:val="55"/>
        </w:numPr>
      </w:pPr>
      <w:r>
        <w:t>Zakon o energiji (</w:t>
      </w:r>
      <w:r w:rsidR="005D0CDF">
        <w:t xml:space="preserve">NN </w:t>
      </w:r>
      <w:r>
        <w:t>120/12, 14/14, 102/15, 68/18</w:t>
      </w:r>
      <w:r w:rsidR="005D0CDF">
        <w:t>)</w:t>
      </w:r>
    </w:p>
    <w:p w14:paraId="1B8BC21F" w14:textId="0EE74DB6" w:rsidR="00BD1437" w:rsidRDefault="00BD1437" w:rsidP="00BD1437">
      <w:pPr>
        <w:pStyle w:val="ListParagraph"/>
        <w:numPr>
          <w:ilvl w:val="0"/>
          <w:numId w:val="55"/>
        </w:numPr>
      </w:pPr>
      <w:r>
        <w:t>Zakon o tržištu električne energije (</w:t>
      </w:r>
      <w:r w:rsidR="005D0CDF">
        <w:t xml:space="preserve">NN </w:t>
      </w:r>
      <w:r>
        <w:t xml:space="preserve">22/13, 102/15, 68/18) </w:t>
      </w:r>
    </w:p>
    <w:p w14:paraId="6C1F3098" w14:textId="1ACCCE05" w:rsidR="00BD1437" w:rsidRDefault="00BD1437" w:rsidP="00BD1437">
      <w:pPr>
        <w:pStyle w:val="ListParagraph"/>
        <w:numPr>
          <w:ilvl w:val="0"/>
          <w:numId w:val="55"/>
        </w:numPr>
      </w:pPr>
      <w:r>
        <w:t>Zakon o tržištu plina (</w:t>
      </w:r>
      <w:r w:rsidR="005D0CDF">
        <w:t xml:space="preserve">NN </w:t>
      </w:r>
      <w:r>
        <w:t>br. 18/18)</w:t>
      </w:r>
    </w:p>
    <w:p w14:paraId="03982A8A" w14:textId="3E085CEC" w:rsidR="00BD1437" w:rsidRDefault="00BD1437" w:rsidP="00BD1437">
      <w:pPr>
        <w:pStyle w:val="ListParagraph"/>
        <w:numPr>
          <w:ilvl w:val="0"/>
          <w:numId w:val="55"/>
        </w:numPr>
      </w:pPr>
      <w:r>
        <w:t>Zakon o tržištu nafte i naftnih derivata (</w:t>
      </w:r>
      <w:r w:rsidR="005D0CDF">
        <w:t xml:space="preserve">NN </w:t>
      </w:r>
      <w:r>
        <w:t>19/14, 73/17)</w:t>
      </w:r>
    </w:p>
    <w:p w14:paraId="09BF2FE1" w14:textId="4562C90A" w:rsidR="005D0CDF" w:rsidRDefault="005D0CDF" w:rsidP="005D0CDF">
      <w:pPr>
        <w:pStyle w:val="ListParagraph"/>
        <w:numPr>
          <w:ilvl w:val="0"/>
          <w:numId w:val="55"/>
        </w:numPr>
      </w:pPr>
      <w:r>
        <w:t>Zakon o terminalu za ukapljeni prirodni plin (NN 57/18)</w:t>
      </w:r>
    </w:p>
    <w:p w14:paraId="034EAAB2" w14:textId="59E102BE" w:rsidR="005D0CDF" w:rsidRDefault="005D0CDF" w:rsidP="005D0CDF">
      <w:pPr>
        <w:pStyle w:val="ListParagraph"/>
        <w:numPr>
          <w:ilvl w:val="0"/>
          <w:numId w:val="55"/>
        </w:numPr>
      </w:pPr>
      <w:r>
        <w:t>Zakon o regulaciji energetskih djelatnosti (</w:t>
      </w:r>
      <w:r w:rsidRPr="005D0CDF">
        <w:t>NN 120/12, 68/18</w:t>
      </w:r>
      <w:r>
        <w:t>)</w:t>
      </w:r>
    </w:p>
    <w:p w14:paraId="5813C76B" w14:textId="34A30C7D" w:rsidR="0047703A" w:rsidRDefault="0047703A" w:rsidP="00AC79AE">
      <w:pPr>
        <w:rPr>
          <w:rFonts w:cs="Arial"/>
        </w:rPr>
      </w:pPr>
      <w:r w:rsidRPr="0047703A">
        <w:rPr>
          <w:rFonts w:cs="Arial"/>
        </w:rPr>
        <w:t xml:space="preserve">U pogledu ciljeva EU vezanim za željenu razinu interkonekcijske povezanosti od najmanje 15 % u odnosu na instaliranu snagu elektrana u promatranoj državi do 2030. godine prijenosni sustav na području RH već sad zadovoljava te višestruko premašuje taj cilj. Isto vrijedi i </w:t>
      </w:r>
      <w:r w:rsidR="00C651D3">
        <w:rPr>
          <w:rFonts w:cs="Arial"/>
        </w:rPr>
        <w:t>ako</w:t>
      </w:r>
      <w:r w:rsidRPr="0047703A">
        <w:rPr>
          <w:rFonts w:cs="Arial"/>
        </w:rPr>
        <w:t xml:space="preserve"> se postojeći interkonekcijski kapaciteti uspoređuju s vršnim opterećenjem sustava odnosno s instaliranom snagom OiE na teritoriju RH.</w:t>
      </w:r>
    </w:p>
    <w:p w14:paraId="18E2E988" w14:textId="474A70FB" w:rsidR="007E6002" w:rsidRDefault="007E6002" w:rsidP="007E6002">
      <w:pPr>
        <w:rPr>
          <w:rFonts w:cs="Arial"/>
        </w:rPr>
      </w:pPr>
      <w:r>
        <w:rPr>
          <w:rFonts w:cs="Arial"/>
        </w:rPr>
        <w:t xml:space="preserve">Najvažnije mjere koje se trenutno provode u cilju osiguranja energetske sigurnosti prikazuje </w:t>
      </w:r>
      <w:r w:rsidR="00322616">
        <w:rPr>
          <w:rFonts w:cs="Arial"/>
        </w:rPr>
        <w:fldChar w:fldCharType="begin"/>
      </w:r>
      <w:r w:rsidR="00322616">
        <w:rPr>
          <w:rFonts w:cs="Arial"/>
        </w:rPr>
        <w:instrText xml:space="preserve"> REF _Ref532197409 \h </w:instrText>
      </w:r>
      <w:r w:rsidR="00322616">
        <w:rPr>
          <w:rFonts w:cs="Arial"/>
        </w:rPr>
      </w:r>
      <w:r w:rsidR="00322616">
        <w:rPr>
          <w:rFonts w:cs="Arial"/>
        </w:rPr>
        <w:fldChar w:fldCharType="separate"/>
      </w:r>
      <w:r w:rsidR="00322616">
        <w:t xml:space="preserve">Tablica </w:t>
      </w:r>
      <w:r w:rsidR="00322616">
        <w:rPr>
          <w:noProof/>
        </w:rPr>
        <w:t>1</w:t>
      </w:r>
      <w:r w:rsidR="00322616">
        <w:noBreakHyphen/>
      </w:r>
      <w:r w:rsidR="00322616">
        <w:rPr>
          <w:noProof/>
        </w:rPr>
        <w:t>9</w:t>
      </w:r>
      <w:r w:rsidR="00322616">
        <w:rPr>
          <w:rFonts w:cs="Arial"/>
        </w:rPr>
        <w:fldChar w:fldCharType="end"/>
      </w:r>
      <w:r w:rsidR="00322616">
        <w:rPr>
          <w:rFonts w:cs="Arial"/>
        </w:rPr>
        <w:t>.</w:t>
      </w:r>
    </w:p>
    <w:p w14:paraId="5425D7B4" w14:textId="5CAD6D4D" w:rsidR="007E6002" w:rsidRDefault="007E6002" w:rsidP="007E6002">
      <w:pPr>
        <w:pStyle w:val="Caption"/>
        <w:rPr>
          <w:rFonts w:cs="Arial"/>
        </w:rPr>
      </w:pPr>
      <w:bookmarkStart w:id="77" w:name="_Toc531935329"/>
      <w:bookmarkStart w:id="78" w:name="_Ref532197409"/>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9</w:t>
      </w:r>
      <w:r w:rsidR="00B22048">
        <w:rPr>
          <w:noProof/>
        </w:rPr>
        <w:fldChar w:fldCharType="end"/>
      </w:r>
      <w:bookmarkEnd w:id="78"/>
      <w:r w:rsidR="00483D4C">
        <w:rPr>
          <w:noProof/>
        </w:rPr>
        <w:t xml:space="preserve"> </w:t>
      </w:r>
      <w:r>
        <w:t>Postojeće mjere osiguranja energetske sigurnosti</w:t>
      </w:r>
      <w:bookmarkEnd w:id="77"/>
    </w:p>
    <w:tbl>
      <w:tblPr>
        <w:tblStyle w:val="GridTable1Light"/>
        <w:tblW w:w="5000" w:type="pct"/>
        <w:tblLook w:val="04A0" w:firstRow="1" w:lastRow="0" w:firstColumn="1" w:lastColumn="0" w:noHBand="0" w:noVBand="1"/>
      </w:tblPr>
      <w:tblGrid>
        <w:gridCol w:w="3244"/>
        <w:gridCol w:w="2575"/>
        <w:gridCol w:w="3243"/>
      </w:tblGrid>
      <w:tr w:rsidR="007E6002" w:rsidRPr="00EF5587" w14:paraId="2C39D311" w14:textId="77777777" w:rsidTr="007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AD0F14D" w14:textId="77777777" w:rsidR="007E6002" w:rsidRPr="00EF5587" w:rsidRDefault="007E6002" w:rsidP="00D956D5">
            <w:pPr>
              <w:spacing w:before="0" w:after="0" w:line="240" w:lineRule="auto"/>
              <w:rPr>
                <w:rFonts w:cs="Arial"/>
                <w:sz w:val="20"/>
                <w:szCs w:val="20"/>
              </w:rPr>
            </w:pPr>
            <w:r w:rsidRPr="00EF5587">
              <w:rPr>
                <w:rFonts w:cs="Arial"/>
                <w:sz w:val="20"/>
                <w:szCs w:val="20"/>
              </w:rPr>
              <w:t>Naziv mjere</w:t>
            </w:r>
          </w:p>
        </w:tc>
        <w:tc>
          <w:tcPr>
            <w:tcW w:w="0" w:type="pct"/>
          </w:tcPr>
          <w:p w14:paraId="4CC5F9CD"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tcPr>
          <w:p w14:paraId="620D1DB7"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D03C67" w:rsidRPr="00EF5587" w14:paraId="76386C13" w14:textId="77777777" w:rsidTr="00EA72EA">
        <w:tc>
          <w:tcPr>
            <w:cnfStyle w:val="001000000000" w:firstRow="0" w:lastRow="0" w:firstColumn="1" w:lastColumn="0" w:oddVBand="0" w:evenVBand="0" w:oddHBand="0" w:evenHBand="0" w:firstRowFirstColumn="0" w:firstRowLastColumn="0" w:lastRowFirstColumn="0" w:lastRowLastColumn="0"/>
            <w:tcW w:w="0" w:type="pct"/>
          </w:tcPr>
          <w:p w14:paraId="65F2B25D" w14:textId="2F4FFFD8" w:rsidR="00D03C67" w:rsidRPr="007145ED" w:rsidRDefault="00B9192C">
            <w:pPr>
              <w:pStyle w:val="Default"/>
              <w:rPr>
                <w:b w:val="0"/>
                <w:sz w:val="20"/>
                <w:szCs w:val="20"/>
              </w:rPr>
            </w:pPr>
            <w:r w:rsidRPr="00A46DD5">
              <w:rPr>
                <w:sz w:val="20"/>
                <w:szCs w:val="20"/>
              </w:rPr>
              <w:t>Izrada i o</w:t>
            </w:r>
            <w:r w:rsidR="00D03C67" w:rsidRPr="00A46DD5">
              <w:rPr>
                <w:sz w:val="20"/>
                <w:szCs w:val="20"/>
              </w:rPr>
              <w:t>bjava izvješća o stanju sigurnosti opskrbe električnom energijom</w:t>
            </w:r>
          </w:p>
        </w:tc>
        <w:tc>
          <w:tcPr>
            <w:tcW w:w="0" w:type="pct"/>
          </w:tcPr>
          <w:p w14:paraId="2AB1957E" w14:textId="598689D3" w:rsidR="00D03C67" w:rsidRPr="005A25C9" w:rsidRDefault="00D03C67"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w:t>
            </w:r>
            <w:r w:rsidRPr="0031468F">
              <w:rPr>
                <w:sz w:val="20"/>
                <w:szCs w:val="20"/>
              </w:rPr>
              <w:t xml:space="preserve"> tržištu električne energije (NN 22/13, 102/15, 68/18)</w:t>
            </w:r>
          </w:p>
        </w:tc>
        <w:tc>
          <w:tcPr>
            <w:tcW w:w="0" w:type="pct"/>
          </w:tcPr>
          <w:p w14:paraId="79C0D857" w14:textId="5A17033C" w:rsidR="00D03C67" w:rsidRPr="00A131A4" w:rsidRDefault="00272581"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272581">
              <w:rPr>
                <w:bCs/>
                <w:sz w:val="20"/>
                <w:szCs w:val="20"/>
              </w:rPr>
              <w:t xml:space="preserve">Operator prijenosnog sustava </w:t>
            </w:r>
            <w:r w:rsidR="0072765A">
              <w:rPr>
                <w:bCs/>
                <w:sz w:val="20"/>
                <w:szCs w:val="20"/>
              </w:rPr>
              <w:t xml:space="preserve">i Operator distribucijskog sustava </w:t>
            </w:r>
            <w:r w:rsidRPr="00272581">
              <w:rPr>
                <w:bCs/>
                <w:sz w:val="20"/>
                <w:szCs w:val="20"/>
              </w:rPr>
              <w:t>obvez</w:t>
            </w:r>
            <w:r w:rsidR="0072765A">
              <w:rPr>
                <w:bCs/>
                <w:sz w:val="20"/>
                <w:szCs w:val="20"/>
              </w:rPr>
              <w:t>ni</w:t>
            </w:r>
            <w:r w:rsidRPr="00272581">
              <w:rPr>
                <w:bCs/>
                <w:sz w:val="20"/>
                <w:szCs w:val="20"/>
              </w:rPr>
              <w:t xml:space="preserve"> </w:t>
            </w:r>
            <w:r w:rsidR="0072765A">
              <w:rPr>
                <w:bCs/>
                <w:sz w:val="20"/>
                <w:szCs w:val="20"/>
              </w:rPr>
              <w:t>su</w:t>
            </w:r>
            <w:r w:rsidRPr="00272581">
              <w:rPr>
                <w:bCs/>
                <w:sz w:val="20"/>
                <w:szCs w:val="20"/>
              </w:rPr>
              <w:t>, najkasnije do 30. travnja tekuće godine, objaviti uz prethodnu suglasnost Agencije godišnje izvješće o sigurnosti opskrbe u prijenosnom sustavu</w:t>
            </w:r>
            <w:r w:rsidR="0072765A">
              <w:rPr>
                <w:bCs/>
                <w:sz w:val="20"/>
                <w:szCs w:val="20"/>
              </w:rPr>
              <w:t xml:space="preserve"> odnosno u distribucijskom sustavu</w:t>
            </w:r>
            <w:r w:rsidR="00A77614">
              <w:rPr>
                <w:bCs/>
                <w:sz w:val="20"/>
                <w:szCs w:val="20"/>
              </w:rPr>
              <w:t xml:space="preserve">, za </w:t>
            </w:r>
            <w:r w:rsidRPr="00272581">
              <w:rPr>
                <w:bCs/>
                <w:sz w:val="20"/>
                <w:szCs w:val="20"/>
              </w:rPr>
              <w:t>prethodnu godinu</w:t>
            </w:r>
            <w:r w:rsidR="00A77614">
              <w:rPr>
                <w:bCs/>
                <w:sz w:val="20"/>
                <w:szCs w:val="20"/>
              </w:rPr>
              <w:t>. Na</w:t>
            </w:r>
            <w:r w:rsidRPr="00272581">
              <w:rPr>
                <w:bCs/>
                <w:sz w:val="20"/>
                <w:szCs w:val="20"/>
              </w:rPr>
              <w:t xml:space="preserve"> temelju </w:t>
            </w:r>
            <w:r w:rsidR="00A77614">
              <w:rPr>
                <w:bCs/>
                <w:sz w:val="20"/>
                <w:szCs w:val="20"/>
              </w:rPr>
              <w:t xml:space="preserve">tih izvješća </w:t>
            </w:r>
            <w:r w:rsidRPr="00272581">
              <w:rPr>
                <w:bCs/>
                <w:sz w:val="20"/>
                <w:szCs w:val="20"/>
              </w:rPr>
              <w:t>Ministarstvo izrađuje vlastito godišnje izvješće o stanju sigurnosti opskrbe električnom energijom i očekivanim potrebama za električnom energijom u Republici Hrvatskoj. Agencija, u suradnji s Ministarstvom, na temelju tih izvješća može zahtijevati od operatora prijenosnog sustava</w:t>
            </w:r>
            <w:r w:rsidR="00A77614">
              <w:rPr>
                <w:bCs/>
                <w:sz w:val="20"/>
                <w:szCs w:val="20"/>
              </w:rPr>
              <w:t>, operatora distribucijskog sustava</w:t>
            </w:r>
            <w:r w:rsidRPr="00272581">
              <w:rPr>
                <w:bCs/>
                <w:sz w:val="20"/>
                <w:szCs w:val="20"/>
              </w:rPr>
              <w:t xml:space="preserve"> i ostalih elektroenergetskih subjekata provedbu određenih mjera u slučaju potrebe radi poboljšanja sigurnosti opskrbe električnom energijom.</w:t>
            </w:r>
          </w:p>
        </w:tc>
      </w:tr>
      <w:tr w:rsidR="001E543C" w:rsidRPr="00EF5587" w14:paraId="443356C7" w14:textId="77777777" w:rsidTr="00EA72EA">
        <w:tc>
          <w:tcPr>
            <w:cnfStyle w:val="001000000000" w:firstRow="0" w:lastRow="0" w:firstColumn="1" w:lastColumn="0" w:oddVBand="0" w:evenVBand="0" w:oddHBand="0" w:evenHBand="0" w:firstRowFirstColumn="0" w:firstRowLastColumn="0" w:lastRowFirstColumn="0" w:lastRowLastColumn="0"/>
            <w:tcW w:w="0" w:type="pct"/>
          </w:tcPr>
          <w:p w14:paraId="4A51F88D" w14:textId="3BCBFC3B" w:rsidR="001E543C" w:rsidRPr="007145ED" w:rsidRDefault="00EA216F">
            <w:pPr>
              <w:pStyle w:val="Default"/>
              <w:rPr>
                <w:b w:val="0"/>
                <w:sz w:val="20"/>
                <w:szCs w:val="20"/>
              </w:rPr>
            </w:pPr>
            <w:r w:rsidRPr="00A46DD5">
              <w:rPr>
                <w:sz w:val="20"/>
                <w:szCs w:val="20"/>
              </w:rPr>
              <w:t>Izrada i objava izvješća</w:t>
            </w:r>
            <w:r w:rsidR="00867C9F" w:rsidRPr="00A46DD5">
              <w:t xml:space="preserve"> </w:t>
            </w:r>
            <w:r w:rsidR="00867C9F" w:rsidRPr="00A46DD5">
              <w:rPr>
                <w:sz w:val="20"/>
                <w:szCs w:val="20"/>
              </w:rPr>
              <w:t>operatora transportnog sustava</w:t>
            </w:r>
          </w:p>
        </w:tc>
        <w:tc>
          <w:tcPr>
            <w:tcW w:w="0" w:type="pct"/>
          </w:tcPr>
          <w:p w14:paraId="45B90EB7" w14:textId="6CA5F3FF" w:rsidR="001E543C" w:rsidRPr="005A25C9" w:rsidRDefault="00A46D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46DD5">
              <w:rPr>
                <w:sz w:val="20"/>
                <w:szCs w:val="20"/>
              </w:rPr>
              <w:t>Zakon o tržištu plina (NN br. 18/18)</w:t>
            </w:r>
          </w:p>
        </w:tc>
        <w:tc>
          <w:tcPr>
            <w:tcW w:w="0" w:type="pct"/>
          </w:tcPr>
          <w:p w14:paraId="677665FC" w14:textId="079BABDE" w:rsidR="001E543C" w:rsidRPr="00A131A4" w:rsidRDefault="001710D9"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PLINACRO je</w:t>
            </w:r>
            <w:r w:rsidR="00B0677D">
              <w:rPr>
                <w:bCs/>
                <w:sz w:val="20"/>
                <w:szCs w:val="20"/>
              </w:rPr>
              <w:t xml:space="preserve"> dužan do 1.3. tekuće godine izraditi i HERA-i dostaviti izvješće</w:t>
            </w:r>
            <w:r w:rsidRPr="001710D9">
              <w:rPr>
                <w:bCs/>
                <w:sz w:val="20"/>
                <w:szCs w:val="20"/>
              </w:rPr>
              <w:t xml:space="preserve"> za prethodnu godinu, a koje mora sadržavati izvješće </w:t>
            </w:r>
            <w:r w:rsidRPr="007145ED">
              <w:rPr>
                <w:b/>
                <w:bCs/>
                <w:sz w:val="20"/>
                <w:szCs w:val="20"/>
              </w:rPr>
              <w:t>o pouzdanosti, sigurnosti</w:t>
            </w:r>
            <w:r w:rsidRPr="001710D9">
              <w:rPr>
                <w:bCs/>
                <w:sz w:val="20"/>
                <w:szCs w:val="20"/>
              </w:rPr>
              <w:t xml:space="preserve"> i učinkovitosti transportnog sustava, kvaliteti plina, kvaliteti usluge, pouzdanosti isporuke plina, tehničkim karakteristikama sustava, korištenju kapaciteta transportnog sustava, održavanju opreme sustava te ispunjavanju ostalih dužnosti i ostvarivanju prava iz ovoga Zakona</w:t>
            </w:r>
          </w:p>
        </w:tc>
      </w:tr>
      <w:tr w:rsidR="007E6002" w:rsidRPr="00EF5587" w14:paraId="22D62D3E"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416307FF" w14:textId="6752A4D5" w:rsidR="007E6002" w:rsidRPr="00765552" w:rsidRDefault="006015A3">
            <w:pPr>
              <w:pStyle w:val="Default"/>
              <w:rPr>
                <w:b w:val="0"/>
                <w:sz w:val="20"/>
                <w:szCs w:val="20"/>
              </w:rPr>
            </w:pPr>
            <w:r w:rsidRPr="006015A3">
              <w:rPr>
                <w:b w:val="0"/>
                <w:sz w:val="20"/>
                <w:szCs w:val="20"/>
              </w:rPr>
              <w:t>Plan obrane elektroenergetskog sustava od velikih poremećaja</w:t>
            </w:r>
          </w:p>
        </w:tc>
        <w:tc>
          <w:tcPr>
            <w:tcW w:w="0" w:type="pct"/>
          </w:tcPr>
          <w:p w14:paraId="0F368CCB" w14:textId="77777777"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w:t>
            </w:r>
            <w:r w:rsidRPr="0031468F">
              <w:rPr>
                <w:sz w:val="20"/>
                <w:szCs w:val="20"/>
              </w:rPr>
              <w:t xml:space="preserve"> tržištu električne energije (NN 22/13, 102/15, 68/18)</w:t>
            </w:r>
          </w:p>
        </w:tc>
        <w:tc>
          <w:tcPr>
            <w:tcW w:w="0" w:type="pct"/>
          </w:tcPr>
          <w:p w14:paraId="7B599FC4" w14:textId="3A1C42AD" w:rsidR="00A131A4" w:rsidRPr="00A131A4" w:rsidRDefault="00A131A4"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131A4">
              <w:rPr>
                <w:bCs/>
                <w:sz w:val="20"/>
                <w:szCs w:val="20"/>
              </w:rPr>
              <w:t>Hrvatski operator prijenosnog sustava (u daljnjem tekstu: HOPS) odgovoran je za</w:t>
            </w:r>
            <w:r>
              <w:rPr>
                <w:bCs/>
                <w:sz w:val="20"/>
                <w:szCs w:val="20"/>
              </w:rPr>
              <w:t xml:space="preserve"> </w:t>
            </w:r>
            <w:r w:rsidRPr="00A131A4">
              <w:rPr>
                <w:bCs/>
                <w:sz w:val="20"/>
                <w:szCs w:val="20"/>
              </w:rPr>
              <w:t>pouzdanost i raspoloživost sustava opskrbe elektri</w:t>
            </w:r>
            <w:r w:rsidR="00A8751A">
              <w:rPr>
                <w:bCs/>
                <w:sz w:val="20"/>
                <w:szCs w:val="20"/>
              </w:rPr>
              <w:t>č</w:t>
            </w:r>
            <w:r w:rsidRPr="00A131A4">
              <w:rPr>
                <w:bCs/>
                <w:sz w:val="20"/>
                <w:szCs w:val="20"/>
              </w:rPr>
              <w:t>nom energijom te ispravnu koordinaciju</w:t>
            </w:r>
            <w:r>
              <w:rPr>
                <w:bCs/>
                <w:sz w:val="20"/>
                <w:szCs w:val="20"/>
              </w:rPr>
              <w:t xml:space="preserve"> </w:t>
            </w:r>
            <w:r w:rsidRPr="00A131A4">
              <w:rPr>
                <w:bCs/>
                <w:sz w:val="20"/>
                <w:szCs w:val="20"/>
              </w:rPr>
              <w:t>sustava proizvodnje, prijenosa i distribucije uz odgovornost za vo</w:t>
            </w:r>
            <w:r>
              <w:rPr>
                <w:bCs/>
                <w:sz w:val="20"/>
                <w:szCs w:val="20"/>
              </w:rPr>
              <w:t>đ</w:t>
            </w:r>
            <w:r w:rsidRPr="00A131A4">
              <w:rPr>
                <w:bCs/>
                <w:sz w:val="20"/>
                <w:szCs w:val="20"/>
              </w:rPr>
              <w:t>enje elektroenergetskog</w:t>
            </w:r>
          </w:p>
          <w:p w14:paraId="0C9A9F19" w14:textId="75E10237" w:rsidR="007E6002" w:rsidRPr="00EF5587" w:rsidRDefault="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131A4">
              <w:rPr>
                <w:bCs/>
                <w:sz w:val="20"/>
                <w:szCs w:val="20"/>
              </w:rPr>
              <w:t>sustava na na</w:t>
            </w:r>
            <w:r w:rsidR="006169A8">
              <w:rPr>
                <w:bCs/>
                <w:sz w:val="20"/>
                <w:szCs w:val="20"/>
              </w:rPr>
              <w:t>č</w:t>
            </w:r>
            <w:r w:rsidRPr="00A131A4">
              <w:rPr>
                <w:bCs/>
                <w:sz w:val="20"/>
                <w:szCs w:val="20"/>
              </w:rPr>
              <w:t>in kojim se postiže sigurnost isporuke elektri</w:t>
            </w:r>
            <w:r w:rsidR="00A8751A">
              <w:rPr>
                <w:bCs/>
                <w:sz w:val="20"/>
                <w:szCs w:val="20"/>
              </w:rPr>
              <w:t>č</w:t>
            </w:r>
            <w:r w:rsidRPr="00A131A4">
              <w:rPr>
                <w:bCs/>
                <w:sz w:val="20"/>
                <w:szCs w:val="20"/>
              </w:rPr>
              <w:t>ne energije</w:t>
            </w:r>
            <w:r>
              <w:rPr>
                <w:bCs/>
                <w:sz w:val="20"/>
                <w:szCs w:val="20"/>
              </w:rPr>
              <w:t>. HOPS izrađuje Godišnje izvješće</w:t>
            </w:r>
            <w:r w:rsidR="006015A3">
              <w:rPr>
                <w:bCs/>
                <w:sz w:val="20"/>
                <w:szCs w:val="20"/>
              </w:rPr>
              <w:t xml:space="preserve"> </w:t>
            </w:r>
            <w:r w:rsidR="006015A3" w:rsidRPr="00A131A4">
              <w:rPr>
                <w:sz w:val="20"/>
                <w:szCs w:val="20"/>
              </w:rPr>
              <w:t>o sigurnosti opskrbe hrvatskog elektroenergetskog</w:t>
            </w:r>
            <w:r w:rsidR="006015A3">
              <w:rPr>
                <w:sz w:val="20"/>
                <w:szCs w:val="20"/>
              </w:rPr>
              <w:t xml:space="preserve"> </w:t>
            </w:r>
            <w:r w:rsidR="006015A3" w:rsidRPr="00A131A4">
              <w:rPr>
                <w:sz w:val="20"/>
                <w:szCs w:val="20"/>
              </w:rPr>
              <w:t>sustava</w:t>
            </w:r>
            <w:r>
              <w:rPr>
                <w:bCs/>
                <w:sz w:val="20"/>
                <w:szCs w:val="20"/>
              </w:rPr>
              <w:t>, a odobrava ga Hrvatska energetska regulatorna agencija.</w:t>
            </w:r>
            <w:r w:rsidR="006015A3">
              <w:rPr>
                <w:bCs/>
                <w:sz w:val="20"/>
                <w:szCs w:val="20"/>
              </w:rPr>
              <w:t xml:space="preserve"> </w:t>
            </w:r>
            <w:r w:rsidR="006015A3" w:rsidRPr="006015A3">
              <w:rPr>
                <w:bCs/>
                <w:sz w:val="20"/>
                <w:szCs w:val="20"/>
              </w:rPr>
              <w:t>Mjere iz Plana obrane provode svi korisnici prijenosnog sustava i za njih su obvezne.</w:t>
            </w:r>
          </w:p>
        </w:tc>
      </w:tr>
      <w:tr w:rsidR="007E6002" w:rsidRPr="00EF5587" w14:paraId="42652F7C"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0D926EFB" w14:textId="310291FD" w:rsidR="007E6002" w:rsidRPr="00080936" w:rsidRDefault="006015A3" w:rsidP="00D956D5">
            <w:pPr>
              <w:pStyle w:val="Default"/>
              <w:rPr>
                <w:sz w:val="20"/>
                <w:szCs w:val="20"/>
              </w:rPr>
            </w:pPr>
            <w:r w:rsidRPr="006015A3">
              <w:rPr>
                <w:b w:val="0"/>
                <w:sz w:val="20"/>
                <w:szCs w:val="20"/>
              </w:rPr>
              <w:t>Plan intervencije o mjerama zaštite sigurnosti opskrbe plinom Republike Hrvatske</w:t>
            </w:r>
          </w:p>
        </w:tc>
        <w:tc>
          <w:tcPr>
            <w:tcW w:w="0" w:type="pct"/>
          </w:tcPr>
          <w:p w14:paraId="45B8434A" w14:textId="37DBEA77" w:rsidR="007E6002" w:rsidRPr="00EF5587" w:rsidRDefault="006015A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Uredba (EU) br. 994/2010 Europskog parlamenta i Vijeća od 20. listopada 2010. o mjerama zaštite sigurnosti opskrbe plinom</w:t>
            </w:r>
          </w:p>
        </w:tc>
        <w:tc>
          <w:tcPr>
            <w:tcW w:w="0" w:type="pct"/>
          </w:tcPr>
          <w:p w14:paraId="48FA38E3" w14:textId="19373252" w:rsidR="007E6002" w:rsidRPr="0031468F" w:rsidRDefault="006015A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Planom intervencije uređuju se mjere za osiguranje pouzdane i učinkovite opskrbe prirodnim plinom, kriteriji i način određivanja dovoljne količine prirodnog plina za osiguranje pouzdane opskrbe prirodnim plinom zaštićenih kupaca, redoslijed smanjenja ili obustave opskrbe prirodnim plinom pojedinim kategorijama kupaca u slučaju kriznog stanja te sadržaj izvješća opskrbljivača plinom o sigurnosti opskrbe prirodnim plinom.</w:t>
            </w:r>
          </w:p>
        </w:tc>
      </w:tr>
      <w:tr w:rsidR="006015A3" w:rsidRPr="00EF5587" w14:paraId="736277CC"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3EDB8BC7" w14:textId="2A1AE8CA" w:rsidR="006015A3" w:rsidRPr="000D2AB4" w:rsidRDefault="006015A3" w:rsidP="006015A3">
            <w:pPr>
              <w:pStyle w:val="Default"/>
              <w:rPr>
                <w:b w:val="0"/>
                <w:sz w:val="20"/>
                <w:szCs w:val="20"/>
              </w:rPr>
            </w:pPr>
            <w:r w:rsidRPr="00080936">
              <w:rPr>
                <w:b w:val="0"/>
                <w:sz w:val="20"/>
                <w:szCs w:val="20"/>
              </w:rPr>
              <w:t>Formiranje i držanje obveznih zaliha nafte i naftnih derivata</w:t>
            </w:r>
          </w:p>
        </w:tc>
        <w:tc>
          <w:tcPr>
            <w:tcW w:w="0" w:type="pct"/>
          </w:tcPr>
          <w:p w14:paraId="078E2212" w14:textId="65614E92" w:rsidR="006015A3" w:rsidRPr="00EF5587" w:rsidRDefault="006015A3" w:rsidP="006015A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80936">
              <w:rPr>
                <w:rFonts w:cs="Arial"/>
                <w:sz w:val="20"/>
                <w:szCs w:val="20"/>
              </w:rPr>
              <w:t>Zakon o tržištu nafte i naftnih derivata (NN 19/14, 73/17)</w:t>
            </w:r>
          </w:p>
        </w:tc>
        <w:tc>
          <w:tcPr>
            <w:tcW w:w="0" w:type="pct"/>
          </w:tcPr>
          <w:p w14:paraId="72BDB8AB" w14:textId="5CB2B408" w:rsidR="006015A3" w:rsidRPr="0031468F" w:rsidRDefault="006015A3" w:rsidP="006015A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Agencija Za Ugljikovodike kao Središnje tijelo u RH za obvezne zalihe nafte i naftnih derivata obvezno je formirati zalihe najmanje u količini od 90 dana prosječnog dnevnog neto uvoza, odnosno unosa ili 61 dan prosječne dnevne domaće potrošnje naftnih derivata u prethodnoj kalendarskoj godini, ovisno o tome koja je količina veća. Obvezne zalihe nafte i naftnih derivata formiraju se za osiguranje opskrbe naftom i naftnim derivatima u slučaju prijetnje energetskoj sigurnosti države, zbog izvanrednih poremećaja opskrbe tržišta nafte i naftnih derivata.</w:t>
            </w:r>
          </w:p>
        </w:tc>
      </w:tr>
    </w:tbl>
    <w:p w14:paraId="30198DE7" w14:textId="77777777" w:rsidR="00FF0CF3" w:rsidRPr="0031468F" w:rsidRDefault="00FF0CF3" w:rsidP="00FF0CF3">
      <w:pPr>
        <w:shd w:val="clear" w:color="auto" w:fill="D9D9D9" w:themeFill="background1" w:themeFillShade="D9"/>
        <w:rPr>
          <w:i/>
        </w:rPr>
      </w:pPr>
      <w:r w:rsidRPr="0031468F">
        <w:rPr>
          <w:i/>
        </w:rPr>
        <w:t>Dimenzija „Unutarnje energetsko tržište“</w:t>
      </w:r>
    </w:p>
    <w:p w14:paraId="58406969" w14:textId="2A095EB1" w:rsidR="00634B7C" w:rsidRDefault="00634B7C" w:rsidP="00FF0CF3">
      <w:r>
        <w:t>Za unutarnje energetsko tržište relevantan je set zakona koji reguliraju energetska tržišta, i to:</w:t>
      </w:r>
    </w:p>
    <w:p w14:paraId="38ECC431" w14:textId="77777777" w:rsidR="00985E80" w:rsidRDefault="00985E80" w:rsidP="00985E80">
      <w:pPr>
        <w:pStyle w:val="ListParagraph"/>
        <w:numPr>
          <w:ilvl w:val="0"/>
          <w:numId w:val="55"/>
        </w:numPr>
      </w:pPr>
      <w:r>
        <w:t>Zakon o energiji (NN 120/12, 14/14, 102/15, 68/18)</w:t>
      </w:r>
    </w:p>
    <w:p w14:paraId="6E2F6351" w14:textId="77777777" w:rsidR="00985E80" w:rsidRDefault="00985E80" w:rsidP="00985E80">
      <w:pPr>
        <w:pStyle w:val="ListParagraph"/>
        <w:numPr>
          <w:ilvl w:val="0"/>
          <w:numId w:val="55"/>
        </w:numPr>
      </w:pPr>
      <w:r>
        <w:t xml:space="preserve">Zakon o tržištu električne energije (NN 22/13, 102/15, 68/18) </w:t>
      </w:r>
    </w:p>
    <w:p w14:paraId="2B01FA43" w14:textId="77777777" w:rsidR="00985E80" w:rsidRDefault="00985E80" w:rsidP="00985E80">
      <w:pPr>
        <w:pStyle w:val="ListParagraph"/>
        <w:numPr>
          <w:ilvl w:val="0"/>
          <w:numId w:val="55"/>
        </w:numPr>
      </w:pPr>
      <w:r>
        <w:t>Zakon o tržištu plina (NN br. 18/18)</w:t>
      </w:r>
    </w:p>
    <w:p w14:paraId="05EA9C1C" w14:textId="77777777" w:rsidR="00985E80" w:rsidRDefault="00985E80" w:rsidP="00985E80">
      <w:pPr>
        <w:pStyle w:val="ListParagraph"/>
        <w:numPr>
          <w:ilvl w:val="0"/>
          <w:numId w:val="55"/>
        </w:numPr>
      </w:pPr>
      <w:r>
        <w:t>Zakon o tržištu nafte i naftnih derivata (NN 19/14, 73/17)</w:t>
      </w:r>
    </w:p>
    <w:p w14:paraId="2E379B0B" w14:textId="77777777" w:rsidR="00985E80" w:rsidRDefault="00985E80" w:rsidP="00985E80">
      <w:pPr>
        <w:pStyle w:val="ListParagraph"/>
        <w:numPr>
          <w:ilvl w:val="0"/>
          <w:numId w:val="55"/>
        </w:numPr>
      </w:pPr>
      <w:r>
        <w:t>Zakon o regulaciji energetskih djelatnosti (</w:t>
      </w:r>
      <w:r w:rsidRPr="005D0CDF">
        <w:t>NN 120/12, 68/18</w:t>
      </w:r>
      <w:r>
        <w:t>)</w:t>
      </w:r>
    </w:p>
    <w:p w14:paraId="5C0B430D" w14:textId="37AF9A76" w:rsidR="005A526A" w:rsidRDefault="005A526A" w:rsidP="005A526A">
      <w:r>
        <w:t>U pogledu elektroenergetske međusobne povezanosti prije svega je potrebno razmotriti cilj EU prema kojem je željena razina interkonekcijske povezanosti najmanje 15 % u odnosu na instaliranu snagu elektrana u promatranoj državi do 2030. godine. Prijenosni sustav na području RH već sad zadovoljava te višestruko premašuje taj cilj. Isto vrijedi i ukoliko se postojeći interkonekcijski kapaciteti uspoređuju s vršnim opterećenjem sustava odnosno s instaliranom snagom OiE na teritoriju RH.</w:t>
      </w:r>
    </w:p>
    <w:p w14:paraId="31504785" w14:textId="1A14A9CF" w:rsidR="005A526A" w:rsidRDefault="005A526A" w:rsidP="007E6002">
      <w:r>
        <w:t xml:space="preserve">Najvažnije mjere u pogledu infrastrukture za prijenos energije prikazuje </w:t>
      </w:r>
      <w:r>
        <w:fldChar w:fldCharType="begin"/>
      </w:r>
      <w:r>
        <w:instrText xml:space="preserve"> REF _Ref531676813 \h </w:instrText>
      </w:r>
      <w:r>
        <w:fldChar w:fldCharType="separate"/>
      </w:r>
      <w:r w:rsidR="00E5423A">
        <w:t xml:space="preserve">Tablica </w:t>
      </w:r>
      <w:r w:rsidR="00E5423A">
        <w:rPr>
          <w:noProof/>
        </w:rPr>
        <w:t>1</w:t>
      </w:r>
      <w:r w:rsidR="00E5423A">
        <w:noBreakHyphen/>
      </w:r>
      <w:r w:rsidR="00E5423A">
        <w:rPr>
          <w:noProof/>
        </w:rPr>
        <w:t>10</w:t>
      </w:r>
      <w:r>
        <w:fldChar w:fldCharType="end"/>
      </w:r>
      <w:r>
        <w:t>.</w:t>
      </w:r>
    </w:p>
    <w:p w14:paraId="2A1D8552" w14:textId="1B6B4817" w:rsidR="007E6002" w:rsidRDefault="007E6002" w:rsidP="007E6002">
      <w:pPr>
        <w:pStyle w:val="Caption"/>
        <w:rPr>
          <w:rFonts w:cs="Arial"/>
        </w:rPr>
      </w:pPr>
      <w:bookmarkStart w:id="79" w:name="_Ref531676813"/>
      <w:bookmarkStart w:id="80" w:name="_Toc531935330"/>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10</w:t>
      </w:r>
      <w:r w:rsidR="00B22048">
        <w:rPr>
          <w:noProof/>
        </w:rPr>
        <w:fldChar w:fldCharType="end"/>
      </w:r>
      <w:bookmarkEnd w:id="79"/>
      <w:r w:rsidR="00483D4C">
        <w:rPr>
          <w:noProof/>
        </w:rPr>
        <w:t xml:space="preserve"> </w:t>
      </w:r>
      <w:r>
        <w:t xml:space="preserve">Postojeće mjere </w:t>
      </w:r>
      <w:r w:rsidR="005A526A">
        <w:t>za infrastrukturu za prijenos energije</w:t>
      </w:r>
      <w:bookmarkEnd w:id="80"/>
    </w:p>
    <w:tbl>
      <w:tblPr>
        <w:tblStyle w:val="GridTable1Light"/>
        <w:tblW w:w="5000" w:type="pct"/>
        <w:tblLook w:val="04A0" w:firstRow="1" w:lastRow="0" w:firstColumn="1" w:lastColumn="0" w:noHBand="0" w:noVBand="1"/>
      </w:tblPr>
      <w:tblGrid>
        <w:gridCol w:w="3206"/>
        <w:gridCol w:w="2650"/>
        <w:gridCol w:w="3206"/>
      </w:tblGrid>
      <w:tr w:rsidR="007E6002" w:rsidRPr="00EF5587" w14:paraId="0D45AF2C" w14:textId="77777777" w:rsidTr="007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pct"/>
          </w:tcPr>
          <w:p w14:paraId="49906A70" w14:textId="77777777" w:rsidR="007E6002" w:rsidRPr="00EF5587" w:rsidRDefault="007E6002" w:rsidP="00D956D5">
            <w:pPr>
              <w:spacing w:before="0" w:after="0" w:line="240" w:lineRule="auto"/>
              <w:rPr>
                <w:rFonts w:cs="Arial"/>
                <w:sz w:val="20"/>
                <w:szCs w:val="20"/>
              </w:rPr>
            </w:pPr>
            <w:r w:rsidRPr="00EF5587">
              <w:rPr>
                <w:rFonts w:cs="Arial"/>
                <w:sz w:val="20"/>
                <w:szCs w:val="20"/>
              </w:rPr>
              <w:t>Naziv mjere</w:t>
            </w:r>
          </w:p>
        </w:tc>
        <w:tc>
          <w:tcPr>
            <w:tcW w:w="1462" w:type="pct"/>
          </w:tcPr>
          <w:p w14:paraId="445027C0"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1769" w:type="pct"/>
          </w:tcPr>
          <w:p w14:paraId="5211BB27"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7E6002" w:rsidRPr="00EF5587" w14:paraId="2DEAE12D"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455DE2F5" w14:textId="77777777" w:rsidR="007E6002" w:rsidRPr="00765552" w:rsidRDefault="007E6002" w:rsidP="00D956D5">
            <w:pPr>
              <w:pStyle w:val="Default"/>
              <w:rPr>
                <w:b w:val="0"/>
                <w:sz w:val="20"/>
                <w:szCs w:val="20"/>
              </w:rPr>
            </w:pPr>
            <w:r w:rsidRPr="00765552">
              <w:rPr>
                <w:b w:val="0"/>
                <w:sz w:val="20"/>
                <w:szCs w:val="20"/>
              </w:rPr>
              <w:t>Izrada i provedba planova razvoja prijenosne</w:t>
            </w:r>
            <w:r>
              <w:rPr>
                <w:b w:val="0"/>
                <w:sz w:val="20"/>
                <w:szCs w:val="20"/>
              </w:rPr>
              <w:t xml:space="preserve"> elektroenergetske</w:t>
            </w:r>
            <w:r w:rsidRPr="00765552">
              <w:rPr>
                <w:b w:val="0"/>
                <w:sz w:val="20"/>
                <w:szCs w:val="20"/>
              </w:rPr>
              <w:t xml:space="preserve"> mreže</w:t>
            </w:r>
          </w:p>
        </w:tc>
        <w:tc>
          <w:tcPr>
            <w:tcW w:w="1462" w:type="pct"/>
          </w:tcPr>
          <w:p w14:paraId="3DD89EC8" w14:textId="77777777"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tržištu električne energije (NN 22/13, 102/15, 68/18)</w:t>
            </w:r>
          </w:p>
        </w:tc>
        <w:tc>
          <w:tcPr>
            <w:tcW w:w="1769" w:type="pct"/>
          </w:tcPr>
          <w:p w14:paraId="3A5026F6" w14:textId="77777777"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Hrvatski operator prijenosnog sustava (HOPS) je energetski subjekt odgovoran za upravljanje, pogon i vođenje, održavanje, razvoj i izgradnju prijenosne elektroenergetske mreže. Temeljem Zakona o</w:t>
            </w:r>
          </w:p>
          <w:p w14:paraId="2FF39012" w14:textId="77777777"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tržištu električne energije, HOPS je kao vlasnik prijenosne mreže 110 kV do 400 kV, dužan izraditi i donijeti, uz prethodnu suglasnost Hrvatske energetske regulatorne agencije (HERA), desetogodišnje, trogodišnje i jednogodišnje investicijske planove razvoja prijenosne mreže</w:t>
            </w:r>
          </w:p>
        </w:tc>
      </w:tr>
      <w:tr w:rsidR="007E6002" w:rsidRPr="00EF5587" w14:paraId="18931882"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26CD3EA3" w14:textId="77777777" w:rsidR="007E6002" w:rsidRPr="00080936" w:rsidRDefault="007E6002" w:rsidP="00D956D5">
            <w:pPr>
              <w:pStyle w:val="Default"/>
              <w:rPr>
                <w:sz w:val="20"/>
                <w:szCs w:val="20"/>
              </w:rPr>
            </w:pPr>
            <w:r w:rsidRPr="00765552">
              <w:rPr>
                <w:b w:val="0"/>
                <w:sz w:val="20"/>
                <w:szCs w:val="20"/>
              </w:rPr>
              <w:t xml:space="preserve">Izrada i provedba planova razvoja </w:t>
            </w:r>
            <w:r>
              <w:rPr>
                <w:b w:val="0"/>
                <w:sz w:val="20"/>
                <w:szCs w:val="20"/>
              </w:rPr>
              <w:t>distribucijske elektroenergetske</w:t>
            </w:r>
            <w:r w:rsidRPr="00765552">
              <w:rPr>
                <w:b w:val="0"/>
                <w:sz w:val="20"/>
                <w:szCs w:val="20"/>
              </w:rPr>
              <w:t xml:space="preserve"> mreže</w:t>
            </w:r>
          </w:p>
        </w:tc>
        <w:tc>
          <w:tcPr>
            <w:tcW w:w="1462" w:type="pct"/>
          </w:tcPr>
          <w:p w14:paraId="2AE8AB0A" w14:textId="77777777"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tržištu električne energije (NN 22/13, 102/15, 68/18)</w:t>
            </w:r>
          </w:p>
        </w:tc>
        <w:tc>
          <w:tcPr>
            <w:tcW w:w="1769" w:type="pct"/>
          </w:tcPr>
          <w:p w14:paraId="3AF65E79" w14:textId="77777777"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Sukladno Zakonu o tržištu električne energije, Mrežnim pravilima distribucijskog sustava koja, uz prethodnu suglasnost Hrvatske energetske regulatorne agencije, donosi operator distribucijskog sustava propisuju se metodologija i kriteriji za planiranje razvoja distribucijske mreže.</w:t>
            </w:r>
          </w:p>
        </w:tc>
      </w:tr>
      <w:tr w:rsidR="007E6002" w:rsidRPr="00EF5587" w14:paraId="6CA3A87D"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5E1FF0D1" w14:textId="77777777" w:rsidR="007E6002" w:rsidRPr="000D2AB4" w:rsidRDefault="007E6002" w:rsidP="00D956D5">
            <w:pPr>
              <w:pStyle w:val="Default"/>
              <w:rPr>
                <w:b w:val="0"/>
                <w:sz w:val="20"/>
                <w:szCs w:val="20"/>
              </w:rPr>
            </w:pPr>
            <w:r w:rsidRPr="000D2AB4">
              <w:rPr>
                <w:b w:val="0"/>
                <w:sz w:val="20"/>
                <w:szCs w:val="20"/>
              </w:rPr>
              <w:t xml:space="preserve">Izrada i provedba planova razvoja </w:t>
            </w:r>
            <w:r>
              <w:rPr>
                <w:b w:val="0"/>
                <w:sz w:val="20"/>
                <w:szCs w:val="20"/>
              </w:rPr>
              <w:t>plinskog transportnog sustava</w:t>
            </w:r>
          </w:p>
        </w:tc>
        <w:tc>
          <w:tcPr>
            <w:tcW w:w="1462" w:type="pct"/>
          </w:tcPr>
          <w:p w14:paraId="0A66679B" w14:textId="77777777" w:rsidR="007E6002" w:rsidRPr="00EF5587" w:rsidRDefault="007E6002" w:rsidP="00D956D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94F6A">
              <w:rPr>
                <w:rFonts w:cs="Arial"/>
                <w:sz w:val="20"/>
                <w:szCs w:val="20"/>
              </w:rPr>
              <w:t>Zakon o tržištu plina (NN br. 18/18)</w:t>
            </w:r>
          </w:p>
        </w:tc>
        <w:tc>
          <w:tcPr>
            <w:tcW w:w="1769" w:type="pct"/>
          </w:tcPr>
          <w:p w14:paraId="15A16B72" w14:textId="77777777"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Operator transportnog sustava dužan je izraditi desetogodišnji plan razvoja transportnog sustava te voditi, održavati i razvijati siguran, pouzdan i učinkovit transportni sustav, u skladu s desetgodišnjim planom razvoja.</w:t>
            </w:r>
          </w:p>
        </w:tc>
      </w:tr>
    </w:tbl>
    <w:p w14:paraId="55BC2FAD" w14:textId="77777777" w:rsidR="004854DB" w:rsidRDefault="004854DB" w:rsidP="004854DB">
      <w:pPr>
        <w:suppressAutoHyphens w:val="0"/>
        <w:spacing w:after="160" w:line="259" w:lineRule="auto"/>
        <w:contextualSpacing/>
      </w:pPr>
    </w:p>
    <w:p w14:paraId="51ACEA6C" w14:textId="55BE4C38" w:rsidR="004854DB" w:rsidRDefault="002958AC" w:rsidP="004854DB">
      <w:pPr>
        <w:suppressAutoHyphens w:val="0"/>
        <w:spacing w:after="160" w:line="259" w:lineRule="auto"/>
        <w:contextualSpacing/>
      </w:pPr>
      <w:r w:rsidRPr="002958AC">
        <w:t>Razina rezerve snage u proizvodnom dijelu EES-a,u Hrvatskoj i u susjednim sustavima s kojima je EES Hrvatske umrežen omogućuje siguran</w:t>
      </w:r>
      <w:r>
        <w:t xml:space="preserve"> i</w:t>
      </w:r>
      <w:r w:rsidRPr="002958AC">
        <w:t xml:space="preserve"> pouzdan pogon sustava.</w:t>
      </w:r>
      <w:r w:rsidR="004A4659">
        <w:t xml:space="preserve"> </w:t>
      </w:r>
      <w:r w:rsidR="004854DB">
        <w:t>Adekvatnost elektroenergetskog sustava u postojećem je stanju na zadovoljavajućoj visini uz potencijalnu ugrozu radi manjka raspoloživih domaćih proizvodnih kapaciteta, koju trenutno</w:t>
      </w:r>
      <w:r w:rsidR="0086329E">
        <w:t xml:space="preserve"> </w:t>
      </w:r>
      <w:r w:rsidR="004854DB">
        <w:t xml:space="preserve">nadoknađuju visoki iznosi mogućnosti prekograničnih razmjena, što adekvatnost i sigurnost opskrbe kupaca električnom energijom čini ovisnom o raspoloživosti prekograničnih prijenosnih kapaciteta i mogućnostima proizvodnje električne energije na širim regionalnim tržištima. </w:t>
      </w:r>
      <w:r w:rsidR="005657A2">
        <w:t>E</w:t>
      </w:r>
      <w:r w:rsidR="005657A2" w:rsidRPr="005657A2">
        <w:t>lementi adekvatnosti proizvodnje</w:t>
      </w:r>
      <w:r w:rsidR="00D46C4D">
        <w:t xml:space="preserve"> nastavit će se pratiti</w:t>
      </w:r>
      <w:r w:rsidR="005657A2" w:rsidRPr="005657A2">
        <w:t xml:space="preserve"> na vlastitom teritoriju i u okruženju, uzimajući u obzir strukturu proizvodnog parka i </w:t>
      </w:r>
      <w:r w:rsidR="00D46C4D">
        <w:t xml:space="preserve">udio varijabilnih </w:t>
      </w:r>
      <w:r w:rsidR="005657A2" w:rsidRPr="005657A2">
        <w:t>obnovljivih izvora.</w:t>
      </w:r>
      <w:r w:rsidR="00D82ED2">
        <w:t xml:space="preserve"> Paralelno s time, pratit će se </w:t>
      </w:r>
      <w:r w:rsidR="005657A2" w:rsidRPr="005657A2">
        <w:t>kapaciteti potrebni za pohranu energije i fleksibilnost rada EES-a.</w:t>
      </w:r>
      <w:r>
        <w:t xml:space="preserve"> </w:t>
      </w:r>
    </w:p>
    <w:p w14:paraId="2EF3B307" w14:textId="76DB668F" w:rsidR="004854DB" w:rsidRDefault="004854DB" w:rsidP="004854DB">
      <w:r>
        <w:t>Fleksibilnost se može definirati kao promjena obrasca proizvodnje ili potrošnje električne energije odzivom na poticaj (cjenovni signal ili aktivaciju) kako bi se pružila pomoćna usluga elektroenergetskom sustavu, najčešće operatoru sustava. Trenutno je u provedbi pilot projekt ispitivanja tržišta radi osiguravanja rezerve radne snage tercijarne regulacije upravljivom potrošnjom za potrebe HOPS-a. U okviru tog projekta, sklapanjem ugovornog odnosa s HOPS-om za pružanje pomoćne usluge osiguravanja rezerve radne snage tercijarne regulacije krajnji kupac izravno sudjeluje u mehanizmu uravnoteženja sustava i za to prima naknadu definiranu ugovorom. Jedinice s upravljivom potrošnjom mogu biti bilo koji uređaji čiju je potrošnju moguće smanjiti na nalog operatora prijenosnog sustava a dio su postrojenja krajnjeg kupca, kao na primjer električne peći, hladnjače, pumpe, kompresori i sl.</w:t>
      </w:r>
    </w:p>
    <w:p w14:paraId="5627CFEF" w14:textId="77777777" w:rsidR="004854DB" w:rsidRDefault="004854DB" w:rsidP="004854DB">
      <w:r>
        <w:t>P</w:t>
      </w:r>
      <w:r w:rsidRPr="00A16FCC">
        <w:t>omoćn</w:t>
      </w:r>
      <w:r>
        <w:t>e</w:t>
      </w:r>
      <w:r w:rsidRPr="00A16FCC">
        <w:t xml:space="preserve"> uslug</w:t>
      </w:r>
      <w:r>
        <w:t>e</w:t>
      </w:r>
      <w:r w:rsidRPr="00A16FCC">
        <w:t xml:space="preserve"> i uslug</w:t>
      </w:r>
      <w:r>
        <w:t>e</w:t>
      </w:r>
      <w:r w:rsidRPr="00A16FCC">
        <w:t xml:space="preserve"> fleksibilnosti koje korisnici distribucijske mreže pružaju operatoru distribucijskog sustava trenutno</w:t>
      </w:r>
      <w:r>
        <w:t xml:space="preserve"> se</w:t>
      </w:r>
      <w:r w:rsidRPr="00A16FCC">
        <w:t xml:space="preserve"> ne koriste u RH</w:t>
      </w:r>
      <w:r>
        <w:t>. Mrežnima pravilima distribucijskog sustava koja su nedavno stupila na snagu (NN 74/18) tek su prepoznate usluge koje bi mogle koristiti ODS-u.</w:t>
      </w:r>
    </w:p>
    <w:p w14:paraId="17B55988" w14:textId="77777777" w:rsidR="00EB3EAA" w:rsidRDefault="00EB3EAA" w:rsidP="00EB3EAA">
      <w:r>
        <w:t>Uspostava EKO bilančne grupe regulirana je Zakonom o obnovljivim izvorima energije i visokoučinkovite kogeneracije („Narodne novine“, broj: 100/2015; dalje: Zakon o OIEiVUK), a čine je proizvođači električne energije i druge osobe koje obavljaju djelatnost proizvodnje električne energije, a koje imaju pravo na poticajnu cijenu sukladno sklopljenim ugovorima o otkupu električne energije s Hrvatskim operatorom tržišta energijom (HROTE).</w:t>
      </w:r>
    </w:p>
    <w:p w14:paraId="7B796537" w14:textId="65817D6B" w:rsidR="00344697" w:rsidRDefault="00EB3EAA" w:rsidP="00D956D5">
      <w:r>
        <w:t>Zakonom o OIEiVUK HROTE je određen za voditelja EKO bilančne grupe s obvezom vođenja EKO bilančne grupe, planiranja proizvodnje električne energije za EKO bilančnu grupu te prodaje električne energije proizvedene od strane članova EKO bilančne grupe, na razvidan i nepristran način, na tržištu električne energije.</w:t>
      </w:r>
    </w:p>
    <w:p w14:paraId="33E2B583" w14:textId="4EE9A27C" w:rsidR="00C704F7" w:rsidRDefault="005A526A" w:rsidP="00C704F7">
      <w:r>
        <w:t>U pogledu</w:t>
      </w:r>
      <w:r w:rsidR="00C704F7">
        <w:t xml:space="preserve"> </w:t>
      </w:r>
      <w:r>
        <w:t>zaštite potrošača</w:t>
      </w:r>
      <w:r w:rsidR="00C704F7">
        <w:t>, konkurentnosti i razvoja maloprodajnog tržišta električne energije, jedan od ključnih pokazatelja je stopa promjene opskrbljivača krajnjih kupaca. Stopa promjene opskrbljivača kod krajnjih kupaca iz kategorije poduzetništvo veća je nego kod kategorije kućanstva. Utjecaj na to ima regulatorni okvir kojim se propisuje javna nabava, pri čemu se dio krajnjih kupaca iz kategorije poduzetništvo obvezuje na redovito objavljivanje natječaja za odabir najpovoljnijeg opskrbljivača električnom energijom.</w:t>
      </w:r>
    </w:p>
    <w:p w14:paraId="1B5A3C22" w14:textId="2A03B48E" w:rsidR="00C704F7" w:rsidRDefault="00C704F7" w:rsidP="00C704F7">
      <w:r>
        <w:t>Trenutno je HHI indeks (Herfindahl-Hirschman Index) za obračunska mjerna mjesta iz kategorije kućanstvo i poduzetništvo u RH veći od 2.000 što znači da je koncentracija na maloprodajnom tržištu električne energije (iz udjela pojedinih opskrbljivača) prema procjeni Europske komisije zadovoljavajuća.</w:t>
      </w:r>
    </w:p>
    <w:p w14:paraId="6FC19A26" w14:textId="77777777" w:rsidR="00C704F7" w:rsidRDefault="00C704F7" w:rsidP="00C704F7">
      <w:r>
        <w:t>Osnovni preduvjet za omogućavanje i razvijanje upravljanja potrošnjom je uvođenje sustava naprednog mjerenja.</w:t>
      </w:r>
    </w:p>
    <w:p w14:paraId="30247F46" w14:textId="4750E383" w:rsidR="007E6002" w:rsidRDefault="004B3713" w:rsidP="00D956D5">
      <w:r>
        <w:t xml:space="preserve">Mjere u području zaštite potrošača </w:t>
      </w:r>
      <w:r w:rsidR="005A526A">
        <w:t xml:space="preserve">prikazuje </w:t>
      </w:r>
      <w:r w:rsidR="00FD6529">
        <w:fldChar w:fldCharType="begin"/>
      </w:r>
      <w:r w:rsidR="00FD6529">
        <w:instrText xml:space="preserve"> REF _Ref531686052 \h </w:instrText>
      </w:r>
      <w:r w:rsidR="00FD6529">
        <w:fldChar w:fldCharType="separate"/>
      </w:r>
      <w:r w:rsidR="00E5423A">
        <w:t xml:space="preserve">Tablica </w:t>
      </w:r>
      <w:r w:rsidR="00E5423A">
        <w:rPr>
          <w:noProof/>
        </w:rPr>
        <w:t>1</w:t>
      </w:r>
      <w:r w:rsidR="00E5423A">
        <w:noBreakHyphen/>
      </w:r>
      <w:r w:rsidR="00E5423A">
        <w:rPr>
          <w:noProof/>
        </w:rPr>
        <w:t>11</w:t>
      </w:r>
      <w:r w:rsidR="00FD6529">
        <w:fldChar w:fldCharType="end"/>
      </w:r>
      <w:r w:rsidR="005A526A">
        <w:t>.</w:t>
      </w:r>
    </w:p>
    <w:p w14:paraId="5B2D21B6" w14:textId="17C48336" w:rsidR="00FD6529" w:rsidRDefault="00FD6529" w:rsidP="007145ED">
      <w:pPr>
        <w:pStyle w:val="Caption"/>
      </w:pPr>
      <w:bookmarkStart w:id="81" w:name="_Ref531686052"/>
      <w:bookmarkStart w:id="82" w:name="_Toc531935331"/>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11</w:t>
      </w:r>
      <w:r w:rsidR="00B22048">
        <w:rPr>
          <w:noProof/>
        </w:rPr>
        <w:fldChar w:fldCharType="end"/>
      </w:r>
      <w:bookmarkEnd w:id="81"/>
      <w:r w:rsidR="00483D4C">
        <w:rPr>
          <w:noProof/>
        </w:rPr>
        <w:t xml:space="preserve"> </w:t>
      </w:r>
      <w:r>
        <w:t>Postojeće mjere zaštite potrošača</w:t>
      </w:r>
      <w:bookmarkEnd w:id="82"/>
    </w:p>
    <w:tbl>
      <w:tblPr>
        <w:tblStyle w:val="GridTable1Light"/>
        <w:tblW w:w="5000" w:type="pct"/>
        <w:tblLook w:val="04A0" w:firstRow="1" w:lastRow="0" w:firstColumn="1" w:lastColumn="0" w:noHBand="0" w:noVBand="1"/>
      </w:tblPr>
      <w:tblGrid>
        <w:gridCol w:w="3029"/>
        <w:gridCol w:w="2905"/>
        <w:gridCol w:w="3128"/>
      </w:tblGrid>
      <w:tr w:rsidR="005A526A" w:rsidRPr="00EF5587" w14:paraId="7A1E065C" w14:textId="77777777" w:rsidTr="007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pct"/>
          </w:tcPr>
          <w:p w14:paraId="17024350" w14:textId="77777777" w:rsidR="005A526A" w:rsidRPr="00EF5587" w:rsidRDefault="005A526A" w:rsidP="00D956D5">
            <w:pPr>
              <w:spacing w:before="0" w:after="0" w:line="240" w:lineRule="auto"/>
              <w:rPr>
                <w:rFonts w:cs="Arial"/>
                <w:sz w:val="20"/>
                <w:szCs w:val="20"/>
              </w:rPr>
            </w:pPr>
            <w:r w:rsidRPr="00EF5587">
              <w:rPr>
                <w:rFonts w:cs="Arial"/>
                <w:sz w:val="20"/>
                <w:szCs w:val="20"/>
              </w:rPr>
              <w:t>Naziv mjere</w:t>
            </w:r>
          </w:p>
        </w:tc>
        <w:tc>
          <w:tcPr>
            <w:tcW w:w="1603" w:type="pct"/>
          </w:tcPr>
          <w:p w14:paraId="4CDD201D" w14:textId="77777777" w:rsidR="005A526A" w:rsidRPr="00EF5587" w:rsidRDefault="005A526A"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1726" w:type="pct"/>
          </w:tcPr>
          <w:p w14:paraId="5A25E062" w14:textId="77777777" w:rsidR="005A526A" w:rsidRPr="00EF5587" w:rsidRDefault="005A526A"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5A526A" w:rsidRPr="00EF5587" w14:paraId="56C43A44" w14:textId="77777777" w:rsidTr="007145ED">
        <w:tc>
          <w:tcPr>
            <w:cnfStyle w:val="001000000000" w:firstRow="0" w:lastRow="0" w:firstColumn="1" w:lastColumn="0" w:oddVBand="0" w:evenVBand="0" w:oddHBand="0" w:evenHBand="0" w:firstRowFirstColumn="0" w:firstRowLastColumn="0" w:lastRowFirstColumn="0" w:lastRowLastColumn="0"/>
            <w:tcW w:w="1671" w:type="pct"/>
          </w:tcPr>
          <w:p w14:paraId="6CE6F3CD" w14:textId="49306AAD" w:rsidR="005A526A" w:rsidRPr="00765552" w:rsidRDefault="00FD6529" w:rsidP="00D956D5">
            <w:pPr>
              <w:pStyle w:val="Default"/>
              <w:rPr>
                <w:b w:val="0"/>
                <w:sz w:val="20"/>
                <w:szCs w:val="20"/>
              </w:rPr>
            </w:pPr>
            <w:r>
              <w:rPr>
                <w:b w:val="0"/>
                <w:sz w:val="20"/>
                <w:szCs w:val="20"/>
              </w:rPr>
              <w:t>Informativni računi</w:t>
            </w:r>
          </w:p>
        </w:tc>
        <w:tc>
          <w:tcPr>
            <w:tcW w:w="1603" w:type="pct"/>
          </w:tcPr>
          <w:p w14:paraId="7323ED64" w14:textId="6DBA93F2" w:rsidR="005A526A" w:rsidRPr="00D956D5" w:rsidRDefault="00FD6529"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energetskoj učinkovitosti (NN 127/14)</w:t>
            </w:r>
          </w:p>
        </w:tc>
        <w:tc>
          <w:tcPr>
            <w:tcW w:w="1726" w:type="pct"/>
          </w:tcPr>
          <w:p w14:paraId="58D3F754" w14:textId="3297AF2B" w:rsidR="005A526A" w:rsidRPr="0031468F" w:rsidRDefault="00FD6529"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526A">
              <w:rPr>
                <w:sz w:val="20"/>
                <w:szCs w:val="20"/>
              </w:rPr>
              <w:t>Obveze opskrbljivača o mjerenju i obračunavanju potrošnje te informiranju kupaca o prethodnoj potrošnji, što obuhvaća usporedbu s prosječnim uobičajenim ili referentnim krajnjim kupcem iz iste kategorije krajnjih kupaca opskrbljivača</w:t>
            </w:r>
          </w:p>
        </w:tc>
      </w:tr>
      <w:tr w:rsidR="005A526A" w:rsidRPr="00EF5587" w14:paraId="7CFC8D61" w14:textId="77777777" w:rsidTr="007145ED">
        <w:tc>
          <w:tcPr>
            <w:cnfStyle w:val="001000000000" w:firstRow="0" w:lastRow="0" w:firstColumn="1" w:lastColumn="0" w:oddVBand="0" w:evenVBand="0" w:oddHBand="0" w:evenHBand="0" w:firstRowFirstColumn="0" w:firstRowLastColumn="0" w:lastRowFirstColumn="0" w:lastRowLastColumn="0"/>
            <w:tcW w:w="1671" w:type="pct"/>
          </w:tcPr>
          <w:p w14:paraId="0DA5FAD5" w14:textId="0EA0045B" w:rsidR="005A526A" w:rsidRPr="005A526A" w:rsidRDefault="003306FB" w:rsidP="00D956D5">
            <w:pPr>
              <w:pStyle w:val="Default"/>
              <w:rPr>
                <w:sz w:val="20"/>
                <w:szCs w:val="20"/>
              </w:rPr>
            </w:pPr>
            <w:r w:rsidRPr="00F52E31">
              <w:rPr>
                <w:b w:val="0"/>
                <w:sz w:val="20"/>
              </w:rPr>
              <w:t>Obveze distributera energije da</w:t>
            </w:r>
            <w:r>
              <w:t xml:space="preserve"> </w:t>
            </w:r>
            <w:r w:rsidRPr="00E803D1">
              <w:rPr>
                <w:b w:val="0"/>
                <w:sz w:val="20"/>
              </w:rPr>
              <w:t>podatke o mjerenju i potrošnji energije u javnom sektoru</w:t>
            </w:r>
            <w:r w:rsidRPr="00F52E31">
              <w:rPr>
                <w:b w:val="0"/>
                <w:sz w:val="20"/>
              </w:rPr>
              <w:t xml:space="preserve"> </w:t>
            </w:r>
            <w:r>
              <w:rPr>
                <w:b w:val="0"/>
                <w:sz w:val="20"/>
              </w:rPr>
              <w:t xml:space="preserve">unose na mjesečnoj razini u nacionalni informacijski sustav az gospodarenje energijom (ISGE) te da </w:t>
            </w:r>
            <w:r w:rsidRPr="00F52E31">
              <w:rPr>
                <w:b w:val="0"/>
                <w:sz w:val="20"/>
              </w:rPr>
              <w:t>osiguraju pojedinačna brojila krajnjim kupcima</w:t>
            </w:r>
          </w:p>
        </w:tc>
        <w:tc>
          <w:tcPr>
            <w:tcW w:w="1603" w:type="pct"/>
          </w:tcPr>
          <w:p w14:paraId="33946791" w14:textId="32ACAA73" w:rsidR="005A526A" w:rsidRPr="0031468F" w:rsidRDefault="003306FB"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energetskoj učinkovitosti (NN 127/14)</w:t>
            </w:r>
          </w:p>
        </w:tc>
        <w:tc>
          <w:tcPr>
            <w:tcW w:w="1726" w:type="pct"/>
          </w:tcPr>
          <w:p w14:paraId="252D72A7" w14:textId="77777777" w:rsidR="005A526A" w:rsidRDefault="003306FB"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Distributeri energije osiguravaju da, u mjeri u kojoj je to tehnički moguće, financijski opravdano i razmjerno s obzirom na potencijalne uštede energije, krajnjim kupcima energije i tople vode u kućanstvima budu pribavljena pojedinačna brojila po konkurentnim cijenama koja točno odražavaju stvarnu potrošnju energije krajnjih kupaca.</w:t>
            </w:r>
          </w:p>
          <w:p w14:paraId="5F55E344" w14:textId="7C10A240" w:rsidR="00066B43" w:rsidRPr="0031468F" w:rsidRDefault="00066B4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066B43" w:rsidRPr="00EF5587" w14:paraId="4CD5733F" w14:textId="77777777" w:rsidTr="007145ED">
        <w:tc>
          <w:tcPr>
            <w:cnfStyle w:val="001000000000" w:firstRow="0" w:lastRow="0" w:firstColumn="1" w:lastColumn="0" w:oddVBand="0" w:evenVBand="0" w:oddHBand="0" w:evenHBand="0" w:firstRowFirstColumn="0" w:firstRowLastColumn="0" w:lastRowFirstColumn="0" w:lastRowLastColumn="0"/>
            <w:tcW w:w="1671" w:type="pct"/>
          </w:tcPr>
          <w:p w14:paraId="40039831" w14:textId="33FF32DD" w:rsidR="00066B43" w:rsidRPr="00F52E31" w:rsidRDefault="00066B43" w:rsidP="00D956D5">
            <w:pPr>
              <w:pStyle w:val="Default"/>
              <w:rPr>
                <w:b w:val="0"/>
                <w:sz w:val="20"/>
              </w:rPr>
            </w:pPr>
          </w:p>
        </w:tc>
        <w:tc>
          <w:tcPr>
            <w:tcW w:w="1603" w:type="pct"/>
          </w:tcPr>
          <w:p w14:paraId="64F2625F" w14:textId="604F0CC5" w:rsidR="00066B43" w:rsidRPr="0031468F" w:rsidRDefault="00066B4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1726" w:type="pct"/>
          </w:tcPr>
          <w:p w14:paraId="799167EC" w14:textId="7C20EDC1" w:rsidR="00066B43" w:rsidRPr="007145ED" w:rsidRDefault="0086329E" w:rsidP="007145ED">
            <w:pPr>
              <w:pStyle w:val="Default"/>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p>
          <w:p w14:paraId="41B4B6CB" w14:textId="660FDADD" w:rsidR="00066B43" w:rsidRPr="0031468F" w:rsidRDefault="00066B4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bl>
    <w:p w14:paraId="405D44CE" w14:textId="0B951598" w:rsidR="00FD6529" w:rsidRDefault="00FD6529" w:rsidP="00FF0CF3">
      <w:r>
        <w:t xml:space="preserve">Postojeće mjere suzbijanja energetskog siromaštva prikazuje </w:t>
      </w:r>
      <w:r>
        <w:fldChar w:fldCharType="begin"/>
      </w:r>
      <w:r>
        <w:instrText xml:space="preserve"> REF _Ref531686112 \h </w:instrText>
      </w:r>
      <w:r>
        <w:fldChar w:fldCharType="separate"/>
      </w:r>
      <w:r w:rsidR="00E5423A">
        <w:t xml:space="preserve">Tablica </w:t>
      </w:r>
      <w:r w:rsidR="00E5423A">
        <w:rPr>
          <w:noProof/>
        </w:rPr>
        <w:t>1</w:t>
      </w:r>
      <w:r w:rsidR="00E5423A">
        <w:noBreakHyphen/>
      </w:r>
      <w:r w:rsidR="00E5423A">
        <w:rPr>
          <w:noProof/>
        </w:rPr>
        <w:t>12</w:t>
      </w:r>
      <w:r>
        <w:fldChar w:fldCharType="end"/>
      </w:r>
      <w:r>
        <w:t>.</w:t>
      </w:r>
    </w:p>
    <w:p w14:paraId="18CF6EA0" w14:textId="5280646B" w:rsidR="00FD6529" w:rsidRDefault="00FD6529" w:rsidP="007145ED">
      <w:pPr>
        <w:pStyle w:val="Caption"/>
      </w:pPr>
      <w:bookmarkStart w:id="83" w:name="_Ref531686112"/>
      <w:bookmarkStart w:id="84" w:name="_Toc531935332"/>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1</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12</w:t>
      </w:r>
      <w:r w:rsidR="00B22048">
        <w:rPr>
          <w:noProof/>
        </w:rPr>
        <w:fldChar w:fldCharType="end"/>
      </w:r>
      <w:bookmarkEnd w:id="83"/>
      <w:r w:rsidR="00483D4C">
        <w:rPr>
          <w:noProof/>
        </w:rPr>
        <w:t xml:space="preserve"> </w:t>
      </w:r>
      <w:r>
        <w:t>Postojeće mjere suzbijanja energetskog siromaštva</w:t>
      </w:r>
      <w:bookmarkEnd w:id="84"/>
    </w:p>
    <w:tbl>
      <w:tblPr>
        <w:tblStyle w:val="GridTable1Light"/>
        <w:tblW w:w="5000" w:type="pct"/>
        <w:tblLook w:val="04A0" w:firstRow="1" w:lastRow="0" w:firstColumn="1" w:lastColumn="0" w:noHBand="0" w:noVBand="1"/>
      </w:tblPr>
      <w:tblGrid>
        <w:gridCol w:w="3036"/>
        <w:gridCol w:w="2936"/>
        <w:gridCol w:w="3090"/>
      </w:tblGrid>
      <w:tr w:rsidR="00672DB0" w:rsidRPr="00EF5587" w14:paraId="16C17BB8" w14:textId="77777777" w:rsidTr="007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8B44675" w14:textId="77777777" w:rsidR="00672DB0" w:rsidRPr="00EF5587" w:rsidRDefault="00672DB0" w:rsidP="00D956D5">
            <w:pPr>
              <w:spacing w:before="0" w:after="0" w:line="240" w:lineRule="auto"/>
              <w:rPr>
                <w:rFonts w:cs="Arial"/>
                <w:sz w:val="20"/>
                <w:szCs w:val="20"/>
              </w:rPr>
            </w:pPr>
            <w:r w:rsidRPr="00EF5587">
              <w:rPr>
                <w:rFonts w:cs="Arial"/>
                <w:sz w:val="20"/>
                <w:szCs w:val="20"/>
              </w:rPr>
              <w:t>Naziv mjere</w:t>
            </w:r>
          </w:p>
        </w:tc>
        <w:tc>
          <w:tcPr>
            <w:tcW w:w="0" w:type="pct"/>
          </w:tcPr>
          <w:p w14:paraId="26FFCF25" w14:textId="77777777" w:rsidR="00672DB0" w:rsidRPr="00EF5587" w:rsidRDefault="00672DB0"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tcPr>
          <w:p w14:paraId="3EBA93B6" w14:textId="77777777" w:rsidR="00672DB0" w:rsidRPr="00EF5587" w:rsidRDefault="00672DB0"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672DB0" w:rsidRPr="00EF5587" w14:paraId="0081DE86"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17B40A14" w14:textId="66EF27D3" w:rsidR="00672DB0" w:rsidRPr="00765552" w:rsidRDefault="00D956D5" w:rsidP="00D956D5">
            <w:pPr>
              <w:pStyle w:val="Default"/>
              <w:rPr>
                <w:b w:val="0"/>
                <w:sz w:val="20"/>
                <w:szCs w:val="20"/>
              </w:rPr>
            </w:pPr>
            <w:r>
              <w:rPr>
                <w:b w:val="0"/>
                <w:sz w:val="20"/>
                <w:szCs w:val="20"/>
              </w:rPr>
              <w:t>N</w:t>
            </w:r>
            <w:r w:rsidRPr="00D956D5">
              <w:rPr>
                <w:b w:val="0"/>
                <w:sz w:val="20"/>
                <w:szCs w:val="20"/>
              </w:rPr>
              <w:t>aknad</w:t>
            </w:r>
            <w:r>
              <w:rPr>
                <w:b w:val="0"/>
                <w:sz w:val="20"/>
                <w:szCs w:val="20"/>
              </w:rPr>
              <w:t>a</w:t>
            </w:r>
            <w:r w:rsidRPr="00D956D5">
              <w:rPr>
                <w:b w:val="0"/>
                <w:sz w:val="20"/>
                <w:szCs w:val="20"/>
              </w:rPr>
              <w:t xml:space="preserve"> troškova energije ugroženih kupaca</w:t>
            </w:r>
          </w:p>
        </w:tc>
        <w:tc>
          <w:tcPr>
            <w:tcW w:w="0" w:type="pct"/>
          </w:tcPr>
          <w:p w14:paraId="70F358A3" w14:textId="38A6A3B5" w:rsidR="00672DB0" w:rsidRPr="00765552"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Uredba o kriterijima za stjecanje statusa ugroženih kupaca energije iz umreženih sustava (NN 95/2015)</w:t>
            </w:r>
          </w:p>
        </w:tc>
        <w:tc>
          <w:tcPr>
            <w:tcW w:w="0" w:type="pct"/>
          </w:tcPr>
          <w:p w14:paraId="429C47F8" w14:textId="5D5CCFB8" w:rsidR="00672DB0" w:rsidRPr="0031468F" w:rsidRDefault="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956D5">
              <w:rPr>
                <w:sz w:val="20"/>
                <w:szCs w:val="20"/>
              </w:rPr>
              <w:t xml:space="preserve">Kupci električne energije iz kategorije kućanstva </w:t>
            </w:r>
            <w:r>
              <w:rPr>
                <w:sz w:val="20"/>
                <w:szCs w:val="20"/>
              </w:rPr>
              <w:t xml:space="preserve">uplaćuju </w:t>
            </w:r>
            <w:r w:rsidRPr="00D956D5">
              <w:rPr>
                <w:sz w:val="20"/>
                <w:szCs w:val="20"/>
              </w:rPr>
              <w:t>dodatak na cijenu električne energije</w:t>
            </w:r>
            <w:r>
              <w:rPr>
                <w:sz w:val="20"/>
                <w:szCs w:val="20"/>
              </w:rPr>
              <w:t>. Taj dodatak opskrbljivač</w:t>
            </w:r>
            <w:r w:rsidRPr="00D956D5">
              <w:rPr>
                <w:sz w:val="20"/>
                <w:szCs w:val="20"/>
              </w:rPr>
              <w:t xml:space="preserve"> naplaćuje kupcima sukladno ugovoru o opskrbi krajnjega</w:t>
            </w:r>
            <w:r>
              <w:rPr>
                <w:sz w:val="20"/>
                <w:szCs w:val="20"/>
              </w:rPr>
              <w:t xml:space="preserve"> </w:t>
            </w:r>
            <w:r w:rsidRPr="00D956D5">
              <w:rPr>
                <w:sz w:val="20"/>
                <w:szCs w:val="20"/>
              </w:rPr>
              <w:t>kupca</w:t>
            </w:r>
            <w:r>
              <w:rPr>
                <w:sz w:val="20"/>
                <w:szCs w:val="20"/>
              </w:rPr>
              <w:t xml:space="preserve"> te ih </w:t>
            </w:r>
            <w:r w:rsidRPr="00D956D5">
              <w:rPr>
                <w:sz w:val="20"/>
                <w:szCs w:val="20"/>
              </w:rPr>
              <w:t>uplaćuje u državni proračun</w:t>
            </w:r>
            <w:r>
              <w:rPr>
                <w:sz w:val="20"/>
                <w:szCs w:val="20"/>
              </w:rPr>
              <w:t>. Tako p</w:t>
            </w:r>
            <w:r w:rsidRPr="00D956D5">
              <w:rPr>
                <w:sz w:val="20"/>
                <w:szCs w:val="20"/>
              </w:rPr>
              <w:t>rikupljena</w:t>
            </w:r>
            <w:r>
              <w:rPr>
                <w:sz w:val="20"/>
                <w:szCs w:val="20"/>
              </w:rPr>
              <w:t xml:space="preserve"> </w:t>
            </w:r>
            <w:r w:rsidRPr="00D956D5">
              <w:rPr>
                <w:sz w:val="20"/>
                <w:szCs w:val="20"/>
              </w:rPr>
              <w:t xml:space="preserve">sredstva namijenjena su financiranju vaučera u vrijednosti 200,00 kn </w:t>
            </w:r>
            <w:r>
              <w:rPr>
                <w:sz w:val="20"/>
                <w:szCs w:val="20"/>
              </w:rPr>
              <w:t>za ugrožene kupce.</w:t>
            </w:r>
          </w:p>
        </w:tc>
      </w:tr>
      <w:tr w:rsidR="00672DB0" w:rsidRPr="00080936" w14:paraId="6658A1AE"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11425D99" w14:textId="07698BAD" w:rsidR="00672DB0" w:rsidRPr="007145ED" w:rsidRDefault="00D956D5" w:rsidP="00D956D5">
            <w:pPr>
              <w:pStyle w:val="Default"/>
              <w:rPr>
                <w:b w:val="0"/>
                <w:sz w:val="20"/>
                <w:szCs w:val="20"/>
              </w:rPr>
            </w:pPr>
            <w:r w:rsidRPr="00D956D5">
              <w:rPr>
                <w:sz w:val="20"/>
                <w:szCs w:val="20"/>
              </w:rPr>
              <w:t>Izgradnja kapaciteta za suzbijanje energetskog siromaštva</w:t>
            </w:r>
          </w:p>
        </w:tc>
        <w:tc>
          <w:tcPr>
            <w:tcW w:w="0" w:type="pct"/>
          </w:tcPr>
          <w:p w14:paraId="3A0D82C9" w14:textId="214C7FFA" w:rsidR="00672DB0"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Nacrt 4. nacionalnog plana energetske učinkovitosti</w:t>
            </w:r>
          </w:p>
        </w:tc>
        <w:tc>
          <w:tcPr>
            <w:tcW w:w="0" w:type="pct"/>
          </w:tcPr>
          <w:p w14:paraId="335F33F2" w14:textId="48A96C42" w:rsidR="00672DB0"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 15 gradova s više od 30.000 stanovnika uspostavit će se mehanizmi savjetovanja ugroženih kupaca, kao i provedbe mjera energetske učinkovitosti u kućanstvima u riziku od energetskog siromaštva.</w:t>
            </w:r>
          </w:p>
        </w:tc>
      </w:tr>
      <w:tr w:rsidR="00D956D5" w:rsidRPr="00080936" w14:paraId="35DD4C68"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54658AA2" w14:textId="27B6C7CE" w:rsidR="00D956D5" w:rsidRPr="007145ED" w:rsidRDefault="00D956D5" w:rsidP="00D956D5">
            <w:pPr>
              <w:pStyle w:val="Default"/>
              <w:rPr>
                <w:b w:val="0"/>
                <w:sz w:val="20"/>
                <w:szCs w:val="20"/>
              </w:rPr>
            </w:pPr>
            <w:r w:rsidRPr="00D956D5">
              <w:rPr>
                <w:b w:val="0"/>
                <w:sz w:val="20"/>
                <w:szCs w:val="20"/>
              </w:rPr>
              <w:t>Program za suzbijanje energetskog siromaštva</w:t>
            </w:r>
          </w:p>
        </w:tc>
        <w:tc>
          <w:tcPr>
            <w:tcW w:w="0" w:type="pct"/>
          </w:tcPr>
          <w:p w14:paraId="56843966" w14:textId="603596CD" w:rsidR="00D956D5"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Nacrt 4. nacionalnog plana energetske učinkovitosti</w:t>
            </w:r>
          </w:p>
        </w:tc>
        <w:tc>
          <w:tcPr>
            <w:tcW w:w="0" w:type="pct"/>
          </w:tcPr>
          <w:p w14:paraId="299AE203" w14:textId="08A11DF2" w:rsidR="00D956D5"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Osmišljavanje i pokretanje sustavnog programa borbe protiv energetskog siromaštva kroz provođenje mjera energetske učinkovitosti. Kroz Program će se utvrditi lista raspoloživih mjera i stope sufinanciranja pojedinih mjera.</w:t>
            </w:r>
          </w:p>
        </w:tc>
      </w:tr>
    </w:tbl>
    <w:p w14:paraId="2CC7DC7A" w14:textId="77777777" w:rsidR="00FF0CF3" w:rsidRDefault="00FF0CF3" w:rsidP="00FF0CF3"/>
    <w:p w14:paraId="0A620B51" w14:textId="77777777" w:rsidR="00FF0CF3" w:rsidRPr="00816CF6" w:rsidRDefault="00FF0CF3" w:rsidP="00FF0CF3">
      <w:pPr>
        <w:shd w:val="clear" w:color="auto" w:fill="D9D9D9" w:themeFill="background1" w:themeFillShade="D9"/>
        <w:rPr>
          <w:i/>
        </w:rPr>
      </w:pPr>
      <w:r w:rsidRPr="00816CF6">
        <w:rPr>
          <w:i/>
        </w:rPr>
        <w:t xml:space="preserve">Dimenzija </w:t>
      </w:r>
      <w:r>
        <w:rPr>
          <w:i/>
        </w:rPr>
        <w:t>„Istraživanje, inovacije i konkurentnost“</w:t>
      </w:r>
    </w:p>
    <w:p w14:paraId="6E58D17A" w14:textId="77777777" w:rsidR="00FF0CF3" w:rsidRDefault="00FF0CF3" w:rsidP="00FF0CF3">
      <w:r>
        <w:t>Najvažniji nacionalni dokumenti koji se odnose na dimenziju „Istraživanje, inovacije i konkurentnost“ su:</w:t>
      </w:r>
    </w:p>
    <w:p w14:paraId="60693838" w14:textId="2027D5BC" w:rsidR="00FF0CF3" w:rsidRDefault="00FF0CF3" w:rsidP="005822F8">
      <w:pPr>
        <w:pStyle w:val="ListParagraph"/>
        <w:numPr>
          <w:ilvl w:val="0"/>
          <w:numId w:val="21"/>
        </w:numPr>
        <w:tabs>
          <w:tab w:val="clear" w:pos="431"/>
        </w:tabs>
        <w:suppressAutoHyphens w:val="0"/>
        <w:spacing w:after="160" w:line="259" w:lineRule="auto"/>
        <w:contextualSpacing/>
        <w:jc w:val="left"/>
      </w:pPr>
      <w:r>
        <w:t>Strategija pametne specijalizacije Republike Hrvatske za razdoblje od 2016. do 2020. godine</w:t>
      </w:r>
      <w:r w:rsidR="0080164F">
        <w:t>,</w:t>
      </w:r>
    </w:p>
    <w:p w14:paraId="3F9EA2C5" w14:textId="6E953A54" w:rsidR="00FF0CF3" w:rsidRDefault="00FF0CF3" w:rsidP="005822F8">
      <w:pPr>
        <w:pStyle w:val="ListParagraph"/>
        <w:numPr>
          <w:ilvl w:val="0"/>
          <w:numId w:val="21"/>
        </w:numPr>
        <w:tabs>
          <w:tab w:val="clear" w:pos="431"/>
        </w:tabs>
        <w:suppressAutoHyphens w:val="0"/>
        <w:spacing w:after="160" w:line="259" w:lineRule="auto"/>
        <w:contextualSpacing/>
        <w:jc w:val="left"/>
      </w:pPr>
      <w:r>
        <w:t>Strategija poticanja inovacija Republike Hrvatske 2014. -2020.</w:t>
      </w:r>
      <w:r w:rsidR="0080164F">
        <w:t xml:space="preserve"> i</w:t>
      </w:r>
    </w:p>
    <w:p w14:paraId="6DEB9E86" w14:textId="313778EE" w:rsidR="0080164F" w:rsidRDefault="00C01CD2" w:rsidP="005822F8">
      <w:pPr>
        <w:pStyle w:val="ListParagraph"/>
        <w:numPr>
          <w:ilvl w:val="0"/>
          <w:numId w:val="21"/>
        </w:numPr>
        <w:tabs>
          <w:tab w:val="clear" w:pos="431"/>
        </w:tabs>
        <w:suppressAutoHyphens w:val="0"/>
        <w:spacing w:after="160" w:line="259" w:lineRule="auto"/>
        <w:contextualSpacing/>
        <w:jc w:val="left"/>
      </w:pPr>
      <w:r>
        <w:t>Plan razvoja istraživačke infrastrukture u Republici Hrvatskoj</w:t>
      </w:r>
      <w:r w:rsidR="00D20B54">
        <w:t xml:space="preserve"> (2016)</w:t>
      </w:r>
      <w:r>
        <w:t>.</w:t>
      </w:r>
    </w:p>
    <w:p w14:paraId="63FD3F25" w14:textId="6E22DD18" w:rsidR="003156BA" w:rsidRPr="00A83A6E" w:rsidRDefault="003156BA" w:rsidP="00323AE9">
      <w:pPr>
        <w:rPr>
          <w:rFonts w:cs="Arial"/>
        </w:rPr>
      </w:pPr>
      <w:r w:rsidRPr="00A83A6E">
        <w:rPr>
          <w:rFonts w:cs="Arial"/>
        </w:rPr>
        <w:t>Kako bi se definiralo područje djelovanja, način rada, izvori financiranja i institucionalni okvir u području istraživanja i inovacija potrebna je jasna i sveobuh</w:t>
      </w:r>
      <w:r w:rsidR="00C651D3">
        <w:rPr>
          <w:rFonts w:cs="Arial"/>
        </w:rPr>
        <w:t>v</w:t>
      </w:r>
      <w:r w:rsidRPr="00A83A6E">
        <w:rPr>
          <w:rFonts w:cs="Arial"/>
        </w:rPr>
        <w:t>atna pravna regulativa. Nacionalno zakonodavstvo prenosi sve relevantne uredbe, direktive i druge pravne akte EU kako bi pravni okvir RH bio u skladi s temeljnim načelima poslovanja drugih država članica EU. Pravni okvir obuhvaća zakonske akte koji se odnose na istraživanje i inovacije općenito te pojedine zakonske propise koji pokrivaju područje energetike i klime.</w:t>
      </w:r>
    </w:p>
    <w:p w14:paraId="229BEB50" w14:textId="4A88CFB7" w:rsidR="00C80301" w:rsidRDefault="002A5242" w:rsidP="00AC79AE">
      <w:pPr>
        <w:rPr>
          <w:highlight w:val="yellow"/>
        </w:rPr>
      </w:pPr>
      <w:r>
        <w:t xml:space="preserve">Pravni okvir </w:t>
      </w:r>
      <w:r w:rsidR="00FD694B">
        <w:t>koji definira provođenje privatnih i javnih investicija u istraživanje, razvoj i inovacije obuhvaća sljedeće zakone:</w:t>
      </w:r>
    </w:p>
    <w:p w14:paraId="77A8F9FB" w14:textId="5DE3AF57" w:rsidR="009A2EFF" w:rsidRDefault="009A2EFF" w:rsidP="00C80301">
      <w:pPr>
        <w:pStyle w:val="ListParagraph"/>
        <w:numPr>
          <w:ilvl w:val="0"/>
          <w:numId w:val="21"/>
        </w:numPr>
      </w:pPr>
      <w:r>
        <w:t xml:space="preserve"> Zakon o poticanju investicija i </w:t>
      </w:r>
      <w:r w:rsidR="0015075C">
        <w:t xml:space="preserve">unapređenju investicijskog okruženja (NN, br. 111/12, 28/13) </w:t>
      </w:r>
      <w:r w:rsidR="00867188">
        <w:t>kojim se uređuje poticanje investicija i poticanje unapređenja investicijskog okruženja u Republici Hrvatskoj, te druga pitanja s tim u vezi.</w:t>
      </w:r>
      <w:r w:rsidR="0066760B">
        <w:t>Cilj poticanja investicija i poticanja unapređenja investicijskog okruženja je: poticanje gospodarskog rasta i ostvarenje gospodarske politike Republike Hrvatske, njezinog uključivanja u tokove međunarodne razmjene i jačanje investicijske i konkurentske sposobnosti hrvatskoga poduzetništva.</w:t>
      </w:r>
    </w:p>
    <w:p w14:paraId="204C7E3A" w14:textId="35049186" w:rsidR="00BD1437" w:rsidRPr="00A83A6E" w:rsidRDefault="00C80301" w:rsidP="00C80301">
      <w:pPr>
        <w:pStyle w:val="ListParagraph"/>
        <w:numPr>
          <w:ilvl w:val="0"/>
          <w:numId w:val="21"/>
        </w:numPr>
        <w:rPr>
          <w:rFonts w:asciiTheme="minorBidi" w:hAnsiTheme="minorBidi" w:cstheme="minorBidi"/>
        </w:rPr>
      </w:pPr>
      <w:r>
        <w:t>Zakon o državnoj potpori za istra</w:t>
      </w:r>
      <w:r w:rsidR="00B02D22">
        <w:t>živačko – razvojne projekte</w:t>
      </w:r>
      <w:r w:rsidR="00BD1437">
        <w:t xml:space="preserve"> </w:t>
      </w:r>
      <w:r w:rsidR="00072C79">
        <w:t xml:space="preserve">(NN, br. </w:t>
      </w:r>
      <w:r w:rsidR="0080475B" w:rsidRPr="00A83A6E">
        <w:rPr>
          <w:rFonts w:asciiTheme="minorBidi" w:hAnsiTheme="minorBidi" w:cstheme="minorBidi"/>
        </w:rPr>
        <w:t>64/2018) kojim se uređuju uvjeti za dodjeljivanje državne potpore za istraživačko-razvojne projekte u kategoriji horizontalne potpore za istraživanje i razvoj, nadležnosti tijela Republike Hrvatske u pogledu dodjele državnih potpora za istraživačko-razvojne projekte, postupak utvrđivanja ispunjenosti uvjeta za ostvarivanje prava, vođenje evidencija i izvještavanje te druga pitanja vezana uz ostvarivanje prava na potpore za istraživačko-razvojne projekte.</w:t>
      </w:r>
      <w:r w:rsidR="00610F82" w:rsidRPr="00A83A6E">
        <w:rPr>
          <w:rFonts w:asciiTheme="minorBidi" w:hAnsiTheme="minorBidi" w:cstheme="minorBidi"/>
        </w:rPr>
        <w:t xml:space="preserve"> </w:t>
      </w:r>
      <w:r w:rsidR="00A803DF" w:rsidRPr="00A83A6E">
        <w:rPr>
          <w:rFonts w:asciiTheme="minorBidi" w:hAnsiTheme="minorBidi" w:cstheme="minorBidi"/>
        </w:rPr>
        <w:t>Cilj Zakona je povećanje ulaganja privatnog sektora u istraživanje i razvoj i povećanje broja poduzetnika koji ulažu u istraživanje i razvoj te poticanje suradnje poduzetnika s organizacijama za istraživanje i širenje znanja na istraživačko-razvojnim projektima pri čemu istraživanje i razvoj obuhvaća kreativan i sistematičan rad poduzet sa svrhom povećanja fonda znanja – uključujući znanje čovječanstva, kulture i društva – te kako bi se osmislile nove primjene postojećeg znanja. Aktivnosti istraživanja i razvoja moraju uključivati pet osnovnih kriterija: novo znanje (kao cilj aktivnosti), kreativno (novi koncepti, ideje i metode koji unaprjeđuju postojeće znanje), neizvjesno u smislu ishoda, sistematično (planirano s osiguranjem sredstava i bilježenjem ishoda) i prenosivo (ishodi su prenosivi kao nova znanja) i/ili moguće ponoviti (ishode je moguće ponoviti).</w:t>
      </w:r>
    </w:p>
    <w:p w14:paraId="37814894" w14:textId="4D3048D0" w:rsidR="00D265F5" w:rsidRPr="00A83A6E" w:rsidRDefault="002A15B3" w:rsidP="00C80301">
      <w:pPr>
        <w:pStyle w:val="ListParagraph"/>
        <w:numPr>
          <w:ilvl w:val="0"/>
          <w:numId w:val="21"/>
        </w:numPr>
        <w:rPr>
          <w:rFonts w:asciiTheme="minorBidi" w:hAnsiTheme="minorBidi" w:cstheme="minorBidi"/>
        </w:rPr>
      </w:pPr>
      <w:r w:rsidRPr="00A83A6E">
        <w:rPr>
          <w:rFonts w:asciiTheme="minorBidi" w:hAnsiTheme="minorBidi" w:cstheme="minorBidi"/>
        </w:rPr>
        <w:t xml:space="preserve"> </w:t>
      </w:r>
      <w:r w:rsidR="00D265F5" w:rsidRPr="00A83A6E">
        <w:rPr>
          <w:rFonts w:asciiTheme="minorBidi" w:hAnsiTheme="minorBidi" w:cstheme="minorBidi"/>
        </w:rPr>
        <w:t xml:space="preserve">Zakon o javnoj nabavi (NN, br. </w:t>
      </w:r>
      <w:r w:rsidR="002D0508" w:rsidRPr="00A83A6E">
        <w:rPr>
          <w:rFonts w:asciiTheme="minorBidi" w:hAnsiTheme="minorBidi" w:cstheme="minorBidi"/>
        </w:rPr>
        <w:t>120/2016)</w:t>
      </w:r>
      <w:r w:rsidR="00894B59" w:rsidRPr="00A83A6E">
        <w:rPr>
          <w:rFonts w:asciiTheme="minorBidi" w:hAnsiTheme="minorBidi" w:cstheme="minorBidi"/>
        </w:rPr>
        <w:t xml:space="preserve"> prema kojem je jedan od postupaka javne nabave 'partnerstvo za inovacije'.</w:t>
      </w:r>
      <w:r w:rsidR="00C12016" w:rsidRPr="00A83A6E">
        <w:rPr>
          <w:rFonts w:asciiTheme="minorBidi" w:hAnsiTheme="minorBidi" w:cstheme="minorBidi"/>
        </w:rPr>
        <w:t xml:space="preserve"> J</w:t>
      </w:r>
      <w:r w:rsidR="00A803DF" w:rsidRPr="00A83A6E">
        <w:rPr>
          <w:rFonts w:asciiTheme="minorBidi" w:hAnsiTheme="minorBidi" w:cstheme="minorBidi"/>
        </w:rPr>
        <w:t>avni naručitelj može koristiti partnerstvo za inovacije ako ima potrebu za inovativnom robom, uslugama ili radovima koju ne može zadovoljiti nabavom robe, usluga ili radova već dostupnih na tržištu.</w:t>
      </w:r>
      <w:r w:rsidR="00563647" w:rsidRPr="00A83A6E">
        <w:rPr>
          <w:rFonts w:asciiTheme="minorBidi" w:hAnsiTheme="minorBidi" w:cstheme="minorBidi"/>
        </w:rPr>
        <w:t xml:space="preserve"> Partnerstvo za inovacije teži razvoju inovativne robe, usluga ili radova te njihovoj naknadnoj nabavi, pod uvjetom da su u skladu s razinama izvedbe i maksimalnim troškovima dogovorenima između javnog naručitelja i sudionikā.</w:t>
      </w:r>
      <w:r w:rsidR="00722C38" w:rsidRPr="00A83A6E">
        <w:rPr>
          <w:rFonts w:asciiTheme="minorBidi" w:hAnsiTheme="minorBidi" w:cstheme="minorBidi"/>
        </w:rPr>
        <w:t xml:space="preserve"> Ovaj instrument predstavlja instrument poticanja inovacija koji utječe na potražnju za inovacijama, dok bespovratne potpore poduzećima utječu na ponudu inovacija.</w:t>
      </w:r>
    </w:p>
    <w:p w14:paraId="25C19082" w14:textId="0DDD2228" w:rsidR="003906E2" w:rsidRPr="007145ED" w:rsidRDefault="00131B61" w:rsidP="00983BA5">
      <w:pPr>
        <w:rPr>
          <w:rFonts w:cs="Arial"/>
        </w:rPr>
      </w:pPr>
      <w:r w:rsidRPr="007145ED">
        <w:rPr>
          <w:rFonts w:cs="Arial"/>
        </w:rPr>
        <w:t xml:space="preserve">Zakon o poticanju razvoja malog gospodarstva (NN, br. </w:t>
      </w:r>
      <w:hyperlink r:id="rId16" w:history="1">
        <w:r w:rsidR="00447929" w:rsidRPr="007145ED">
          <w:rPr>
            <w:rFonts w:cs="Arial"/>
          </w:rPr>
          <w:t>29/02</w:t>
        </w:r>
      </w:hyperlink>
      <w:r w:rsidR="00447929" w:rsidRPr="007145ED">
        <w:rPr>
          <w:rFonts w:cs="Arial"/>
        </w:rPr>
        <w:t xml:space="preserve">, </w:t>
      </w:r>
      <w:hyperlink r:id="rId17" w:history="1">
        <w:r w:rsidR="00447929" w:rsidRPr="007145ED">
          <w:rPr>
            <w:rFonts w:cs="Arial"/>
          </w:rPr>
          <w:t>63/07</w:t>
        </w:r>
      </w:hyperlink>
      <w:r w:rsidR="00447929" w:rsidRPr="007145ED">
        <w:rPr>
          <w:rFonts w:cs="Arial"/>
        </w:rPr>
        <w:t xml:space="preserve">, </w:t>
      </w:r>
      <w:hyperlink r:id="rId18" w:history="1">
        <w:r w:rsidR="00447929" w:rsidRPr="007145ED">
          <w:rPr>
            <w:rFonts w:cs="Arial"/>
          </w:rPr>
          <w:t>53/12</w:t>
        </w:r>
      </w:hyperlink>
      <w:r w:rsidR="00447929" w:rsidRPr="007145ED">
        <w:rPr>
          <w:rFonts w:cs="Arial"/>
        </w:rPr>
        <w:t xml:space="preserve">, </w:t>
      </w:r>
      <w:hyperlink r:id="rId19" w:history="1">
        <w:r w:rsidR="00447929" w:rsidRPr="007145ED">
          <w:rPr>
            <w:rFonts w:cs="Arial"/>
          </w:rPr>
          <w:t>56/13</w:t>
        </w:r>
      </w:hyperlink>
      <w:r w:rsidR="00447929" w:rsidRPr="007145ED">
        <w:rPr>
          <w:rFonts w:cs="Arial"/>
        </w:rPr>
        <w:t xml:space="preserve">, </w:t>
      </w:r>
      <w:hyperlink r:id="rId20" w:history="1">
        <w:r w:rsidR="00447929" w:rsidRPr="007145ED">
          <w:rPr>
            <w:rFonts w:cs="Arial"/>
          </w:rPr>
          <w:t>121/16</w:t>
        </w:r>
      </w:hyperlink>
      <w:r w:rsidR="00447929" w:rsidRPr="007145ED">
        <w:rPr>
          <w:rFonts w:cs="Arial"/>
        </w:rPr>
        <w:t xml:space="preserve">) </w:t>
      </w:r>
      <w:r w:rsidR="00B33802" w:rsidRPr="007145ED">
        <w:rPr>
          <w:rFonts w:cs="Arial"/>
        </w:rPr>
        <w:t xml:space="preserve">kojim se </w:t>
      </w:r>
      <w:r w:rsidR="009E764D" w:rsidRPr="007145ED">
        <w:rPr>
          <w:rFonts w:cs="Arial"/>
        </w:rPr>
        <w:t xml:space="preserve">uređuju osnove za primjenu poticajnih mjera za malo gospodarstvo </w:t>
      </w:r>
      <w:r w:rsidR="00C12B0B" w:rsidRPr="007145ED">
        <w:rPr>
          <w:rFonts w:cs="Arial"/>
        </w:rPr>
        <w:t xml:space="preserve">koje obuhvaća i davanje potpora za istraživanje, razvoj i primjenu inovacija </w:t>
      </w:r>
      <w:r w:rsidR="00DB16D5" w:rsidRPr="007145ED">
        <w:rPr>
          <w:rFonts w:cs="Arial"/>
        </w:rPr>
        <w:t xml:space="preserve">te uvođenje suvremenih tehnologija. </w:t>
      </w:r>
      <w:r w:rsidR="0002149A" w:rsidRPr="007145ED">
        <w:rPr>
          <w:rFonts w:cs="Arial"/>
        </w:rPr>
        <w:t>P</w:t>
      </w:r>
      <w:r w:rsidR="0064148B" w:rsidRPr="007145ED">
        <w:rPr>
          <w:rFonts w:cs="Arial"/>
        </w:rPr>
        <w:t>ored navedenih zakona, p</w:t>
      </w:r>
      <w:r w:rsidR="0002149A" w:rsidRPr="007145ED">
        <w:rPr>
          <w:rFonts w:cs="Arial"/>
        </w:rPr>
        <w:t xml:space="preserve">odručje </w:t>
      </w:r>
      <w:r w:rsidR="0064148B" w:rsidRPr="007145ED">
        <w:rPr>
          <w:rFonts w:cs="Arial"/>
        </w:rPr>
        <w:t xml:space="preserve">istraživanja, razvoja i inovacija </w:t>
      </w:r>
      <w:r w:rsidR="0002149A" w:rsidRPr="007145ED">
        <w:rPr>
          <w:rFonts w:cs="Arial"/>
        </w:rPr>
        <w:t xml:space="preserve">je detaljnije uređeno različitim pravilnicima i smjernicama. </w:t>
      </w:r>
    </w:p>
    <w:p w14:paraId="6A0986CA" w14:textId="134EE575" w:rsidR="00F22CF7" w:rsidRPr="007145ED" w:rsidRDefault="00F22CF7" w:rsidP="00F22CF7">
      <w:pPr>
        <w:rPr>
          <w:rFonts w:cs="Arial"/>
        </w:rPr>
      </w:pPr>
      <w:r w:rsidRPr="007145ED">
        <w:rPr>
          <w:rFonts w:cs="Arial"/>
        </w:rPr>
        <w:t>Za provođenje istraživanja i razvoja potrebna</w:t>
      </w:r>
      <w:r w:rsidR="000A6CEF" w:rsidRPr="007145ED">
        <w:rPr>
          <w:rFonts w:cs="Arial"/>
        </w:rPr>
        <w:t xml:space="preserve"> je</w:t>
      </w:r>
      <w:r w:rsidRPr="007145ED">
        <w:rPr>
          <w:rFonts w:cs="Arial"/>
        </w:rPr>
        <w:t xml:space="preserve"> učinkovita infrastruktura koja obuhvaća prve</w:t>
      </w:r>
      <w:r w:rsidR="000A6CEF" w:rsidRPr="007145ED">
        <w:rPr>
          <w:rFonts w:cs="Arial"/>
        </w:rPr>
        <w:t>n</w:t>
      </w:r>
      <w:r w:rsidRPr="007145ED">
        <w:rPr>
          <w:rFonts w:cs="Arial"/>
        </w:rPr>
        <w:t xml:space="preserve">stveno javne i privatne institucije koje omogućavaju realizaciju ovih djelatnosti zatim segmente istraživanja i razvoja u privatnom sektoru te dodatno pojedine komunikacijske kanale koji povezuju pojedine institucije međusobno te institucije za istraživanje i razvoj s realnim sektorom koji omogućava komercijalizaciju i stvarnu upotrebu inovacija i patenata. </w:t>
      </w:r>
    </w:p>
    <w:p w14:paraId="07F914BF" w14:textId="0DAE1676" w:rsidR="009469D0" w:rsidRPr="00A83A6E" w:rsidRDefault="009469D0" w:rsidP="00983BA5">
      <w:pPr>
        <w:rPr>
          <w:rFonts w:asciiTheme="minorBidi" w:hAnsiTheme="minorBidi" w:cstheme="minorBidi"/>
        </w:rPr>
      </w:pPr>
      <w:r w:rsidRPr="00A83A6E">
        <w:rPr>
          <w:rFonts w:asciiTheme="minorBidi" w:hAnsiTheme="minorBidi" w:cstheme="minorBidi"/>
        </w:rPr>
        <w:t xml:space="preserve">Institucionalni okvir koji služi kao podrška za provođenje </w:t>
      </w:r>
      <w:r w:rsidR="00096FCE" w:rsidRPr="00A83A6E">
        <w:rPr>
          <w:rFonts w:asciiTheme="minorBidi" w:hAnsiTheme="minorBidi" w:cstheme="minorBidi"/>
        </w:rPr>
        <w:t>istraživanja</w:t>
      </w:r>
      <w:r w:rsidR="00CA5B86" w:rsidRPr="00A83A6E">
        <w:rPr>
          <w:rFonts w:asciiTheme="minorBidi" w:hAnsiTheme="minorBidi" w:cstheme="minorBidi"/>
        </w:rPr>
        <w:t xml:space="preserve">, razvoja i inovacija te za omogućavanje potpora i poticaja </w:t>
      </w:r>
      <w:r w:rsidR="00C27B7F" w:rsidRPr="00A83A6E">
        <w:rPr>
          <w:rFonts w:asciiTheme="minorBidi" w:hAnsiTheme="minorBidi" w:cstheme="minorBidi"/>
        </w:rPr>
        <w:t>u ovom području obuhvaća Ministarstvo znanosti i obrazovanja</w:t>
      </w:r>
      <w:r w:rsidR="00351BED" w:rsidRPr="00A83A6E">
        <w:rPr>
          <w:rFonts w:asciiTheme="minorBidi" w:hAnsiTheme="minorBidi" w:cstheme="minorBidi"/>
        </w:rPr>
        <w:t xml:space="preserve"> i</w:t>
      </w:r>
      <w:r w:rsidR="00C27B7F" w:rsidRPr="00A83A6E">
        <w:rPr>
          <w:rFonts w:asciiTheme="minorBidi" w:hAnsiTheme="minorBidi" w:cstheme="minorBidi"/>
        </w:rPr>
        <w:t xml:space="preserve"> Ministarstvo gospodarstva, poduzetništva</w:t>
      </w:r>
      <w:r w:rsidR="00CB7859" w:rsidRPr="00A83A6E">
        <w:rPr>
          <w:rFonts w:asciiTheme="minorBidi" w:hAnsiTheme="minorBidi" w:cstheme="minorBidi"/>
        </w:rPr>
        <w:t xml:space="preserve"> i obrta</w:t>
      </w:r>
      <w:r w:rsidR="00351BED" w:rsidRPr="00A83A6E">
        <w:rPr>
          <w:rFonts w:asciiTheme="minorBidi" w:hAnsiTheme="minorBidi" w:cstheme="minorBidi"/>
        </w:rPr>
        <w:t xml:space="preserve"> koji predlažu Hrvatskom Saboru određene zakonske mjere i poticaje u formi zakona</w:t>
      </w:r>
      <w:r w:rsidR="0022594D">
        <w:rPr>
          <w:rFonts w:asciiTheme="minorBidi" w:hAnsiTheme="minorBidi" w:cstheme="minorBidi"/>
        </w:rPr>
        <w:t xml:space="preserve"> te su nadležni za provođenje mjera propisanih tim zakonima</w:t>
      </w:r>
      <w:r w:rsidR="00351BED" w:rsidRPr="00A83A6E">
        <w:rPr>
          <w:rFonts w:asciiTheme="minorBidi" w:hAnsiTheme="minorBidi" w:cstheme="minorBidi"/>
        </w:rPr>
        <w:t>.</w:t>
      </w:r>
      <w:r w:rsidR="00021F4A" w:rsidRPr="00A83A6E">
        <w:rPr>
          <w:rFonts w:asciiTheme="minorBidi" w:hAnsiTheme="minorBidi" w:cstheme="minorBidi"/>
        </w:rPr>
        <w:t xml:space="preserve"> </w:t>
      </w:r>
      <w:bookmarkStart w:id="85" w:name="_Hlk531769972"/>
      <w:r w:rsidR="005555AF" w:rsidRPr="00A83A6E">
        <w:rPr>
          <w:rFonts w:asciiTheme="minorBidi" w:hAnsiTheme="minorBidi" w:cstheme="minorBidi"/>
        </w:rPr>
        <w:t>Dodatno, Ministarstvo regionalnog razvoja i fondova Europske unije daje potp</w:t>
      </w:r>
      <w:r w:rsidR="00C651D3">
        <w:rPr>
          <w:rFonts w:asciiTheme="minorBidi" w:hAnsiTheme="minorBidi" w:cstheme="minorBidi"/>
        </w:rPr>
        <w:t>o</w:t>
      </w:r>
      <w:r w:rsidR="005555AF" w:rsidRPr="00A83A6E">
        <w:rPr>
          <w:rFonts w:asciiTheme="minorBidi" w:hAnsiTheme="minorBidi" w:cstheme="minorBidi"/>
        </w:rPr>
        <w:t xml:space="preserve">ru prilikom korištenja </w:t>
      </w:r>
      <w:r w:rsidR="005166AA" w:rsidRPr="00A83A6E">
        <w:rPr>
          <w:rFonts w:asciiTheme="minorBidi" w:hAnsiTheme="minorBidi" w:cstheme="minorBidi"/>
        </w:rPr>
        <w:t>novčanih sredstava EU nam</w:t>
      </w:r>
      <w:r w:rsidR="00C651D3">
        <w:rPr>
          <w:rFonts w:asciiTheme="minorBidi" w:hAnsiTheme="minorBidi" w:cstheme="minorBidi"/>
        </w:rPr>
        <w:t>i</w:t>
      </w:r>
      <w:r w:rsidR="005166AA" w:rsidRPr="00A83A6E">
        <w:rPr>
          <w:rFonts w:asciiTheme="minorBidi" w:hAnsiTheme="minorBidi" w:cstheme="minorBidi"/>
        </w:rPr>
        <w:t>jenjenih za istraživanje, razvoj i inovacije putem različitih strukturnih i</w:t>
      </w:r>
      <w:r w:rsidR="0086329E">
        <w:rPr>
          <w:rFonts w:asciiTheme="minorBidi" w:hAnsiTheme="minorBidi" w:cstheme="minorBidi"/>
        </w:rPr>
        <w:t xml:space="preserve"> </w:t>
      </w:r>
      <w:r w:rsidR="005166AA" w:rsidRPr="00A83A6E">
        <w:rPr>
          <w:rFonts w:asciiTheme="minorBidi" w:hAnsiTheme="minorBidi" w:cstheme="minorBidi"/>
        </w:rPr>
        <w:t>investicijskih fondova te programa.</w:t>
      </w:r>
      <w:bookmarkEnd w:id="85"/>
      <w:r w:rsidR="0086329E">
        <w:rPr>
          <w:rFonts w:asciiTheme="minorBidi" w:hAnsiTheme="minorBidi" w:cstheme="minorBidi"/>
        </w:rPr>
        <w:t xml:space="preserve"> </w:t>
      </w:r>
      <w:r w:rsidR="00FC2297" w:rsidRPr="00A83A6E">
        <w:rPr>
          <w:rFonts w:asciiTheme="minorBidi" w:hAnsiTheme="minorBidi" w:cstheme="minorBidi"/>
        </w:rPr>
        <w:t xml:space="preserve">Najznačajniji poslovni subjekt koji je zadužen za </w:t>
      </w:r>
      <w:r w:rsidR="00DE18AF" w:rsidRPr="00A83A6E">
        <w:rPr>
          <w:rFonts w:asciiTheme="minorBidi" w:hAnsiTheme="minorBidi" w:cstheme="minorBidi"/>
        </w:rPr>
        <w:t xml:space="preserve">pružanje podrške u </w:t>
      </w:r>
      <w:r w:rsidR="00FC2297" w:rsidRPr="00A83A6E">
        <w:rPr>
          <w:rFonts w:asciiTheme="minorBidi" w:hAnsiTheme="minorBidi" w:cstheme="minorBidi"/>
        </w:rPr>
        <w:t>provođenj</w:t>
      </w:r>
      <w:r w:rsidR="00DE18AF" w:rsidRPr="00A83A6E">
        <w:rPr>
          <w:rFonts w:asciiTheme="minorBidi" w:hAnsiTheme="minorBidi" w:cstheme="minorBidi"/>
        </w:rPr>
        <w:t>u</w:t>
      </w:r>
      <w:r w:rsidR="00FC2297" w:rsidRPr="00A83A6E">
        <w:rPr>
          <w:rFonts w:asciiTheme="minorBidi" w:hAnsiTheme="minorBidi" w:cstheme="minorBidi"/>
        </w:rPr>
        <w:t xml:space="preserve"> projekata istraživanja, razvoja i inovacija je </w:t>
      </w:r>
      <w:r w:rsidR="00A154C4" w:rsidRPr="007145ED">
        <w:t>Hrvatska agencija za malo gospodarstvo, inovacije i investicije</w:t>
      </w:r>
      <w:r w:rsidR="00A154C4" w:rsidRPr="007145ED">
        <w:rPr>
          <w:rFonts w:asciiTheme="minorBidi" w:hAnsiTheme="minorBidi" w:cstheme="minorBidi"/>
        </w:rPr>
        <w:t xml:space="preserve"> </w:t>
      </w:r>
      <w:r w:rsidR="00A154C4" w:rsidRPr="007145ED">
        <w:t xml:space="preserve">(HAMAG-BICRO) koja </w:t>
      </w:r>
      <w:r w:rsidR="00A154C4" w:rsidRPr="00A83A6E">
        <w:rPr>
          <w:rFonts w:asciiTheme="minorBidi" w:hAnsiTheme="minorBidi" w:cstheme="minorBidi"/>
        </w:rPr>
        <w:t xml:space="preserve">pruža podršku kroz sve razvojne faze poslovanja </w:t>
      </w:r>
      <w:r w:rsidR="00284016" w:rsidRPr="00A83A6E">
        <w:rPr>
          <w:rFonts w:asciiTheme="minorBidi" w:hAnsiTheme="minorBidi" w:cstheme="minorBidi"/>
        </w:rPr>
        <w:t xml:space="preserve">poduzetnika </w:t>
      </w:r>
      <w:r w:rsidR="00A154C4" w:rsidRPr="00A83A6E">
        <w:rPr>
          <w:rFonts w:asciiTheme="minorBidi" w:hAnsiTheme="minorBidi" w:cstheme="minorBidi"/>
        </w:rPr>
        <w:t>– od istraživanja i razvoja ideje pa sve do komercijalizacije i plasmana na tržište.</w:t>
      </w:r>
      <w:r w:rsidR="00DE18AF" w:rsidRPr="00A83A6E">
        <w:rPr>
          <w:rFonts w:asciiTheme="minorBidi" w:hAnsiTheme="minorBidi" w:cstheme="minorBidi"/>
        </w:rPr>
        <w:t xml:space="preserve"> </w:t>
      </w:r>
      <w:r w:rsidR="000729D9" w:rsidRPr="00A83A6E">
        <w:rPr>
          <w:rFonts w:asciiTheme="minorBidi" w:hAnsiTheme="minorBidi" w:cstheme="minorBidi"/>
        </w:rPr>
        <w:t>Dodatnu podršku istraživanju, razvoju i inovacijama pružaju i Hrvatska gospodarska komora</w:t>
      </w:r>
      <w:r w:rsidR="00CB0585" w:rsidRPr="00A83A6E">
        <w:rPr>
          <w:rFonts w:asciiTheme="minorBidi" w:hAnsiTheme="minorBidi" w:cstheme="minorBidi"/>
        </w:rPr>
        <w:t>,</w:t>
      </w:r>
      <w:r w:rsidR="000729D9" w:rsidRPr="00A83A6E">
        <w:rPr>
          <w:rFonts w:asciiTheme="minorBidi" w:hAnsiTheme="minorBidi" w:cstheme="minorBidi"/>
        </w:rPr>
        <w:t xml:space="preserve"> </w:t>
      </w:r>
      <w:r w:rsidR="00CB0585" w:rsidRPr="00A83A6E">
        <w:rPr>
          <w:rFonts w:asciiTheme="minorBidi" w:hAnsiTheme="minorBidi" w:cstheme="minorBidi"/>
        </w:rPr>
        <w:t xml:space="preserve">koja je osnovala Inovacijsko vijeće za industriju, </w:t>
      </w:r>
      <w:r w:rsidR="000729D9" w:rsidRPr="00A83A6E">
        <w:rPr>
          <w:rFonts w:asciiTheme="minorBidi" w:hAnsiTheme="minorBidi" w:cstheme="minorBidi"/>
        </w:rPr>
        <w:t>Hrvatska obrtnička komora</w:t>
      </w:r>
      <w:r w:rsidR="00D02799" w:rsidRPr="00A83A6E">
        <w:rPr>
          <w:rFonts w:asciiTheme="minorBidi" w:hAnsiTheme="minorBidi" w:cstheme="minorBidi"/>
        </w:rPr>
        <w:t xml:space="preserve"> te Hrvatska udruga poslodavaca</w:t>
      </w:r>
      <w:r w:rsidR="000729D9" w:rsidRPr="00A83A6E">
        <w:rPr>
          <w:rFonts w:asciiTheme="minorBidi" w:hAnsiTheme="minorBidi" w:cstheme="minorBidi"/>
        </w:rPr>
        <w:t>.</w:t>
      </w:r>
      <w:r w:rsidR="00E63AFB" w:rsidRPr="00A83A6E">
        <w:rPr>
          <w:rFonts w:asciiTheme="minorBidi" w:hAnsiTheme="minorBidi" w:cstheme="minorBidi"/>
        </w:rPr>
        <w:t xml:space="preserve"> Važno je spomenuti i </w:t>
      </w:r>
      <w:r w:rsidR="00E63AFB" w:rsidRPr="007145ED">
        <w:rPr>
          <w:rFonts w:asciiTheme="minorBidi" w:hAnsiTheme="minorBidi" w:cstheme="minorBidi"/>
        </w:rPr>
        <w:t>Agenciju za mobilnost i programe EU (AMPEU) koja od 2009. provodi EU programe cjeloživotnog učenja te je trenutno nacionalna kontaktna točka za program Obzor 2020.</w:t>
      </w:r>
    </w:p>
    <w:p w14:paraId="387A8D14" w14:textId="15D40573" w:rsidR="001442ED" w:rsidRPr="007145ED" w:rsidRDefault="001442ED" w:rsidP="007145ED">
      <w:pPr>
        <w:rPr>
          <w:rFonts w:asciiTheme="minorBidi" w:hAnsiTheme="minorBidi" w:cstheme="minorBidi"/>
        </w:rPr>
      </w:pPr>
      <w:r w:rsidRPr="007145ED">
        <w:rPr>
          <w:rFonts w:asciiTheme="minorBidi" w:hAnsiTheme="minorBidi" w:cstheme="minorBidi"/>
        </w:rPr>
        <w:t>U svrhu poticanja razvoja i rasta hrvatskog gospodarstva, Vlada RH odlučila je grupirati sve javne, privatne i znanstveno-istraživačke predstavnike u inovativnim sektorima, a sve u cilju jačanja konkurentnosti hrvatskih tvrtki, a posljedično i hrvatske ekonomije i društva.</w:t>
      </w:r>
      <w:r w:rsidR="00F57E2F" w:rsidRPr="007145ED">
        <w:rPr>
          <w:rFonts w:asciiTheme="minorBidi" w:hAnsiTheme="minorBidi" w:cstheme="minorBidi"/>
        </w:rPr>
        <w:t xml:space="preserve"> </w:t>
      </w:r>
      <w:r w:rsidRPr="007145ED">
        <w:rPr>
          <w:rFonts w:asciiTheme="minorBidi" w:hAnsiTheme="minorBidi" w:cstheme="minorBidi"/>
        </w:rPr>
        <w:t>Klasteri konkurentnosti u Republici Hrvatskoj zamišljeni su kao neprofitne organizacije koje okupljaju sve najbolje gospodarstvenike u određenom sektoru – male, srednje i velike poduzetnike, predstavnike regionalne i lokalne samouprave te znanstveno-istraživačke institucije, kako bi se uspostavila sinergija i suradnja s ciljem jačanja konkurentnosti gospodarskih sektora na nacionalnoj razini.</w:t>
      </w:r>
      <w:r w:rsidR="00483F6E" w:rsidRPr="007145ED">
        <w:rPr>
          <w:rFonts w:asciiTheme="minorBidi" w:hAnsiTheme="minorBidi" w:cstheme="minorBidi"/>
        </w:rPr>
        <w:t xml:space="preserve"> Do sada je osnovano 13 klastera konkurentnosti. </w:t>
      </w:r>
    </w:p>
    <w:p w14:paraId="1DCECDC5" w14:textId="77777777" w:rsidR="00FF0CF3" w:rsidRDefault="00FF0CF3" w:rsidP="00302043">
      <w:pPr>
        <w:pStyle w:val="Heading3"/>
      </w:pPr>
      <w:bookmarkStart w:id="86" w:name="_Toc531801487"/>
      <w:bookmarkStart w:id="87" w:name="_Toc531801616"/>
      <w:bookmarkStart w:id="88" w:name="_Toc531801742"/>
      <w:bookmarkStart w:id="89" w:name="_Toc531801870"/>
      <w:bookmarkStart w:id="90" w:name="_Toc531801488"/>
      <w:bookmarkStart w:id="91" w:name="_Toc531801617"/>
      <w:bookmarkStart w:id="92" w:name="_Toc531801743"/>
      <w:bookmarkStart w:id="93" w:name="_Toc531801871"/>
      <w:bookmarkStart w:id="94" w:name="_Toc531801489"/>
      <w:bookmarkStart w:id="95" w:name="_Toc531801618"/>
      <w:bookmarkStart w:id="96" w:name="_Toc531801744"/>
      <w:bookmarkStart w:id="97" w:name="_Toc531801872"/>
      <w:bookmarkStart w:id="98" w:name="_Toc531801507"/>
      <w:bookmarkStart w:id="99" w:name="_Toc531801636"/>
      <w:bookmarkStart w:id="100" w:name="_Toc531801762"/>
      <w:bookmarkStart w:id="101" w:name="_Toc531801890"/>
      <w:bookmarkStart w:id="102" w:name="_Toc531934950"/>
      <w:bookmarkStart w:id="103" w:name="_Toc53194507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Ključna pitanja od prekogranične važnosti</w:t>
      </w:r>
      <w:bookmarkEnd w:id="102"/>
      <w:bookmarkEnd w:id="103"/>
    </w:p>
    <w:p w14:paraId="1DA151BF" w14:textId="6CB8C7CB" w:rsidR="001021F1" w:rsidRDefault="004B3713" w:rsidP="00FF0CF3">
      <w:r>
        <w:t>Nije primjenjivo.</w:t>
      </w:r>
      <w:r w:rsidR="001021F1">
        <w:t xml:space="preserve"> </w:t>
      </w:r>
    </w:p>
    <w:p w14:paraId="673029F2" w14:textId="2A32CD9C" w:rsidR="00FF0CF3" w:rsidRDefault="00FF0CF3" w:rsidP="00302043">
      <w:pPr>
        <w:pStyle w:val="Heading3"/>
      </w:pPr>
      <w:bookmarkStart w:id="104" w:name="_Toc531801509"/>
      <w:bookmarkStart w:id="105" w:name="_Toc531801638"/>
      <w:bookmarkStart w:id="106" w:name="_Toc531801764"/>
      <w:bookmarkStart w:id="107" w:name="_Toc531801892"/>
      <w:bookmarkStart w:id="108" w:name="_Toc531801510"/>
      <w:bookmarkStart w:id="109" w:name="_Toc531801639"/>
      <w:bookmarkStart w:id="110" w:name="_Toc531801765"/>
      <w:bookmarkStart w:id="111" w:name="_Toc531801893"/>
      <w:bookmarkStart w:id="112" w:name="_Toc531801511"/>
      <w:bookmarkStart w:id="113" w:name="_Toc531801640"/>
      <w:bookmarkStart w:id="114" w:name="_Toc531801766"/>
      <w:bookmarkStart w:id="115" w:name="_Toc531801894"/>
      <w:bookmarkStart w:id="116" w:name="_Toc531801512"/>
      <w:bookmarkStart w:id="117" w:name="_Toc531801641"/>
      <w:bookmarkStart w:id="118" w:name="_Toc531801767"/>
      <w:bookmarkStart w:id="119" w:name="_Toc531801895"/>
      <w:bookmarkStart w:id="120" w:name="_Toc531801513"/>
      <w:bookmarkStart w:id="121" w:name="_Toc531801642"/>
      <w:bookmarkStart w:id="122" w:name="_Toc531801768"/>
      <w:bookmarkStart w:id="123" w:name="_Toc531801896"/>
      <w:bookmarkStart w:id="124" w:name="_Toc531801514"/>
      <w:bookmarkStart w:id="125" w:name="_Toc531801643"/>
      <w:bookmarkStart w:id="126" w:name="_Toc531801769"/>
      <w:bookmarkStart w:id="127" w:name="_Toc531801897"/>
      <w:bookmarkStart w:id="128" w:name="_Toc531801515"/>
      <w:bookmarkStart w:id="129" w:name="_Toc531801644"/>
      <w:bookmarkStart w:id="130" w:name="_Toc531801770"/>
      <w:bookmarkStart w:id="131" w:name="_Toc531801898"/>
      <w:bookmarkStart w:id="132" w:name="_Toc531801516"/>
      <w:bookmarkStart w:id="133" w:name="_Toc531801645"/>
      <w:bookmarkStart w:id="134" w:name="_Toc531801771"/>
      <w:bookmarkStart w:id="135" w:name="_Toc531801899"/>
      <w:bookmarkStart w:id="136" w:name="_Toc531801517"/>
      <w:bookmarkStart w:id="137" w:name="_Toc531801646"/>
      <w:bookmarkStart w:id="138" w:name="_Toc531801772"/>
      <w:bookmarkStart w:id="139" w:name="_Toc531801900"/>
      <w:bookmarkStart w:id="140" w:name="_Toc531801518"/>
      <w:bookmarkStart w:id="141" w:name="_Toc531801647"/>
      <w:bookmarkStart w:id="142" w:name="_Toc531801773"/>
      <w:bookmarkStart w:id="143" w:name="_Toc531801901"/>
      <w:bookmarkStart w:id="144" w:name="_Toc531801519"/>
      <w:bookmarkStart w:id="145" w:name="_Toc531801648"/>
      <w:bookmarkStart w:id="146" w:name="_Toc531801774"/>
      <w:bookmarkStart w:id="147" w:name="_Toc531801902"/>
      <w:bookmarkStart w:id="148" w:name="_Toc531801520"/>
      <w:bookmarkStart w:id="149" w:name="_Toc531801649"/>
      <w:bookmarkStart w:id="150" w:name="_Toc531801775"/>
      <w:bookmarkStart w:id="151" w:name="_Toc531801903"/>
      <w:bookmarkStart w:id="152" w:name="_Toc531934951"/>
      <w:bookmarkStart w:id="153" w:name="_Toc53194507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Administrativne strukture za provedbu nacionalnih energetskih i klimatskih politika</w:t>
      </w:r>
      <w:bookmarkEnd w:id="152"/>
      <w:bookmarkEnd w:id="153"/>
    </w:p>
    <w:p w14:paraId="75B9DA5A" w14:textId="0FDA604F" w:rsidR="00FF0CF3" w:rsidRDefault="00FF0CF3" w:rsidP="00FF0CF3">
      <w:r>
        <w:t xml:space="preserve">Krovna institucija za provedbu nacionalnih energetskih i klimatskih politika je Ministarstvo zaštite okoliša i energetike (MZOE), a unutar njega Uprava za energetiku i </w:t>
      </w:r>
      <w:r w:rsidRPr="008231C0">
        <w:t>Uprava za klimatske aktivnosti, održivi razvoj i zaštitu zraka, tla i od svjetlosnog onečišćenja</w:t>
      </w:r>
      <w:r>
        <w:t>. Unutar MZOE djeluje i Nacionalno koordinacijsko tijelo za energetsku učinkovitost, kao posebna ustrojstvena jedinica.</w:t>
      </w:r>
      <w:r w:rsidR="007F5325">
        <w:t xml:space="preserve"> </w:t>
      </w:r>
      <w:r w:rsidR="007F5325" w:rsidRPr="007F5325">
        <w:t>Zadaća ovog tijela jest koordinacija velikog broja dionika uključenih u definiranje, a posebice u provedbu politike energetske učinkovitosti u Hrvatskoj, sustavno praćenje provedbe kroz sustav za praćenje, mjerenje i verifikaciju ušteda energije (SMiV), izvještavanje te informiranje široke javnosti o planovima, realiziranim mjerama i njihovim učincima.</w:t>
      </w:r>
    </w:p>
    <w:p w14:paraId="36D29FDF" w14:textId="54D0B41F" w:rsidR="00713F62" w:rsidRDefault="00FF0CF3" w:rsidP="00FF0CF3">
      <w:r>
        <w:t>Važnu ulogu u provedbi nacionalnih energetskih i klimatskih politika uz MZOE ima i Ministarstvo graditeljstva i prostornog uređenja (MGIPU)</w:t>
      </w:r>
      <w:r w:rsidR="001851F3">
        <w:t>, koje je odgovorno za</w:t>
      </w:r>
      <w:r>
        <w:t xml:space="preserve"> </w:t>
      </w:r>
      <w:r w:rsidR="001851F3" w:rsidRPr="001851F3">
        <w:t>kreiranj</w:t>
      </w:r>
      <w:r w:rsidR="001851F3">
        <w:t>e</w:t>
      </w:r>
      <w:r w:rsidR="001851F3" w:rsidRPr="001851F3">
        <w:t xml:space="preserve"> politike i mjera kojima se ostvaruju postavljeni ciljevi energetskih ušteda u zgradama. </w:t>
      </w:r>
      <w:r w:rsidR="001851F3">
        <w:t>MGIPU</w:t>
      </w:r>
      <w:r w:rsidR="001851F3" w:rsidRPr="001851F3">
        <w:t xml:space="preserve"> donosi zakonsku regulativu, strategije i programe kojima usmjerava dugoročnu integralnu obnovu zgrada: obiteljskih kuća, višestambenih zgrada, komercijalnih nestambenih zgrada i zgrada javnog sektora.</w:t>
      </w:r>
    </w:p>
    <w:p w14:paraId="2CDDE1AF" w14:textId="20EDE48E" w:rsidR="00FF0CF3" w:rsidRDefault="00FF0CF3" w:rsidP="001851F3">
      <w:r>
        <w:t xml:space="preserve">Ministarstvo </w:t>
      </w:r>
      <w:r w:rsidR="00C67FD0">
        <w:t xml:space="preserve">pomorstva, </w:t>
      </w:r>
      <w:r>
        <w:t>prometa</w:t>
      </w:r>
      <w:r w:rsidR="00C67FD0">
        <w:t xml:space="preserve"> i infrastrukture</w:t>
      </w:r>
      <w:r w:rsidR="00E35991">
        <w:t xml:space="preserve"> </w:t>
      </w:r>
      <w:r w:rsidR="00713F62">
        <w:t xml:space="preserve">odgovorno </w:t>
      </w:r>
      <w:r w:rsidR="00C67FD0">
        <w:t xml:space="preserve">je </w:t>
      </w:r>
      <w:r w:rsidR="00713F62">
        <w:t>za nacionalnu politiku, akcijske planove i strategij</w:t>
      </w:r>
      <w:r w:rsidR="00C67FD0">
        <w:t>e</w:t>
      </w:r>
      <w:r w:rsidR="00713F62">
        <w:t xml:space="preserve"> </w:t>
      </w:r>
      <w:r w:rsidR="00213605">
        <w:t>vezane uz razvoj infrastrukture za poticanje korištenja alternativnih goriva u prometu te ostalih mjera za poboljšanje energetske učinkovitosti u prometu</w:t>
      </w:r>
      <w:r w:rsidR="00713F62">
        <w:t>.</w:t>
      </w:r>
    </w:p>
    <w:p w14:paraId="5727D19C" w14:textId="069DF186" w:rsidR="00FF0CF3" w:rsidRPr="007F5325" w:rsidRDefault="00FF0CF3" w:rsidP="00FF0CF3">
      <w:r w:rsidRPr="007F5325">
        <w:t xml:space="preserve">Na provedbenoj razini </w:t>
      </w:r>
      <w:r w:rsidR="00213605">
        <w:t>važnu</w:t>
      </w:r>
      <w:r w:rsidR="00213605" w:rsidRPr="007F5325">
        <w:t xml:space="preserve"> </w:t>
      </w:r>
      <w:r w:rsidRPr="007F5325">
        <w:t xml:space="preserve">ulogu ima Fond za zaštitu okoliša i energetsku učinkovitost (FZOEU). FZOEU je zadužen za sufinanciranje mjera definiranih u nacionalnim energetskim i klimatskim planovima, a djeluje i kao posredničko tijelo razine 2 za korištenje sredstava ESI fondova prema Operativnom programu Konkurentnost i kohezija 2014. – 2020., u dijelovima relevantnim za energetiku i klimu. FZOEU također raspolaže financijskim sredstvima dobivenim od emisijskih jedinica putem dražbi na EU tržištu te ih usmjerava u skladu s Planom korištenja financijskih sredstava dobivenih od prodaje emisijskih jedinica putem dražbi u RH za razdoblje od 2017. do 2020. godine (NN br. 19/18). </w:t>
      </w:r>
    </w:p>
    <w:p w14:paraId="2DA1421D" w14:textId="4C72E758" w:rsidR="00FF0CF3" w:rsidRPr="00BA2171" w:rsidRDefault="00FF0CF3" w:rsidP="00FF0CF3">
      <w:r w:rsidRPr="007F5325">
        <w:t>Na polju energetske učinkovitosti važnu ulogu ima i Agencija za pravni promet i posredovanje nekretninama (APN), koja je zadužena za provedbu programa energetske obnove zgrada javnog sektora po modelu energetske usluge i za sustavno gospodarenje energijom u javnom sektoru, sve u skladu s ovlastima definiranima Zakonom o energetskoj učinkovitosti (NN br. 127/14</w:t>
      </w:r>
      <w:r w:rsidRPr="00BA2171">
        <w:t>).</w:t>
      </w:r>
    </w:p>
    <w:p w14:paraId="1E72105A" w14:textId="77777777" w:rsidR="00FF0CF3" w:rsidRPr="00050DB9" w:rsidRDefault="00FF0CF3" w:rsidP="00FF0CF3">
      <w:r w:rsidRPr="00050DB9">
        <w:t xml:space="preserve">Hrvatska energetska regulatorna agencija (HERA) je regulator energetskih djelatnosti odgovoran za unapređenje i provedbu podzakonskih akata, izdavanje dozvola, postavljanje tarifa, certifikaciju statusa povlaštenog proizvođača, itd. </w:t>
      </w:r>
    </w:p>
    <w:p w14:paraId="182CD934" w14:textId="0496FC6D" w:rsidR="005837C6" w:rsidRDefault="00D8266D" w:rsidP="00FF0CF3">
      <w:r w:rsidRPr="00D8266D">
        <w:t>Agencij</w:t>
      </w:r>
      <w:r>
        <w:t xml:space="preserve">a za ugljikovodike </w:t>
      </w:r>
      <w:r w:rsidR="0058261F">
        <w:t xml:space="preserve">pruža </w:t>
      </w:r>
      <w:r w:rsidRPr="00D8266D">
        <w:t>operativn</w:t>
      </w:r>
      <w:r w:rsidR="0058261F">
        <w:t>u</w:t>
      </w:r>
      <w:r w:rsidRPr="00D8266D">
        <w:t xml:space="preserve"> podršk</w:t>
      </w:r>
      <w:r w:rsidR="0058261F">
        <w:t>u</w:t>
      </w:r>
      <w:r w:rsidRPr="00D8266D">
        <w:t xml:space="preserve"> nadležnim tijelima u poslovima vezanim za istraživanje i eksploataciju ugljikovodika, kao i trajno zbrinjavanje plinova u geološkim strukturama</w:t>
      </w:r>
      <w:r w:rsidR="00F403FC">
        <w:t xml:space="preserve"> te u </w:t>
      </w:r>
      <w:r w:rsidR="005856E7">
        <w:t xml:space="preserve">poslovima osiguranja obveznih zaliha nafte </w:t>
      </w:r>
      <w:r w:rsidR="00576DF5">
        <w:t>i naftnih derivata.</w:t>
      </w:r>
    </w:p>
    <w:p w14:paraId="18EA20EB" w14:textId="77777777" w:rsidR="00FF0CF3" w:rsidRDefault="00FF0CF3" w:rsidP="00FF0CF3">
      <w:r w:rsidRPr="00050DB9">
        <w:t xml:space="preserve">Hrvatski operator tržišta energije (HROTE) organizira energetsko tržište na temelju pravila koje definira HERA. Ujedno prikuplja naknade za poticanje obnovljivih izvora energije i kogeneraciju od dobavljača te ih u konačnici prosljeđuje proizvođačima obnovljive energije s odgovarajućim certifikatima porijekla. </w:t>
      </w:r>
    </w:p>
    <w:p w14:paraId="41EDE353" w14:textId="77777777" w:rsidR="00FF0CF3" w:rsidRPr="00050DB9" w:rsidRDefault="00FF0CF3" w:rsidP="00FF0CF3">
      <w:r w:rsidRPr="00050DB9">
        <w:t>Operatori prijenosnog/distribucijskog</w:t>
      </w:r>
      <w:r w:rsidR="00576DF5">
        <w:t xml:space="preserve"> elektroenergetskog</w:t>
      </w:r>
      <w:r w:rsidRPr="00050DB9">
        <w:t xml:space="preserve"> sustava (HOPS/HEP-ODS) imaju ulogu prijenosa i distribucije električne energije unutar mreže</w:t>
      </w:r>
      <w:r w:rsidR="00C40F37">
        <w:t>, dok je operator plinske prijenosne mreže tvrtka PLINACRO d.o.o.</w:t>
      </w:r>
    </w:p>
    <w:p w14:paraId="62B5EDA4" w14:textId="6D00BE1B" w:rsidR="00FF0CF3" w:rsidRDefault="00FF0CF3" w:rsidP="00FF0CF3">
      <w:r w:rsidRPr="00050DB9">
        <w:t>Također treba istaknuti opskrbljivače energijom kao dionike koji će u budućem razdoblju imati ključnu ulogu u ostvarenju ciljeva politike energetske učinkovitosti. Naime, opskrbljivači će od 2019. godine</w:t>
      </w:r>
      <w:r w:rsidR="00E35991">
        <w:t xml:space="preserve"> </w:t>
      </w:r>
      <w:r w:rsidRPr="00050DB9">
        <w:t xml:space="preserve">biti obvezni ostvarivati uštede energije ulaganjem </w:t>
      </w:r>
      <w:r w:rsidR="00C175B2">
        <w:t xml:space="preserve">u </w:t>
      </w:r>
      <w:r w:rsidRPr="00050DB9">
        <w:t>i poticanjem poboljšanj</w:t>
      </w:r>
      <w:r w:rsidR="00C175B2">
        <w:t>a</w:t>
      </w:r>
      <w:r w:rsidRPr="00050DB9">
        <w:t xml:space="preserve"> energetske učinkovitosti kod krajnjih kupaca energije ili novčanom uplatom u FZOEU.</w:t>
      </w:r>
      <w:r w:rsidR="0086329E">
        <w:t xml:space="preserve"> </w:t>
      </w:r>
    </w:p>
    <w:p w14:paraId="2673E5E0" w14:textId="77777777" w:rsidR="00FF0CF3" w:rsidRDefault="00FF0CF3" w:rsidP="00FF0CF3">
      <w:pPr>
        <w:pStyle w:val="Heading2"/>
      </w:pPr>
      <w:bookmarkStart w:id="154" w:name="_Toc531934952"/>
      <w:bookmarkStart w:id="155" w:name="_Toc531945078"/>
      <w:r>
        <w:t>Savjetovanja i sudjelovanje nacionalnih subjekata i subjekata EU-a te ishod savjetovanja</w:t>
      </w:r>
      <w:bookmarkEnd w:id="154"/>
      <w:bookmarkEnd w:id="155"/>
    </w:p>
    <w:p w14:paraId="47467E64" w14:textId="5DE034B2" w:rsidR="00FF0CF3" w:rsidRDefault="00FF0CF3" w:rsidP="00302043">
      <w:pPr>
        <w:pStyle w:val="Heading3"/>
      </w:pPr>
      <w:bookmarkStart w:id="156" w:name="_Toc531934953"/>
      <w:bookmarkStart w:id="157" w:name="_Toc531945079"/>
      <w:r>
        <w:t>Sudjelovanje Parlamenta</w:t>
      </w:r>
      <w:bookmarkEnd w:id="156"/>
      <w:bookmarkEnd w:id="157"/>
      <w:r>
        <w:t xml:space="preserve"> </w:t>
      </w:r>
    </w:p>
    <w:p w14:paraId="7D526EEC" w14:textId="38AA0E18" w:rsidR="00AC79AE" w:rsidRPr="00AC79AE" w:rsidRDefault="00AC79AE" w:rsidP="00AC79AE">
      <w:r>
        <w:t>Sudjelovanje Sabora se očekuje po upućivanju finalnog Nacrta Integriranog energetsko</w:t>
      </w:r>
      <w:r w:rsidR="001C6616">
        <w:t>g</w:t>
      </w:r>
      <w:r>
        <w:t xml:space="preserve"> i klimatskog plana u proceduru usvajanja. Očekuje se kako će se Nacrt raspraviti na radnim tijelima Sabora te uputiti na usvajanje.</w:t>
      </w:r>
    </w:p>
    <w:p w14:paraId="766BAF1F" w14:textId="021C75B7" w:rsidR="00FF0CF3" w:rsidRDefault="00FF0CF3" w:rsidP="00302043">
      <w:pPr>
        <w:pStyle w:val="Heading3"/>
      </w:pPr>
      <w:bookmarkStart w:id="158" w:name="_Toc531934954"/>
      <w:bookmarkStart w:id="159" w:name="_Toc531945080"/>
      <w:r>
        <w:t>Sudjelovanje lokalnih i regionalnih tijela</w:t>
      </w:r>
      <w:bookmarkEnd w:id="158"/>
      <w:bookmarkEnd w:id="159"/>
      <w:r>
        <w:t xml:space="preserve"> </w:t>
      </w:r>
    </w:p>
    <w:p w14:paraId="18DC8E87" w14:textId="01E1BE02" w:rsidR="00AC79AE" w:rsidRPr="00AC79AE" w:rsidRDefault="00AC79AE" w:rsidP="00AC79AE">
      <w:r>
        <w:t xml:space="preserve">Lokalna i regionalna tijela sudjelovala su na </w:t>
      </w:r>
      <w:r w:rsidR="0033694E">
        <w:t xml:space="preserve">konzultativnim radionicama organiziranim u </w:t>
      </w:r>
      <w:r w:rsidR="00E51A59">
        <w:t>okviru izrade Nacrta Strategije niskougljičnog razvoja Republike Hrvatske do 2030. godine s pogledom na 2050., na događanjima organ</w:t>
      </w:r>
      <w:r w:rsidR="00C651D3">
        <w:t>i</w:t>
      </w:r>
      <w:r w:rsidR="00E51A59">
        <w:t xml:space="preserve">ziranim u okviru javnog predstavljanja Zelene knjige koja će poslužiti kao podloga za izradu Strategije energetskog razvoja Republike Hrvatske do 2030. godine s pogledom na 2050. godinu </w:t>
      </w:r>
      <w:r w:rsidR="0033694E">
        <w:t>te putem e-savjetovanja.</w:t>
      </w:r>
      <w:r w:rsidR="00E51A59">
        <w:t xml:space="preserve"> Idući krug radionica organizirat će se po dovršetku svih dijelova Nacrta Plana, u prvom kvartalu 2018. godine.</w:t>
      </w:r>
    </w:p>
    <w:p w14:paraId="1C2A2E93" w14:textId="77777777" w:rsidR="00FF0CF3" w:rsidRDefault="00FF0CF3" w:rsidP="00302043">
      <w:pPr>
        <w:pStyle w:val="Heading3"/>
      </w:pPr>
      <w:bookmarkStart w:id="160" w:name="_Toc531934955"/>
      <w:bookmarkStart w:id="161" w:name="_Toc531945081"/>
      <w:r>
        <w:t>Savjetovanja s dionicima, uključujući socijalne partnere, te uključenost civilnog društva</w:t>
      </w:r>
      <w:bookmarkEnd w:id="160"/>
      <w:bookmarkEnd w:id="161"/>
    </w:p>
    <w:p w14:paraId="3B86B483" w14:textId="4C43132A" w:rsidR="00FF0CF3" w:rsidRDefault="0033694E" w:rsidP="00FF0CF3">
      <w:r>
        <w:t xml:space="preserve">Dionici su sudjelovali </w:t>
      </w:r>
      <w:r w:rsidR="00E51A59">
        <w:t>na konzultativnim radionicama organiziranim u okviru izrade Nacrta Strategije niskougljičnog razvoja Republike Hrvatske do 2030. godine s pogledom na 2050., na događanjima organ</w:t>
      </w:r>
      <w:r w:rsidR="00C651D3">
        <w:t>i</w:t>
      </w:r>
      <w:r w:rsidR="00E51A59">
        <w:t xml:space="preserve">ziranim u okviru javnog predstavljanja Zelene knjige koja će poslužiti kao podloga za izradu Strategije energetskog razvoja Republike Hrvatske do 2030. godine s pogledom na 2050. godinu, </w:t>
      </w:r>
      <w:r>
        <w:t>na konzultativnim radionicama</w:t>
      </w:r>
      <w:r w:rsidR="00E51A59">
        <w:t xml:space="preserve"> održanim u okviru rada na Nacrtu plana</w:t>
      </w:r>
      <w:r>
        <w:t xml:space="preserve"> te putem e-savjetovanja.</w:t>
      </w:r>
      <w:r w:rsidR="00E51A59">
        <w:t xml:space="preserve"> Idući krug radionica organizirat će se po dovršetku svih dijelova Nacrta Plana, u prvom kvartalu 2018. godine.</w:t>
      </w:r>
    </w:p>
    <w:p w14:paraId="39C7D974" w14:textId="77777777" w:rsidR="00FF0CF3" w:rsidRDefault="00FF0CF3" w:rsidP="00302043">
      <w:pPr>
        <w:pStyle w:val="Heading3"/>
      </w:pPr>
      <w:bookmarkStart w:id="162" w:name="_Toc531934956"/>
      <w:bookmarkStart w:id="163" w:name="_Toc531945082"/>
      <w:r>
        <w:t>Savjetovanja s drugim državama članicama</w:t>
      </w:r>
      <w:bookmarkEnd w:id="162"/>
      <w:bookmarkEnd w:id="163"/>
      <w:r>
        <w:t xml:space="preserve"> </w:t>
      </w:r>
    </w:p>
    <w:p w14:paraId="42EE12EE" w14:textId="0AC64BF5" w:rsidR="00FF0CF3" w:rsidRDefault="0033694E" w:rsidP="00FF0CF3">
      <w:r>
        <w:t>Proces izrade Nacrta Integriranog energetskog i klimatskog plana predstavljen je predstavnicima zemalja članica Energetske zajednice na sastanku Tehničke radne skupine za energiju i klimu, održanom 9. listopada 2018. godine.</w:t>
      </w:r>
    </w:p>
    <w:p w14:paraId="7D3C4E80" w14:textId="140F3BCA" w:rsidR="00E51A59" w:rsidRDefault="00E51A59" w:rsidP="00E51A59">
      <w:bookmarkStart w:id="164" w:name="_Hlk531943090"/>
      <w:r>
        <w:t xml:space="preserve">Tekst Nacrta Integriranog energetskog i klimatskog plana </w:t>
      </w:r>
      <w:r w:rsidR="00D86956">
        <w:t xml:space="preserve">bit će </w:t>
      </w:r>
      <w:r>
        <w:t xml:space="preserve">preveden na engleski jezik, dostavljen </w:t>
      </w:r>
      <w:r w:rsidRPr="00322616">
        <w:t xml:space="preserve">Europskoj komisiji i objavljen na internetskim stranicama Ministarstva zaštite okoliša i energetike. </w:t>
      </w:r>
      <w:bookmarkEnd w:id="164"/>
      <w:r w:rsidRPr="00322616">
        <w:t>Naknadno će biti dorađivan sukladno eventualnim nadopunama i izmjenama u hrvatskoj inačici teksta</w:t>
      </w:r>
      <w:r>
        <w:t>.</w:t>
      </w:r>
    </w:p>
    <w:p w14:paraId="6AB4F21A" w14:textId="77777777" w:rsidR="00FF0CF3" w:rsidRDefault="00FF0CF3" w:rsidP="00302043">
      <w:pPr>
        <w:pStyle w:val="Heading3"/>
      </w:pPr>
      <w:bookmarkStart w:id="165" w:name="_Toc531702944"/>
      <w:bookmarkStart w:id="166" w:name="_Toc531801527"/>
      <w:bookmarkStart w:id="167" w:name="_Toc531801656"/>
      <w:bookmarkStart w:id="168" w:name="_Toc531801782"/>
      <w:bookmarkStart w:id="169" w:name="_Toc531801910"/>
      <w:bookmarkStart w:id="170" w:name="_Toc531934957"/>
      <w:bookmarkStart w:id="171" w:name="_Toc531945083"/>
      <w:bookmarkEnd w:id="165"/>
      <w:bookmarkEnd w:id="166"/>
      <w:bookmarkEnd w:id="167"/>
      <w:bookmarkEnd w:id="168"/>
      <w:bookmarkEnd w:id="169"/>
      <w:r>
        <w:t>Iterativni postupak s Europskom komisijom</w:t>
      </w:r>
      <w:bookmarkEnd w:id="170"/>
      <w:bookmarkEnd w:id="171"/>
      <w:r>
        <w:t xml:space="preserve"> </w:t>
      </w:r>
    </w:p>
    <w:p w14:paraId="13B120FF" w14:textId="77777777" w:rsidR="00E51A59" w:rsidRDefault="00E51A59" w:rsidP="00E51A59">
      <w:r>
        <w:t>Predstavnici Ministarstva zaštite okoliša i energetike sudjelovali su u radu i na sastancima Tehničke radne skupine za nacionalne energetske i klimatske planove Europske komisije.</w:t>
      </w:r>
    </w:p>
    <w:p w14:paraId="0D4B95F4" w14:textId="508A081F" w:rsidR="00E51A59" w:rsidRDefault="00E51A59" w:rsidP="00E51A59">
      <w:r>
        <w:t xml:space="preserve">Prvi nacrt teksta Integriranog energetskog i klimatskog plana dostavit će se Europskoj komisiji do 31.12.2018. godine, nakon čega će se nastaviti rad na tekstu i dopuniti dijelovi vezani za procjenu učinaka mjera te za dimenziju istraživanje, inovacije i konkurentnost. </w:t>
      </w:r>
    </w:p>
    <w:p w14:paraId="27C477C6" w14:textId="4A966860" w:rsidR="00E51A59" w:rsidRDefault="00E51A59" w:rsidP="00E51A59">
      <w:r>
        <w:t xml:space="preserve">Potpun nacrt teksta dostavit će se </w:t>
      </w:r>
      <w:r w:rsidRPr="007145ED">
        <w:t xml:space="preserve">Europskoj komisiji </w:t>
      </w:r>
      <w:r w:rsidR="004B3713" w:rsidRPr="007145ED">
        <w:t>naknadno</w:t>
      </w:r>
      <w:r w:rsidR="004B3713">
        <w:t xml:space="preserve"> te će se </w:t>
      </w:r>
    </w:p>
    <w:p w14:paraId="3733C15E" w14:textId="2F848CCB" w:rsidR="00E51A59" w:rsidRDefault="004B3713" w:rsidP="00E51A59">
      <w:r>
        <w:t>n</w:t>
      </w:r>
      <w:r w:rsidR="00E51A59">
        <w:t>acrt teksta će prema potrebi doraditi sukladno eventualnim komentarima Europske komisije.</w:t>
      </w:r>
    </w:p>
    <w:p w14:paraId="4836CCF1" w14:textId="77777777" w:rsidR="00FF0CF3" w:rsidRDefault="00FF0CF3" w:rsidP="00FF0CF3">
      <w:pPr>
        <w:pStyle w:val="Heading2"/>
      </w:pPr>
      <w:bookmarkStart w:id="172" w:name="_Toc531702946"/>
      <w:bookmarkStart w:id="173" w:name="_Toc531801529"/>
      <w:bookmarkStart w:id="174" w:name="_Toc531801658"/>
      <w:bookmarkStart w:id="175" w:name="_Toc531801784"/>
      <w:bookmarkStart w:id="176" w:name="_Toc531801912"/>
      <w:bookmarkStart w:id="177" w:name="_Toc531702947"/>
      <w:bookmarkStart w:id="178" w:name="_Toc531801530"/>
      <w:bookmarkStart w:id="179" w:name="_Toc531801659"/>
      <w:bookmarkStart w:id="180" w:name="_Toc531801785"/>
      <w:bookmarkStart w:id="181" w:name="_Toc531801913"/>
      <w:bookmarkStart w:id="182" w:name="_Toc531934958"/>
      <w:bookmarkStart w:id="183" w:name="_Toc531945084"/>
      <w:bookmarkEnd w:id="172"/>
      <w:bookmarkEnd w:id="173"/>
      <w:bookmarkEnd w:id="174"/>
      <w:bookmarkEnd w:id="175"/>
      <w:bookmarkEnd w:id="176"/>
      <w:bookmarkEnd w:id="177"/>
      <w:bookmarkEnd w:id="178"/>
      <w:bookmarkEnd w:id="179"/>
      <w:bookmarkEnd w:id="180"/>
      <w:bookmarkEnd w:id="181"/>
      <w:r>
        <w:t>Regionalna suradnja u izradi plana</w:t>
      </w:r>
      <w:bookmarkEnd w:id="182"/>
      <w:bookmarkEnd w:id="183"/>
    </w:p>
    <w:p w14:paraId="4E393800" w14:textId="77777777" w:rsidR="00E51A59" w:rsidRDefault="00E51A59" w:rsidP="00E51A59">
      <w:pPr>
        <w:pStyle w:val="Heading3"/>
        <w:ind w:left="720" w:hanging="720"/>
      </w:pPr>
      <w:bookmarkStart w:id="184" w:name="_Toc530845560"/>
      <w:bookmarkStart w:id="185" w:name="_Toc531934959"/>
      <w:bookmarkStart w:id="186" w:name="_Toc531945085"/>
      <w:r>
        <w:t>Elementi koji podliježu zajedničkom ili koordiniranom planiranju s drugim državama članicama</w:t>
      </w:r>
      <w:bookmarkEnd w:id="184"/>
      <w:bookmarkEnd w:id="185"/>
      <w:bookmarkEnd w:id="186"/>
    </w:p>
    <w:p w14:paraId="72436649" w14:textId="2E016089" w:rsidR="00E51A59" w:rsidRDefault="00E51A59">
      <w:r w:rsidRPr="007145ED">
        <w:t>Nije primjenjivo</w:t>
      </w:r>
      <w:r w:rsidR="00221C13" w:rsidRPr="007145ED">
        <w:t>.</w:t>
      </w:r>
    </w:p>
    <w:p w14:paraId="136074C8" w14:textId="77777777" w:rsidR="00E51A59" w:rsidRDefault="00E51A59" w:rsidP="00E51A59">
      <w:pPr>
        <w:pStyle w:val="Heading3"/>
        <w:ind w:left="720" w:hanging="720"/>
      </w:pPr>
      <w:bookmarkStart w:id="187" w:name="_Toc530845561"/>
      <w:bookmarkStart w:id="188" w:name="_Toc531934960"/>
      <w:bookmarkStart w:id="189" w:name="_Toc531945086"/>
      <w:r>
        <w:t>Objašnjenje u pogledu toga kako se u planu razmatra regionalna suradnja</w:t>
      </w:r>
      <w:bookmarkEnd w:id="187"/>
      <w:bookmarkEnd w:id="188"/>
      <w:bookmarkEnd w:id="189"/>
    </w:p>
    <w:p w14:paraId="29C9912D" w14:textId="351288BF" w:rsidR="00FF0CF3" w:rsidRDefault="001021F1" w:rsidP="00FF0CF3">
      <w:r w:rsidRPr="007145ED">
        <w:t>Regionalna suradnja obuhvaćena je savjetovanjem s drugim državama članicama.</w:t>
      </w:r>
    </w:p>
    <w:p w14:paraId="4FA4D4A5" w14:textId="77777777" w:rsidR="00FF0CF3" w:rsidRPr="002326AD" w:rsidRDefault="00FF0CF3" w:rsidP="00FF0CF3"/>
    <w:p w14:paraId="1DDEFC18" w14:textId="2129D330" w:rsidR="00FF0CF3" w:rsidRDefault="00FF0CF3" w:rsidP="00FF0CF3">
      <w:pPr>
        <w:pStyle w:val="Heading1"/>
      </w:pPr>
      <w:bookmarkStart w:id="190" w:name="_Toc531934961"/>
      <w:bookmarkStart w:id="191" w:name="_Toc531945087"/>
      <w:r>
        <w:t>NACIONALNI CILJEVI</w:t>
      </w:r>
      <w:bookmarkEnd w:id="190"/>
      <w:bookmarkEnd w:id="191"/>
      <w:r>
        <w:t xml:space="preserve"> </w:t>
      </w:r>
    </w:p>
    <w:p w14:paraId="0E79F831" w14:textId="1EA855F9" w:rsidR="00FF0CF3" w:rsidRDefault="00FF0CF3" w:rsidP="00FF0CF3">
      <w:pPr>
        <w:pStyle w:val="Heading2"/>
      </w:pPr>
      <w:bookmarkStart w:id="192" w:name="_Toc531934962"/>
      <w:bookmarkStart w:id="193" w:name="_Toc531945088"/>
      <w:r>
        <w:t>Dimenzija: dekarbonizacija</w:t>
      </w:r>
      <w:bookmarkEnd w:id="192"/>
      <w:bookmarkEnd w:id="193"/>
    </w:p>
    <w:p w14:paraId="7833309C" w14:textId="295BCEDB" w:rsidR="00FF0CF3" w:rsidRDefault="00FF0CF3" w:rsidP="00302043">
      <w:pPr>
        <w:pStyle w:val="Heading3"/>
      </w:pPr>
      <w:bookmarkStart w:id="194" w:name="_Toc531934963"/>
      <w:bookmarkStart w:id="195" w:name="_Toc531945089"/>
      <w:r>
        <w:t>Emisije i uklanjanja stakleničkih plinova</w:t>
      </w:r>
      <w:bookmarkEnd w:id="194"/>
      <w:bookmarkEnd w:id="195"/>
      <w:r>
        <w:t xml:space="preserve"> </w:t>
      </w:r>
    </w:p>
    <w:p w14:paraId="5A6E6E1C" w14:textId="7D4FA639" w:rsidR="00DF728F" w:rsidRDefault="0049330E" w:rsidP="0049330E">
      <w:pPr>
        <w:suppressAutoHyphens w:val="0"/>
        <w:spacing w:after="160" w:line="259" w:lineRule="auto"/>
      </w:pPr>
      <w:r>
        <w:t xml:space="preserve">Europska unija je ratificirala Pariški sporazum i obvezala se smanjiti emisije stakleničkih plinova za najmanje 40 </w:t>
      </w:r>
      <w:r w:rsidR="008B79B9">
        <w:t>%</w:t>
      </w:r>
      <w:r>
        <w:t xml:space="preserve"> do 2030. godine, u usporedbi s emisijama iz 1990. godine. Hrvatska je ratificirala Pariški sporazum u svibnju 2017. godine</w:t>
      </w:r>
      <w:r w:rsidR="008B79B9">
        <w:t xml:space="preserve"> i dijeli zajednički EU cilj</w:t>
      </w:r>
      <w:r>
        <w:t>.</w:t>
      </w:r>
      <w:r w:rsidR="00B87AB9">
        <w:t xml:space="preserve"> </w:t>
      </w:r>
      <w:r w:rsidR="00DF728F" w:rsidRPr="00DF728F">
        <w:t>Ovaj zajednički EU cilj raspodijeljen je u dvije cjeline, od kojih prva obuhvaća velike izvore emisije stakleničkih plinova koji su obveznici europskog sustava trgovanja emisijskim jedinicama (ETS sektor), a druga tzv. ne-ETS sektor</w:t>
      </w:r>
      <w:r w:rsidR="00563164">
        <w:t>e</w:t>
      </w:r>
      <w:r w:rsidR="00DF728F" w:rsidRPr="00DF728F">
        <w:t>, koji obuhvaća</w:t>
      </w:r>
      <w:r w:rsidR="00AD2955">
        <w:t>ju</w:t>
      </w:r>
      <w:r w:rsidR="00DF728F" w:rsidRPr="00DF728F">
        <w:t xml:space="preserve"> ostale, relativno manje izvore emisije, kao što su: cestovni i vancestovni promet (osim zračnog prometa koji je uključen u ETS sektor), mala energetska i industrijska postrojenja koja nisu uključena u ETS sektor, kućanstva, usluge, poljoprivredu, gospodarenje otpadom, promjene u korištenju zemljišta i šumarstvo.</w:t>
      </w:r>
    </w:p>
    <w:p w14:paraId="03BF9202" w14:textId="1F7E29FE" w:rsidR="00283F7A" w:rsidRDefault="00283F7A" w:rsidP="0049330E">
      <w:pPr>
        <w:suppressAutoHyphens w:val="0"/>
        <w:spacing w:after="160" w:line="259" w:lineRule="auto"/>
      </w:pPr>
      <w:r w:rsidRPr="00283F7A">
        <w:t xml:space="preserve">Smanjenje emisije za ETS sektor je </w:t>
      </w:r>
      <w:r w:rsidR="00814B33">
        <w:t xml:space="preserve">najmanje </w:t>
      </w:r>
      <w:r w:rsidRPr="00283F7A">
        <w:t xml:space="preserve">43 </w:t>
      </w:r>
      <w:r w:rsidR="00990796">
        <w:t>%</w:t>
      </w:r>
      <w:r w:rsidRPr="00283F7A">
        <w:t xml:space="preserve"> </w:t>
      </w:r>
      <w:r w:rsidR="00814B33">
        <w:t xml:space="preserve">do 2030. </w:t>
      </w:r>
      <w:r w:rsidRPr="00283F7A">
        <w:t xml:space="preserve">u usporedbi s 2005. godinom, uz godišnje smanjenje ukupne EU kvote od 2,2 </w:t>
      </w:r>
      <w:r w:rsidR="00990796">
        <w:t>%</w:t>
      </w:r>
      <w:r w:rsidRPr="00283F7A">
        <w:t xml:space="preserve"> za razdoblje od 2021. do 2030. godine</w:t>
      </w:r>
      <w:r w:rsidR="00AD2955">
        <w:t>, a definirano je direktiv</w:t>
      </w:r>
      <w:r w:rsidR="00A74AEA">
        <w:t>om</w:t>
      </w:r>
      <w:r w:rsidR="00AD2955">
        <w:t xml:space="preserve"> </w:t>
      </w:r>
      <w:r w:rsidR="00A74AEA">
        <w:t>(</w:t>
      </w:r>
      <w:r w:rsidR="00AD2955" w:rsidRPr="00AD2955">
        <w:t>EU) 2018/410</w:t>
      </w:r>
      <w:r w:rsidRPr="00283F7A">
        <w:t>. Za ne-ETS sektor</w:t>
      </w:r>
      <w:r w:rsidR="00814B33">
        <w:t>e</w:t>
      </w:r>
      <w:r w:rsidRPr="00283F7A">
        <w:t xml:space="preserve"> je </w:t>
      </w:r>
      <w:r w:rsidR="00F90280">
        <w:t xml:space="preserve">do 2030. godine </w:t>
      </w:r>
      <w:r w:rsidRPr="00283F7A">
        <w:t xml:space="preserve">postavljen zajednički cilj od </w:t>
      </w:r>
      <w:r w:rsidR="00814B33">
        <w:t xml:space="preserve">najmanje </w:t>
      </w:r>
      <w:r w:rsidRPr="00283F7A">
        <w:t xml:space="preserve">30 </w:t>
      </w:r>
      <w:r w:rsidR="00C22BF3">
        <w:t>%</w:t>
      </w:r>
      <w:r w:rsidRPr="00283F7A">
        <w:t xml:space="preserve"> smanjenja emisija u odnosu na 2005. godinu</w:t>
      </w:r>
      <w:r w:rsidR="00EE5505">
        <w:t xml:space="preserve"> (Uredba </w:t>
      </w:r>
      <w:r w:rsidR="00EE5505" w:rsidRPr="00EE5505">
        <w:t>(EU) 2018/842</w:t>
      </w:r>
      <w:r w:rsidR="00EE5505">
        <w:t>)</w:t>
      </w:r>
      <w:r w:rsidRPr="00283F7A">
        <w:t xml:space="preserve">, a obveze su u rasponu od -40 do 0 </w:t>
      </w:r>
      <w:r w:rsidR="00990796">
        <w:t>%</w:t>
      </w:r>
      <w:r w:rsidRPr="00283F7A">
        <w:t xml:space="preserve"> za različite zemlje članice EU (-7 </w:t>
      </w:r>
      <w:r w:rsidR="00990796">
        <w:t>%</w:t>
      </w:r>
      <w:r w:rsidRPr="00283F7A">
        <w:t xml:space="preserve"> za Hrvatsku).</w:t>
      </w:r>
    </w:p>
    <w:p w14:paraId="7FA90C78" w14:textId="66B66E21" w:rsidR="00E51A59" w:rsidRDefault="0080100B" w:rsidP="00EA72EA">
      <w:pPr>
        <w:suppressAutoHyphens w:val="0"/>
        <w:spacing w:after="160" w:line="259" w:lineRule="auto"/>
        <w:contextualSpacing/>
      </w:pPr>
      <w:r w:rsidRPr="0080100B">
        <w:t>Republika Hrvatska u postupku je revidiranja referentne razine za aktivnost „Gospodarenje šumama“ (eng. Forest Management Reference Level – FMRL) što obuhvaća rekalkulaciju kako povijesnih emisija/odliva, tako i projekcija. Revizija je potrebna zbog niza primijenjenih metodoloških poboljšanja u procjeni emisija/odliva iz aktivnosti „Gospodarenje šumama“. Slijedom navedenog, i uvažavajući značaj te aktivnosti, domena odliva stakleničkih plinova iz sektora LULUCF obradit će se naknadno</w:t>
      </w:r>
      <w:r w:rsidR="00221C13">
        <w:t>.</w:t>
      </w:r>
    </w:p>
    <w:p w14:paraId="13DF5196" w14:textId="77777777" w:rsidR="00221C13" w:rsidRDefault="00221C13" w:rsidP="007145ED">
      <w:pPr>
        <w:suppressAutoHyphens w:val="0"/>
        <w:spacing w:after="160" w:line="259" w:lineRule="auto"/>
        <w:contextualSpacing/>
      </w:pPr>
    </w:p>
    <w:p w14:paraId="58F54B28" w14:textId="26153C1F" w:rsidR="00FF0CF3" w:rsidRDefault="00FF0CF3" w:rsidP="005822F8">
      <w:pPr>
        <w:pStyle w:val="ListParagraph"/>
        <w:numPr>
          <w:ilvl w:val="0"/>
          <w:numId w:val="22"/>
        </w:numPr>
        <w:tabs>
          <w:tab w:val="clear" w:pos="431"/>
        </w:tabs>
        <w:suppressAutoHyphens w:val="0"/>
        <w:spacing w:after="160" w:line="259" w:lineRule="auto"/>
        <w:contextualSpacing/>
        <w:jc w:val="left"/>
      </w:pPr>
      <w:r>
        <w:t xml:space="preserve">Ako je primjenjivo, drugi nacionalni ciljevi koji su u skladu s postojećim dugoročnim strategijama za niske emisije. Ako je primjenjivo, drugi ciljevi, uključujući sektorske ciljeve </w:t>
      </w:r>
    </w:p>
    <w:p w14:paraId="17B04915" w14:textId="6121F8A9" w:rsidR="00B4224E" w:rsidRDefault="00B4224E" w:rsidP="007145ED">
      <w:pPr>
        <w:suppressAutoHyphens w:val="0"/>
        <w:spacing w:after="160" w:line="259" w:lineRule="auto"/>
        <w:contextualSpacing/>
        <w:jc w:val="left"/>
      </w:pPr>
      <w:r>
        <w:t>Nije primjenjivo</w:t>
      </w:r>
    </w:p>
    <w:p w14:paraId="2EBF15BA" w14:textId="2E416CD6" w:rsidR="00FF0CF3" w:rsidRDefault="00FF0CF3" w:rsidP="00302043">
      <w:pPr>
        <w:pStyle w:val="Heading3"/>
      </w:pPr>
      <w:bookmarkStart w:id="196" w:name="_Toc531934964"/>
      <w:bookmarkStart w:id="197" w:name="_Toc531945090"/>
      <w:r>
        <w:t>Energija iz obnovljivih izvora</w:t>
      </w:r>
      <w:bookmarkEnd w:id="196"/>
      <w:bookmarkEnd w:id="197"/>
      <w:r>
        <w:t xml:space="preserve"> </w:t>
      </w:r>
    </w:p>
    <w:p w14:paraId="1335BC85" w14:textId="42F727A1" w:rsidR="00E176B9" w:rsidRDefault="00E176B9" w:rsidP="00E176B9">
      <w:r>
        <w:t>Indikativni ciljevi do 2030. godine prikazani u sljedećom tablicom.</w:t>
      </w:r>
    </w:p>
    <w:p w14:paraId="425C27E6" w14:textId="77777777" w:rsidR="00483D4C" w:rsidRDefault="00483D4C" w:rsidP="00E176B9"/>
    <w:p w14:paraId="0F8DE3AE" w14:textId="4660DAE8" w:rsidR="00E176B9" w:rsidRDefault="00E176B9" w:rsidP="00E176B9">
      <w:pPr>
        <w:pStyle w:val="Caption"/>
        <w:keepNext/>
      </w:pPr>
      <w:bookmarkStart w:id="198" w:name="_Toc531935333"/>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w:t>
      </w:r>
      <w:r w:rsidR="00B22048">
        <w:rPr>
          <w:noProof/>
        </w:rPr>
        <w:fldChar w:fldCharType="end"/>
      </w:r>
      <w:r>
        <w:t>. Indikativni nacionalni ciljevi za udjele OIE do 2030. godine</w:t>
      </w:r>
      <w:bookmarkEnd w:id="198"/>
    </w:p>
    <w:tbl>
      <w:tblPr>
        <w:tblW w:w="69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2"/>
        <w:gridCol w:w="1134"/>
        <w:gridCol w:w="1943"/>
      </w:tblGrid>
      <w:tr w:rsidR="00F20FDD" w:rsidRPr="00E9288C" w14:paraId="15EE8B9E" w14:textId="77777777" w:rsidTr="00F20FDD">
        <w:trPr>
          <w:trHeight w:val="290"/>
        </w:trPr>
        <w:tc>
          <w:tcPr>
            <w:tcW w:w="3862" w:type="dxa"/>
            <w:vMerge w:val="restart"/>
            <w:shd w:val="clear" w:color="auto" w:fill="auto"/>
            <w:noWrap/>
            <w:vAlign w:val="center"/>
            <w:hideMark/>
          </w:tcPr>
          <w:p w14:paraId="516447E0" w14:textId="77777777" w:rsidR="00F20FDD" w:rsidRPr="00E9288C" w:rsidRDefault="00F20FDD" w:rsidP="00520FA2">
            <w:pPr>
              <w:spacing w:before="0" w:after="0" w:line="240" w:lineRule="auto"/>
              <w:jc w:val="center"/>
              <w:rPr>
                <w:rFonts w:ascii="Times New Roman" w:hAnsi="Times New Roman"/>
                <w:b/>
                <w:sz w:val="24"/>
                <w:szCs w:val="24"/>
              </w:rPr>
            </w:pPr>
            <w:r w:rsidRPr="00E9288C">
              <w:rPr>
                <w:rFonts w:ascii="Calibri" w:hAnsi="Calibri" w:cs="Calibri"/>
                <w:b/>
                <w:color w:val="000000"/>
              </w:rPr>
              <w:t>Udio OIE, %</w:t>
            </w:r>
          </w:p>
        </w:tc>
        <w:tc>
          <w:tcPr>
            <w:tcW w:w="1134" w:type="dxa"/>
            <w:vMerge w:val="restart"/>
            <w:shd w:val="clear" w:color="auto" w:fill="auto"/>
            <w:noWrap/>
            <w:vAlign w:val="center"/>
            <w:hideMark/>
          </w:tcPr>
          <w:p w14:paraId="0F264906" w14:textId="77777777" w:rsidR="00F20FDD" w:rsidRPr="00E9288C" w:rsidRDefault="00F20FDD" w:rsidP="00520FA2">
            <w:pPr>
              <w:spacing w:before="0" w:after="0" w:line="240" w:lineRule="auto"/>
              <w:jc w:val="center"/>
              <w:rPr>
                <w:rFonts w:ascii="Times New Roman" w:hAnsi="Times New Roman"/>
                <w:b/>
                <w:sz w:val="20"/>
                <w:szCs w:val="20"/>
              </w:rPr>
            </w:pPr>
            <w:r w:rsidRPr="00E9288C">
              <w:rPr>
                <w:rFonts w:ascii="Calibri" w:hAnsi="Calibri" w:cs="Calibri"/>
                <w:b/>
                <w:color w:val="000000"/>
              </w:rPr>
              <w:t>Vrijednost 2020.</w:t>
            </w:r>
          </w:p>
        </w:tc>
        <w:tc>
          <w:tcPr>
            <w:tcW w:w="1943" w:type="dxa"/>
            <w:vMerge w:val="restart"/>
          </w:tcPr>
          <w:p w14:paraId="00BA4DE0" w14:textId="1E56F2AD" w:rsidR="00F20FDD" w:rsidRPr="00E9288C" w:rsidRDefault="00F20FDD" w:rsidP="00520FA2">
            <w:pPr>
              <w:suppressAutoHyphens w:val="0"/>
              <w:spacing w:before="0" w:after="0" w:line="240" w:lineRule="auto"/>
              <w:jc w:val="center"/>
              <w:rPr>
                <w:rFonts w:ascii="Calibri" w:hAnsi="Calibri" w:cs="Calibri"/>
                <w:b/>
                <w:color w:val="000000"/>
              </w:rPr>
            </w:pPr>
            <w:r w:rsidRPr="00E9288C">
              <w:rPr>
                <w:rFonts w:ascii="Calibri" w:hAnsi="Calibri" w:cs="Calibri"/>
                <w:b/>
                <w:color w:val="000000"/>
              </w:rPr>
              <w:t>Ciljevi 2030. godine</w:t>
            </w:r>
          </w:p>
        </w:tc>
      </w:tr>
      <w:tr w:rsidR="00F20FDD" w:rsidRPr="00E9288C" w14:paraId="4238F866" w14:textId="77777777" w:rsidTr="00F20FDD">
        <w:trPr>
          <w:trHeight w:val="290"/>
        </w:trPr>
        <w:tc>
          <w:tcPr>
            <w:tcW w:w="3862" w:type="dxa"/>
            <w:vMerge/>
            <w:shd w:val="clear" w:color="auto" w:fill="auto"/>
            <w:noWrap/>
            <w:vAlign w:val="center"/>
            <w:hideMark/>
          </w:tcPr>
          <w:p w14:paraId="7B6EE591" w14:textId="77777777" w:rsidR="00F20FDD" w:rsidRPr="00E9288C" w:rsidRDefault="00F20FDD" w:rsidP="00520FA2">
            <w:pPr>
              <w:suppressAutoHyphens w:val="0"/>
              <w:spacing w:before="0" w:after="0" w:line="240" w:lineRule="auto"/>
              <w:jc w:val="center"/>
              <w:rPr>
                <w:rFonts w:ascii="Calibri" w:hAnsi="Calibri" w:cs="Calibri"/>
                <w:b/>
                <w:color w:val="000000"/>
              </w:rPr>
            </w:pPr>
          </w:p>
        </w:tc>
        <w:tc>
          <w:tcPr>
            <w:tcW w:w="1134" w:type="dxa"/>
            <w:vMerge/>
            <w:shd w:val="clear" w:color="auto" w:fill="auto"/>
            <w:noWrap/>
            <w:vAlign w:val="center"/>
            <w:hideMark/>
          </w:tcPr>
          <w:p w14:paraId="6869DC37" w14:textId="77777777" w:rsidR="00F20FDD" w:rsidRPr="00E9288C" w:rsidRDefault="00F20FDD" w:rsidP="00520FA2">
            <w:pPr>
              <w:suppressAutoHyphens w:val="0"/>
              <w:spacing w:before="0" w:after="0" w:line="240" w:lineRule="auto"/>
              <w:jc w:val="center"/>
              <w:rPr>
                <w:rFonts w:ascii="Calibri" w:hAnsi="Calibri" w:cs="Calibri"/>
                <w:b/>
                <w:color w:val="000000"/>
              </w:rPr>
            </w:pPr>
          </w:p>
        </w:tc>
        <w:tc>
          <w:tcPr>
            <w:tcW w:w="1943" w:type="dxa"/>
            <w:vMerge/>
          </w:tcPr>
          <w:p w14:paraId="2B253F9C" w14:textId="77777777" w:rsidR="00F20FDD" w:rsidRPr="00E9288C" w:rsidRDefault="00F20FDD" w:rsidP="00520FA2">
            <w:pPr>
              <w:suppressAutoHyphens w:val="0"/>
              <w:spacing w:before="0" w:after="0" w:line="240" w:lineRule="auto"/>
              <w:jc w:val="center"/>
              <w:rPr>
                <w:rFonts w:ascii="Calibri" w:hAnsi="Calibri" w:cs="Calibri"/>
                <w:b/>
                <w:color w:val="000000"/>
              </w:rPr>
            </w:pPr>
          </w:p>
        </w:tc>
      </w:tr>
      <w:tr w:rsidR="00F20FDD" w:rsidRPr="00E9288C" w14:paraId="6A2EB307" w14:textId="77777777" w:rsidTr="00F20FDD">
        <w:trPr>
          <w:trHeight w:val="290"/>
        </w:trPr>
        <w:tc>
          <w:tcPr>
            <w:tcW w:w="3862" w:type="dxa"/>
            <w:shd w:val="clear" w:color="auto" w:fill="auto"/>
            <w:noWrap/>
            <w:vAlign w:val="center"/>
            <w:hideMark/>
          </w:tcPr>
          <w:p w14:paraId="1E9E34AD" w14:textId="77777777" w:rsidR="00F20FDD" w:rsidRPr="00E9288C" w:rsidRDefault="00F20FDD" w:rsidP="00F20FDD">
            <w:pPr>
              <w:suppressAutoHyphens w:val="0"/>
              <w:spacing w:before="0" w:after="0" w:line="240" w:lineRule="auto"/>
              <w:jc w:val="left"/>
              <w:rPr>
                <w:rFonts w:ascii="Calibri" w:hAnsi="Calibri" w:cs="Calibri"/>
                <w:b/>
                <w:color w:val="000000"/>
              </w:rPr>
            </w:pPr>
            <w:r w:rsidRPr="00E9288C">
              <w:rPr>
                <w:rFonts w:ascii="Calibri" w:hAnsi="Calibri" w:cs="Calibri"/>
                <w:b/>
                <w:color w:val="000000"/>
              </w:rPr>
              <w:t>U ukupnoj neposrednoj potrošnji energije</w:t>
            </w:r>
          </w:p>
        </w:tc>
        <w:tc>
          <w:tcPr>
            <w:tcW w:w="1134" w:type="dxa"/>
            <w:shd w:val="clear" w:color="auto" w:fill="auto"/>
            <w:noWrap/>
            <w:vAlign w:val="center"/>
            <w:hideMark/>
          </w:tcPr>
          <w:p w14:paraId="36579F99" w14:textId="77777777" w:rsidR="00F20FDD" w:rsidRPr="00E9288C"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28,3</w:t>
            </w:r>
          </w:p>
        </w:tc>
        <w:tc>
          <w:tcPr>
            <w:tcW w:w="1943" w:type="dxa"/>
            <w:vAlign w:val="center"/>
          </w:tcPr>
          <w:p w14:paraId="327CD078" w14:textId="498B5815" w:rsidR="00F20FDD"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36,4</w:t>
            </w:r>
          </w:p>
        </w:tc>
      </w:tr>
      <w:tr w:rsidR="00F20FDD" w:rsidRPr="00E9288C" w14:paraId="24ACC309" w14:textId="77777777" w:rsidTr="00F20FDD">
        <w:trPr>
          <w:trHeight w:val="290"/>
        </w:trPr>
        <w:tc>
          <w:tcPr>
            <w:tcW w:w="3862" w:type="dxa"/>
            <w:shd w:val="clear" w:color="auto" w:fill="auto"/>
            <w:noWrap/>
            <w:vAlign w:val="center"/>
            <w:hideMark/>
          </w:tcPr>
          <w:p w14:paraId="1C96F5C7" w14:textId="77777777" w:rsidR="00F20FDD" w:rsidRPr="00E9288C" w:rsidRDefault="00F20FDD" w:rsidP="00F20FDD">
            <w:pPr>
              <w:suppressAutoHyphens w:val="0"/>
              <w:spacing w:before="0" w:after="0" w:line="240" w:lineRule="auto"/>
              <w:jc w:val="left"/>
              <w:rPr>
                <w:rFonts w:ascii="Calibri" w:hAnsi="Calibri" w:cs="Calibri"/>
                <w:b/>
                <w:color w:val="000000"/>
              </w:rPr>
            </w:pPr>
            <w:r w:rsidRPr="00E9288C">
              <w:rPr>
                <w:rFonts w:ascii="Calibri" w:hAnsi="Calibri" w:cs="Calibri"/>
                <w:b/>
                <w:color w:val="000000"/>
              </w:rPr>
              <w:t>U ukupnoj neposrednoj potrošnji električne energije</w:t>
            </w:r>
          </w:p>
        </w:tc>
        <w:tc>
          <w:tcPr>
            <w:tcW w:w="1134" w:type="dxa"/>
            <w:shd w:val="clear" w:color="auto" w:fill="auto"/>
            <w:noWrap/>
            <w:vAlign w:val="center"/>
            <w:hideMark/>
          </w:tcPr>
          <w:p w14:paraId="665F8BC9" w14:textId="77777777" w:rsidR="00F20FDD" w:rsidRPr="00E9288C"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46,7</w:t>
            </w:r>
          </w:p>
        </w:tc>
        <w:tc>
          <w:tcPr>
            <w:tcW w:w="1943" w:type="dxa"/>
            <w:vAlign w:val="center"/>
          </w:tcPr>
          <w:p w14:paraId="48099B90" w14:textId="01BEF0D7" w:rsidR="00F20FDD"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63,8</w:t>
            </w:r>
          </w:p>
        </w:tc>
      </w:tr>
      <w:tr w:rsidR="00F20FDD" w:rsidRPr="00E9288C" w14:paraId="0642BA25" w14:textId="77777777" w:rsidTr="00F20FDD">
        <w:trPr>
          <w:trHeight w:val="290"/>
        </w:trPr>
        <w:tc>
          <w:tcPr>
            <w:tcW w:w="3862" w:type="dxa"/>
            <w:shd w:val="clear" w:color="auto" w:fill="auto"/>
            <w:noWrap/>
            <w:vAlign w:val="center"/>
            <w:hideMark/>
          </w:tcPr>
          <w:p w14:paraId="12C2F655" w14:textId="77777777" w:rsidR="00F20FDD" w:rsidRPr="00E9288C" w:rsidRDefault="00F20FDD" w:rsidP="00F20FDD">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ukupnoj neposrednoj potrošnji </w:t>
            </w:r>
            <w:r>
              <w:rPr>
                <w:rFonts w:ascii="Calibri" w:hAnsi="Calibri" w:cs="Calibri"/>
                <w:b/>
                <w:color w:val="000000"/>
              </w:rPr>
              <w:t xml:space="preserve">energije </w:t>
            </w:r>
            <w:r w:rsidRPr="00E9288C">
              <w:rPr>
                <w:rFonts w:ascii="Calibri" w:hAnsi="Calibri" w:cs="Calibri"/>
                <w:b/>
                <w:color w:val="000000"/>
              </w:rPr>
              <w:t>za grijanje i hlađenje</w:t>
            </w:r>
          </w:p>
        </w:tc>
        <w:tc>
          <w:tcPr>
            <w:tcW w:w="1134" w:type="dxa"/>
            <w:shd w:val="clear" w:color="auto" w:fill="auto"/>
            <w:noWrap/>
            <w:vAlign w:val="center"/>
            <w:hideMark/>
          </w:tcPr>
          <w:p w14:paraId="5C70C7FC" w14:textId="77777777" w:rsidR="00F20FDD" w:rsidRPr="00E9288C"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37,6</w:t>
            </w:r>
          </w:p>
        </w:tc>
        <w:tc>
          <w:tcPr>
            <w:tcW w:w="1943" w:type="dxa"/>
            <w:vAlign w:val="center"/>
          </w:tcPr>
          <w:p w14:paraId="7D3E16BE" w14:textId="152A23C0" w:rsidR="00F20FDD"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35,3</w:t>
            </w:r>
          </w:p>
        </w:tc>
      </w:tr>
      <w:tr w:rsidR="00F20FDD" w:rsidRPr="00E9288C" w14:paraId="599B6A06" w14:textId="77777777" w:rsidTr="00F20FDD">
        <w:trPr>
          <w:trHeight w:val="290"/>
        </w:trPr>
        <w:tc>
          <w:tcPr>
            <w:tcW w:w="3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C1507" w14:textId="77777777" w:rsidR="00F20FDD" w:rsidRPr="00E9288C" w:rsidRDefault="00F20FDD" w:rsidP="00F20FDD">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ukupnoj neposrednoj potrošnji </w:t>
            </w:r>
            <w:r>
              <w:rPr>
                <w:rFonts w:ascii="Calibri" w:hAnsi="Calibri" w:cs="Calibri"/>
                <w:b/>
                <w:color w:val="000000"/>
              </w:rPr>
              <w:t xml:space="preserve">energije </w:t>
            </w:r>
            <w:r w:rsidRPr="00E9288C">
              <w:rPr>
                <w:rFonts w:ascii="Calibri" w:hAnsi="Calibri" w:cs="Calibri"/>
                <w:b/>
                <w:color w:val="000000"/>
              </w:rPr>
              <w:t>u prometu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F84FC" w14:textId="77777777" w:rsidR="00F20FDD" w:rsidRPr="00E9288C"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1,3</w:t>
            </w:r>
          </w:p>
        </w:tc>
        <w:tc>
          <w:tcPr>
            <w:tcW w:w="1943" w:type="dxa"/>
            <w:tcBorders>
              <w:top w:val="single" w:sz="4" w:space="0" w:color="auto"/>
              <w:left w:val="single" w:sz="4" w:space="0" w:color="auto"/>
              <w:bottom w:val="single" w:sz="4" w:space="0" w:color="auto"/>
              <w:right w:val="single" w:sz="4" w:space="0" w:color="auto"/>
            </w:tcBorders>
            <w:vAlign w:val="center"/>
          </w:tcPr>
          <w:p w14:paraId="0BD4BB38" w14:textId="0CAA46B6" w:rsidR="00F20FDD" w:rsidRDefault="00F20FDD" w:rsidP="00F20FDD">
            <w:pPr>
              <w:suppressAutoHyphens w:val="0"/>
              <w:spacing w:before="0" w:after="0" w:line="240" w:lineRule="auto"/>
              <w:jc w:val="right"/>
              <w:rPr>
                <w:rFonts w:ascii="Calibri" w:hAnsi="Calibri" w:cs="Calibri"/>
                <w:color w:val="000000"/>
              </w:rPr>
            </w:pPr>
            <w:r>
              <w:rPr>
                <w:rFonts w:ascii="Calibri" w:hAnsi="Calibri" w:cs="Calibri"/>
                <w:color w:val="000000"/>
              </w:rPr>
              <w:t>13,2</w:t>
            </w:r>
          </w:p>
        </w:tc>
      </w:tr>
    </w:tbl>
    <w:p w14:paraId="4916CC91" w14:textId="3A3F57E6" w:rsidR="007637E2" w:rsidRDefault="007637E2"/>
    <w:p w14:paraId="6848DBDF" w14:textId="4E275F2E" w:rsidR="007637E2" w:rsidRPr="00A74025" w:rsidRDefault="007637E2" w:rsidP="007637E2">
      <w:r w:rsidRPr="00A74025">
        <w:t>Na sljedećoj slici prikazane su putanje (udjeli) za sva četiri cilja (ukupni OIE, OIE u električnom energiji, OIE u grijanju i hlađenju i OIE u prometu).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637E2" w:rsidRPr="00A74025" w14:paraId="77721050" w14:textId="77777777" w:rsidTr="00520FA2">
        <w:tc>
          <w:tcPr>
            <w:tcW w:w="4530" w:type="dxa"/>
            <w:shd w:val="clear" w:color="auto" w:fill="auto"/>
          </w:tcPr>
          <w:p w14:paraId="4E27E8E8" w14:textId="577B3B7B" w:rsidR="007637E2" w:rsidRPr="00976062" w:rsidRDefault="00183BB9" w:rsidP="00520FA2">
            <w:pPr>
              <w:jc w:val="center"/>
            </w:pPr>
            <w:r w:rsidRPr="00976062">
              <w:rPr>
                <w:noProof/>
              </w:rPr>
              <w:drawing>
                <wp:inline distT="0" distB="0" distL="0" distR="0" wp14:anchorId="74531A51" wp14:editId="01D29895">
                  <wp:extent cx="2700000" cy="1717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717200"/>
                          </a:xfrm>
                          <a:prstGeom prst="rect">
                            <a:avLst/>
                          </a:prstGeom>
                          <a:noFill/>
                          <a:ln>
                            <a:noFill/>
                          </a:ln>
                        </pic:spPr>
                      </pic:pic>
                    </a:graphicData>
                  </a:graphic>
                </wp:inline>
              </w:drawing>
            </w:r>
          </w:p>
        </w:tc>
        <w:tc>
          <w:tcPr>
            <w:tcW w:w="4531" w:type="dxa"/>
            <w:shd w:val="clear" w:color="auto" w:fill="auto"/>
          </w:tcPr>
          <w:p w14:paraId="6C1EDF86" w14:textId="2016E0E2" w:rsidR="007637E2" w:rsidRPr="00976062" w:rsidRDefault="00E62AD3" w:rsidP="00520FA2">
            <w:pPr>
              <w:jc w:val="center"/>
            </w:pPr>
            <w:r w:rsidRPr="00976062">
              <w:rPr>
                <w:noProof/>
              </w:rPr>
              <w:drawing>
                <wp:inline distT="0" distB="0" distL="0" distR="0" wp14:anchorId="0420510F" wp14:editId="2C02E4D6">
                  <wp:extent cx="2700000" cy="17244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724400"/>
                          </a:xfrm>
                          <a:prstGeom prst="rect">
                            <a:avLst/>
                          </a:prstGeom>
                          <a:noFill/>
                          <a:ln>
                            <a:noFill/>
                          </a:ln>
                        </pic:spPr>
                      </pic:pic>
                    </a:graphicData>
                  </a:graphic>
                </wp:inline>
              </w:drawing>
            </w:r>
          </w:p>
        </w:tc>
      </w:tr>
      <w:tr w:rsidR="007637E2" w:rsidRPr="00A74025" w14:paraId="24CA5244" w14:textId="77777777" w:rsidTr="00520FA2">
        <w:tc>
          <w:tcPr>
            <w:tcW w:w="4530" w:type="dxa"/>
            <w:shd w:val="clear" w:color="auto" w:fill="auto"/>
          </w:tcPr>
          <w:p w14:paraId="6DE8B7FC" w14:textId="51A4A0B5" w:rsidR="007637E2" w:rsidRPr="00976062" w:rsidRDefault="00E97305" w:rsidP="00520FA2">
            <w:pPr>
              <w:jc w:val="center"/>
            </w:pPr>
            <w:r w:rsidRPr="00976062">
              <w:rPr>
                <w:noProof/>
              </w:rPr>
              <w:drawing>
                <wp:inline distT="0" distB="0" distL="0" distR="0" wp14:anchorId="598952CC" wp14:editId="68FFB3CD">
                  <wp:extent cx="2700000" cy="17244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1724400"/>
                          </a:xfrm>
                          <a:prstGeom prst="rect">
                            <a:avLst/>
                          </a:prstGeom>
                          <a:noFill/>
                          <a:ln>
                            <a:noFill/>
                          </a:ln>
                        </pic:spPr>
                      </pic:pic>
                    </a:graphicData>
                  </a:graphic>
                </wp:inline>
              </w:drawing>
            </w:r>
          </w:p>
        </w:tc>
        <w:tc>
          <w:tcPr>
            <w:tcW w:w="4531" w:type="dxa"/>
            <w:shd w:val="clear" w:color="auto" w:fill="auto"/>
          </w:tcPr>
          <w:p w14:paraId="13E7202E" w14:textId="0D8C28B7" w:rsidR="007637E2" w:rsidRPr="00976062" w:rsidRDefault="00E475EB" w:rsidP="00520FA2">
            <w:pPr>
              <w:keepNext/>
              <w:jc w:val="center"/>
            </w:pPr>
            <w:r w:rsidRPr="00976062">
              <w:rPr>
                <w:noProof/>
              </w:rPr>
              <w:drawing>
                <wp:inline distT="0" distB="0" distL="0" distR="0" wp14:anchorId="0D336DA1" wp14:editId="6EEB1F72">
                  <wp:extent cx="2700000" cy="17244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724400"/>
                          </a:xfrm>
                          <a:prstGeom prst="rect">
                            <a:avLst/>
                          </a:prstGeom>
                          <a:noFill/>
                          <a:ln>
                            <a:noFill/>
                          </a:ln>
                        </pic:spPr>
                      </pic:pic>
                    </a:graphicData>
                  </a:graphic>
                </wp:inline>
              </w:drawing>
            </w:r>
          </w:p>
        </w:tc>
      </w:tr>
    </w:tbl>
    <w:p w14:paraId="00C2AE1C" w14:textId="3A9EF96E" w:rsidR="007637E2" w:rsidRDefault="007637E2" w:rsidP="007637E2">
      <w:pPr>
        <w:pStyle w:val="Caption"/>
      </w:pPr>
      <w:bookmarkStart w:id="199" w:name="_Toc531935281"/>
      <w:r w:rsidRPr="00976062">
        <w:t xml:space="preserve">Slika </w:t>
      </w:r>
      <w:fldSimple w:instr=" STYLEREF 1 \s ">
        <w:r w:rsidR="00856D97" w:rsidRPr="00976062">
          <w:rPr>
            <w:noProof/>
          </w:rPr>
          <w:t>2</w:t>
        </w:r>
      </w:fldSimple>
      <w:r w:rsidR="00856D97" w:rsidRPr="00976062">
        <w:noBreakHyphen/>
      </w:r>
      <w:fldSimple w:instr=" SEQ Slika \* ARABIC \s 1 ">
        <w:r w:rsidR="00856D97" w:rsidRPr="00976062">
          <w:rPr>
            <w:noProof/>
          </w:rPr>
          <w:t>1</w:t>
        </w:r>
      </w:fldSimple>
      <w:r w:rsidRPr="00976062">
        <w:t>. Indikativne putanje ciljeva udjela OIE</w:t>
      </w:r>
      <w:bookmarkEnd w:id="199"/>
    </w:p>
    <w:p w14:paraId="4EF34C28" w14:textId="22A6E145" w:rsidR="007637E2" w:rsidRDefault="007637E2" w:rsidP="007637E2">
      <w:r>
        <w:t>Ocijenjeni doprinosi tehnologija za dobivanje energije iz OIE prikazani su na slici </w:t>
      </w:r>
      <w:r>
        <w:fldChar w:fldCharType="begin"/>
      </w:r>
      <w:r>
        <w:instrText xml:space="preserve"> REF sl_S2_Udio_OIE_sve_kategorije \h </w:instrText>
      </w:r>
      <w:r>
        <w:fldChar w:fldCharType="separate"/>
      </w:r>
      <w:r w:rsidR="00E5423A">
        <w:rPr>
          <w:noProof/>
        </w:rPr>
        <w:t>2</w:t>
      </w:r>
      <w:r w:rsidR="00E5423A">
        <w:noBreakHyphen/>
      </w:r>
      <w:r w:rsidR="00E5423A">
        <w:rPr>
          <w:noProof/>
        </w:rPr>
        <w:t>3</w:t>
      </w:r>
      <w:r w:rsidR="00E5423A">
        <w:t>.</w:t>
      </w:r>
      <w:r>
        <w:fldChar w:fldCharType="end"/>
      </w:r>
      <w:r>
        <w:t xml:space="preserve">., te u tablicama </w:t>
      </w:r>
      <w:r>
        <w:fldChar w:fldCharType="begin"/>
      </w:r>
      <w:r>
        <w:instrText xml:space="preserve"> REF tbl_S2_Udio_OIE_ukupni \h </w:instrText>
      </w:r>
      <w:r>
        <w:fldChar w:fldCharType="separate"/>
      </w:r>
      <w:r w:rsidR="00E5423A">
        <w:rPr>
          <w:noProof/>
        </w:rPr>
        <w:t>2</w:t>
      </w:r>
      <w:r w:rsidR="00E5423A">
        <w:noBreakHyphen/>
      </w:r>
      <w:r w:rsidR="00E5423A">
        <w:rPr>
          <w:noProof/>
        </w:rPr>
        <w:t>6</w:t>
      </w:r>
      <w:r w:rsidR="00E5423A">
        <w:t>.</w:t>
      </w:r>
      <w:r>
        <w:fldChar w:fldCharType="end"/>
      </w:r>
      <w:r>
        <w:t xml:space="preserve">. do </w:t>
      </w:r>
      <w:r>
        <w:fldChar w:fldCharType="begin"/>
      </w:r>
      <w:r>
        <w:instrText xml:space="preserve"> REF tbl_S2_Udio_OIE_promet \h </w:instrText>
      </w:r>
      <w:r>
        <w:fldChar w:fldCharType="separate"/>
      </w:r>
      <w:r w:rsidR="00E5423A">
        <w:rPr>
          <w:noProof/>
        </w:rPr>
        <w:t>2</w:t>
      </w:r>
      <w:r w:rsidR="00E5423A">
        <w:noBreakHyphen/>
      </w:r>
      <w:r w:rsidR="00E5423A">
        <w:rPr>
          <w:noProof/>
        </w:rPr>
        <w:t>9</w:t>
      </w:r>
      <w:r w:rsidR="00E5423A">
        <w:t>.</w:t>
      </w:r>
      <w:r>
        <w:fldChar w:fldCharType="end"/>
      </w:r>
      <w:r>
        <w:t>.</w:t>
      </w:r>
    </w:p>
    <w:p w14:paraId="66BD6B60" w14:textId="771CDB78" w:rsidR="007637E2" w:rsidRDefault="007637E2" w:rsidP="007637E2">
      <w:pPr>
        <w:pStyle w:val="Caption"/>
        <w:keepNext/>
        <w:spacing w:after="0"/>
        <w:jc w:val="both"/>
      </w:pPr>
      <w:bookmarkStart w:id="200" w:name="_Toc531935338"/>
      <w:r>
        <w:t xml:space="preserve">Tablica </w:t>
      </w:r>
      <w:bookmarkStart w:id="201" w:name="tbl_S2_Udio_OIE_ukupni"/>
      <w:r w:rsidR="00C95155">
        <w:fldChar w:fldCharType="begin"/>
      </w:r>
      <w:r w:rsidR="00C95155">
        <w:instrText xml:space="preserve"> STYLEREF 1 \s </w:instrText>
      </w:r>
      <w:r w:rsidR="00C95155">
        <w:fldChar w:fldCharType="separate"/>
      </w:r>
      <w:r w:rsidR="00E5423A">
        <w:rPr>
          <w:noProof/>
        </w:rPr>
        <w:t>2</w:t>
      </w:r>
      <w:r w:rsidR="00C95155">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6</w:t>
      </w:r>
      <w:r w:rsidR="00B22048">
        <w:rPr>
          <w:noProof/>
        </w:rPr>
        <w:fldChar w:fldCharType="end"/>
      </w:r>
      <w:r>
        <w:t>.</w:t>
      </w:r>
      <w:bookmarkEnd w:id="201"/>
      <w:r>
        <w:t xml:space="preserve"> Ocijenjeni doprinos tehnologija za OIE </w:t>
      </w:r>
      <w:bookmarkEnd w:id="200"/>
    </w:p>
    <w:p w14:paraId="0BCD41B5" w14:textId="77777777" w:rsidR="007637E2" w:rsidRDefault="007637E2" w:rsidP="007637E2">
      <w:pPr>
        <w:spacing w:before="0"/>
      </w:pPr>
      <w:r w:rsidRPr="005B4996">
        <w:rPr>
          <w:noProof/>
        </w:rPr>
        <w:drawing>
          <wp:inline distT="0" distB="0" distL="0" distR="0" wp14:anchorId="2F3C6223" wp14:editId="3A8DAB36">
            <wp:extent cx="5760085" cy="980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980440"/>
                    </a:xfrm>
                    <a:prstGeom prst="rect">
                      <a:avLst/>
                    </a:prstGeom>
                    <a:noFill/>
                    <a:ln>
                      <a:noFill/>
                    </a:ln>
                  </pic:spPr>
                </pic:pic>
              </a:graphicData>
            </a:graphic>
          </wp:inline>
        </w:drawing>
      </w:r>
    </w:p>
    <w:p w14:paraId="5C5E6B95" w14:textId="0E7E0F41" w:rsidR="007637E2" w:rsidRDefault="007637E2" w:rsidP="007637E2">
      <w:pPr>
        <w:pStyle w:val="Caption"/>
        <w:keepNext/>
        <w:spacing w:after="0"/>
        <w:jc w:val="both"/>
      </w:pPr>
      <w:bookmarkStart w:id="202" w:name="_Toc531935339"/>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7</w:t>
      </w:r>
      <w:r w:rsidR="00B22048">
        <w:rPr>
          <w:noProof/>
        </w:rPr>
        <w:fldChar w:fldCharType="end"/>
      </w:r>
      <w:r>
        <w:t xml:space="preserve">. Ocijenjeni doprinos tehnologija za OIE u električnoj energiji </w:t>
      </w:r>
      <w:bookmarkEnd w:id="202"/>
    </w:p>
    <w:p w14:paraId="2D522120" w14:textId="77777777" w:rsidR="007637E2" w:rsidRDefault="007637E2" w:rsidP="007637E2">
      <w:pPr>
        <w:spacing w:before="0"/>
      </w:pPr>
      <w:r w:rsidRPr="005B4996">
        <w:rPr>
          <w:noProof/>
        </w:rPr>
        <w:drawing>
          <wp:inline distT="0" distB="0" distL="0" distR="0" wp14:anchorId="67EE0FEE" wp14:editId="32E60B15">
            <wp:extent cx="5760085" cy="764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64540"/>
                    </a:xfrm>
                    <a:prstGeom prst="rect">
                      <a:avLst/>
                    </a:prstGeom>
                    <a:noFill/>
                    <a:ln>
                      <a:noFill/>
                    </a:ln>
                  </pic:spPr>
                </pic:pic>
              </a:graphicData>
            </a:graphic>
          </wp:inline>
        </w:drawing>
      </w:r>
    </w:p>
    <w:p w14:paraId="42CD94FA" w14:textId="028A1DE9" w:rsidR="007637E2" w:rsidRDefault="007637E2" w:rsidP="007637E2">
      <w:pPr>
        <w:pStyle w:val="Caption"/>
        <w:keepNext/>
        <w:spacing w:after="0"/>
        <w:jc w:val="both"/>
      </w:pPr>
      <w:bookmarkStart w:id="203" w:name="_Toc531935340"/>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8</w:t>
      </w:r>
      <w:r w:rsidR="00B22048">
        <w:rPr>
          <w:noProof/>
        </w:rPr>
        <w:fldChar w:fldCharType="end"/>
      </w:r>
      <w:r>
        <w:t xml:space="preserve">. Ocijenjeni doprinos tehnologija za OIE u grijanju i hlađenju </w:t>
      </w:r>
      <w:bookmarkEnd w:id="203"/>
    </w:p>
    <w:p w14:paraId="63D9182E" w14:textId="77777777" w:rsidR="007637E2" w:rsidRDefault="007637E2" w:rsidP="007637E2">
      <w:pPr>
        <w:spacing w:before="0"/>
      </w:pPr>
      <w:r w:rsidRPr="005B4996">
        <w:rPr>
          <w:noProof/>
        </w:rPr>
        <w:drawing>
          <wp:inline distT="0" distB="0" distL="0" distR="0" wp14:anchorId="3E43F481" wp14:editId="5007C477">
            <wp:extent cx="5760085" cy="655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655955"/>
                    </a:xfrm>
                    <a:prstGeom prst="rect">
                      <a:avLst/>
                    </a:prstGeom>
                    <a:noFill/>
                    <a:ln>
                      <a:noFill/>
                    </a:ln>
                  </pic:spPr>
                </pic:pic>
              </a:graphicData>
            </a:graphic>
          </wp:inline>
        </w:drawing>
      </w:r>
    </w:p>
    <w:p w14:paraId="1A8182FE" w14:textId="4C8842E4" w:rsidR="007637E2" w:rsidRDefault="007637E2" w:rsidP="007637E2">
      <w:pPr>
        <w:pStyle w:val="Caption"/>
        <w:keepNext/>
        <w:spacing w:after="0"/>
        <w:jc w:val="both"/>
      </w:pPr>
      <w:bookmarkStart w:id="204" w:name="_Toc531935341"/>
      <w:r>
        <w:t xml:space="preserve">Tablica </w:t>
      </w:r>
      <w:bookmarkStart w:id="205" w:name="tbl_S2_Udio_OIE_promet"/>
      <w:r w:rsidR="00C95155">
        <w:fldChar w:fldCharType="begin"/>
      </w:r>
      <w:r w:rsidR="00C95155">
        <w:instrText xml:space="preserve"> STYLEREF 1 \s </w:instrText>
      </w:r>
      <w:r w:rsidR="00C95155">
        <w:fldChar w:fldCharType="separate"/>
      </w:r>
      <w:r w:rsidR="00E5423A">
        <w:rPr>
          <w:noProof/>
        </w:rPr>
        <w:t>2</w:t>
      </w:r>
      <w:r w:rsidR="00C95155">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9</w:t>
      </w:r>
      <w:r w:rsidR="00B22048">
        <w:rPr>
          <w:noProof/>
        </w:rPr>
        <w:fldChar w:fldCharType="end"/>
      </w:r>
      <w:r>
        <w:t>.</w:t>
      </w:r>
      <w:bookmarkEnd w:id="205"/>
      <w:r>
        <w:t xml:space="preserve"> Ocijenjeni doprinos tehnologija za OIE u prometu </w:t>
      </w:r>
      <w:bookmarkEnd w:id="204"/>
    </w:p>
    <w:p w14:paraId="758AFB6C" w14:textId="77777777" w:rsidR="007637E2" w:rsidRDefault="007637E2" w:rsidP="007637E2">
      <w:pPr>
        <w:spacing w:before="0"/>
      </w:pPr>
      <w:r w:rsidRPr="005B4996">
        <w:rPr>
          <w:noProof/>
        </w:rPr>
        <w:drawing>
          <wp:inline distT="0" distB="0" distL="0" distR="0" wp14:anchorId="5508EDA2" wp14:editId="529148FA">
            <wp:extent cx="5760085" cy="4362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36245"/>
                    </a:xfrm>
                    <a:prstGeom prst="rect">
                      <a:avLst/>
                    </a:prstGeom>
                    <a:noFill/>
                    <a:ln>
                      <a:noFill/>
                    </a:ln>
                  </pic:spPr>
                </pic:pic>
              </a:graphicData>
            </a:graphic>
          </wp:inline>
        </w:drawing>
      </w:r>
    </w:p>
    <w:p w14:paraId="6FDC646E" w14:textId="77777777" w:rsidR="007637E2" w:rsidRDefault="007637E2" w:rsidP="007637E2">
      <w:pPr>
        <w:spacing w:befor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637E2" w:rsidRPr="00FD2CC3" w14:paraId="3BB4EDD9" w14:textId="77777777" w:rsidTr="00520FA2">
        <w:trPr>
          <w:cantSplit/>
          <w:jc w:val="center"/>
        </w:trPr>
        <w:tc>
          <w:tcPr>
            <w:tcW w:w="4530" w:type="dxa"/>
            <w:shd w:val="clear" w:color="auto" w:fill="auto"/>
          </w:tcPr>
          <w:p w14:paraId="7505B616" w14:textId="768B9326" w:rsidR="007637E2" w:rsidRPr="00E23A5B" w:rsidRDefault="00786AD8" w:rsidP="00520FA2">
            <w:pPr>
              <w:keepNext/>
              <w:jc w:val="center"/>
            </w:pPr>
            <w:r w:rsidRPr="00E23A5B">
              <w:rPr>
                <w:noProof/>
              </w:rPr>
              <w:drawing>
                <wp:inline distT="0" distB="0" distL="0" distR="0" wp14:anchorId="1BFD2AC3" wp14:editId="78954FEE">
                  <wp:extent cx="2700000" cy="13428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342800"/>
                          </a:xfrm>
                          <a:prstGeom prst="rect">
                            <a:avLst/>
                          </a:prstGeom>
                          <a:noFill/>
                          <a:ln>
                            <a:noFill/>
                          </a:ln>
                        </pic:spPr>
                      </pic:pic>
                    </a:graphicData>
                  </a:graphic>
                </wp:inline>
              </w:drawing>
            </w:r>
          </w:p>
        </w:tc>
        <w:tc>
          <w:tcPr>
            <w:tcW w:w="4531" w:type="dxa"/>
            <w:shd w:val="clear" w:color="auto" w:fill="auto"/>
          </w:tcPr>
          <w:p w14:paraId="77275A02" w14:textId="17E7386E" w:rsidR="007637E2" w:rsidRPr="00E23A5B" w:rsidRDefault="00516C13" w:rsidP="00520FA2">
            <w:pPr>
              <w:keepNext/>
              <w:jc w:val="center"/>
            </w:pPr>
            <w:r w:rsidRPr="00E23A5B">
              <w:rPr>
                <w:noProof/>
              </w:rPr>
              <w:drawing>
                <wp:inline distT="0" distB="0" distL="0" distR="0" wp14:anchorId="2EC5CF66" wp14:editId="6A0CD01C">
                  <wp:extent cx="2700000" cy="1339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339200"/>
                          </a:xfrm>
                          <a:prstGeom prst="rect">
                            <a:avLst/>
                          </a:prstGeom>
                          <a:noFill/>
                          <a:ln>
                            <a:noFill/>
                          </a:ln>
                        </pic:spPr>
                      </pic:pic>
                    </a:graphicData>
                  </a:graphic>
                </wp:inline>
              </w:drawing>
            </w:r>
          </w:p>
        </w:tc>
      </w:tr>
      <w:tr w:rsidR="007637E2" w:rsidRPr="00FD2CC3" w14:paraId="2C5921E9" w14:textId="77777777" w:rsidTr="00520FA2">
        <w:trPr>
          <w:cantSplit/>
          <w:jc w:val="center"/>
        </w:trPr>
        <w:tc>
          <w:tcPr>
            <w:tcW w:w="4530" w:type="dxa"/>
            <w:shd w:val="clear" w:color="auto" w:fill="auto"/>
          </w:tcPr>
          <w:p w14:paraId="27155FB2" w14:textId="3B2B6D5F" w:rsidR="007637E2" w:rsidRPr="00E23A5B" w:rsidRDefault="005A33F4" w:rsidP="00520FA2">
            <w:pPr>
              <w:keepNext/>
              <w:jc w:val="center"/>
            </w:pPr>
            <w:r w:rsidRPr="00E23A5B">
              <w:rPr>
                <w:noProof/>
              </w:rPr>
              <w:drawing>
                <wp:inline distT="0" distB="0" distL="0" distR="0" wp14:anchorId="02C65C8C" wp14:editId="6A924541">
                  <wp:extent cx="2700000" cy="13428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342800"/>
                          </a:xfrm>
                          <a:prstGeom prst="rect">
                            <a:avLst/>
                          </a:prstGeom>
                          <a:noFill/>
                          <a:ln>
                            <a:noFill/>
                          </a:ln>
                        </pic:spPr>
                      </pic:pic>
                    </a:graphicData>
                  </a:graphic>
                </wp:inline>
              </w:drawing>
            </w:r>
          </w:p>
        </w:tc>
        <w:tc>
          <w:tcPr>
            <w:tcW w:w="4531" w:type="dxa"/>
            <w:shd w:val="clear" w:color="auto" w:fill="auto"/>
          </w:tcPr>
          <w:p w14:paraId="7A04FC8A" w14:textId="65C90F04" w:rsidR="007637E2" w:rsidRPr="00E23A5B" w:rsidRDefault="00C34E50" w:rsidP="00520FA2">
            <w:pPr>
              <w:keepNext/>
              <w:jc w:val="center"/>
            </w:pPr>
            <w:r w:rsidRPr="00E23A5B">
              <w:rPr>
                <w:noProof/>
              </w:rPr>
              <w:drawing>
                <wp:inline distT="0" distB="0" distL="0" distR="0" wp14:anchorId="66FDBDD9" wp14:editId="36C77714">
                  <wp:extent cx="2700000" cy="13356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1335600"/>
                          </a:xfrm>
                          <a:prstGeom prst="rect">
                            <a:avLst/>
                          </a:prstGeom>
                          <a:noFill/>
                          <a:ln>
                            <a:noFill/>
                          </a:ln>
                        </pic:spPr>
                      </pic:pic>
                    </a:graphicData>
                  </a:graphic>
                </wp:inline>
              </w:drawing>
            </w:r>
          </w:p>
        </w:tc>
      </w:tr>
    </w:tbl>
    <w:p w14:paraId="7276B125" w14:textId="1B662F1E" w:rsidR="007637E2" w:rsidRDefault="007637E2" w:rsidP="007637E2">
      <w:pPr>
        <w:pStyle w:val="Caption"/>
      </w:pPr>
      <w:bookmarkStart w:id="206" w:name="_Toc531935283"/>
      <w:r w:rsidRPr="00FD2CC3">
        <w:t xml:space="preserve">Slika </w:t>
      </w:r>
      <w:bookmarkStart w:id="207" w:name="sl_S2_Udio_OIE_sve_kategorije"/>
      <w:r w:rsidR="00856D97" w:rsidRPr="00FD2CC3">
        <w:fldChar w:fldCharType="begin"/>
      </w:r>
      <w:r w:rsidR="00856D97" w:rsidRPr="00FD2CC3">
        <w:instrText xml:space="preserve"> STYLEREF 1 \s </w:instrText>
      </w:r>
      <w:r w:rsidR="00856D97" w:rsidRPr="00FD2CC3">
        <w:fldChar w:fldCharType="separate"/>
      </w:r>
      <w:r w:rsidR="00856D97" w:rsidRPr="00FD2CC3">
        <w:rPr>
          <w:noProof/>
        </w:rPr>
        <w:t>2</w:t>
      </w:r>
      <w:r w:rsidR="00856D97" w:rsidRPr="00FD2CC3">
        <w:fldChar w:fldCharType="end"/>
      </w:r>
      <w:r w:rsidR="00856D97" w:rsidRPr="00FD2CC3">
        <w:noBreakHyphen/>
      </w:r>
      <w:fldSimple w:instr=" SEQ Slika \* ARABIC \s 1 ">
        <w:r w:rsidR="00856D97" w:rsidRPr="00FD2CC3">
          <w:rPr>
            <w:noProof/>
          </w:rPr>
          <w:t>2</w:t>
        </w:r>
      </w:fldSimple>
      <w:r w:rsidRPr="00FD2CC3">
        <w:t>.</w:t>
      </w:r>
      <w:bookmarkEnd w:id="207"/>
      <w:r w:rsidRPr="00FD2CC3">
        <w:t xml:space="preserve"> Ocijenjeni doprinosi OIE tehnologija po sektorima</w:t>
      </w:r>
      <w:r>
        <w:t xml:space="preserve"> </w:t>
      </w:r>
      <w:bookmarkEnd w:id="206"/>
    </w:p>
    <w:p w14:paraId="7E1F9D84" w14:textId="43B98090" w:rsidR="00E130C5" w:rsidRDefault="00E130C5" w:rsidP="00E130C5">
      <w:r>
        <w:t>Očekivan</w:t>
      </w:r>
      <w:r w:rsidR="00F20FDD">
        <w:t>u</w:t>
      </w:r>
      <w:r>
        <w:t xml:space="preserve"> struktur</w:t>
      </w:r>
      <w:r w:rsidR="00F20FDD">
        <w:t>u</w:t>
      </w:r>
      <w:r>
        <w:t xml:space="preserve"> snage elektrana za proizvodnju električne energije </w:t>
      </w:r>
      <w:r w:rsidR="00F20FDD">
        <w:t xml:space="preserve">prikazuje </w:t>
      </w:r>
      <w:r w:rsidR="00856D97">
        <w:fldChar w:fldCharType="begin"/>
      </w:r>
      <w:r w:rsidR="00856D97">
        <w:instrText xml:space="preserve"> REF _Ref532199857 \h </w:instrText>
      </w:r>
      <w:r w:rsidR="00856D97">
        <w:fldChar w:fldCharType="separate"/>
      </w:r>
      <w:r w:rsidR="00856D97">
        <w:t xml:space="preserve">Tablica </w:t>
      </w:r>
      <w:r w:rsidR="00856D97">
        <w:rPr>
          <w:noProof/>
        </w:rPr>
        <w:t>2</w:t>
      </w:r>
      <w:r w:rsidR="00856D97">
        <w:noBreakHyphen/>
      </w:r>
      <w:r w:rsidR="00856D97">
        <w:rPr>
          <w:noProof/>
        </w:rPr>
        <w:t>11</w:t>
      </w:r>
      <w:r w:rsidR="00856D97">
        <w:fldChar w:fldCharType="end"/>
      </w:r>
      <w:r w:rsidR="00F20FDD">
        <w:t xml:space="preserve"> i </w:t>
      </w:r>
      <w:r w:rsidR="00856D97">
        <w:fldChar w:fldCharType="begin"/>
      </w:r>
      <w:r w:rsidR="00856D97">
        <w:instrText xml:space="preserve"> REF _Ref532199915 \h </w:instrText>
      </w:r>
      <w:r w:rsidR="00856D97">
        <w:fldChar w:fldCharType="separate"/>
      </w:r>
      <w:r w:rsidR="00856D97">
        <w:t xml:space="preserve">Slika </w:t>
      </w:r>
      <w:r w:rsidR="00856D97">
        <w:rPr>
          <w:noProof/>
        </w:rPr>
        <w:t>2</w:t>
      </w:r>
      <w:r w:rsidR="00856D97">
        <w:noBreakHyphen/>
      </w:r>
      <w:r w:rsidR="00856D97">
        <w:rPr>
          <w:noProof/>
        </w:rPr>
        <w:t>3</w:t>
      </w:r>
      <w:r w:rsidR="00856D97">
        <w:fldChar w:fldCharType="end"/>
      </w:r>
      <w:r>
        <w:t>.</w:t>
      </w:r>
    </w:p>
    <w:p w14:paraId="1DEADC2C" w14:textId="7E7F1499" w:rsidR="00E130C5" w:rsidRDefault="00E130C5" w:rsidP="00E130C5">
      <w:pPr>
        <w:pStyle w:val="Caption"/>
        <w:keepNext/>
      </w:pPr>
      <w:bookmarkStart w:id="208" w:name="_Toc531935343"/>
      <w:bookmarkStart w:id="209" w:name="_Ref532199857"/>
      <w:r>
        <w:t xml:space="preserve">Tablica </w:t>
      </w:r>
      <w:bookmarkStart w:id="210" w:name="tbl_S2_Snaga_elektrana"/>
      <w:r w:rsidR="00C95155">
        <w:fldChar w:fldCharType="begin"/>
      </w:r>
      <w:r w:rsidR="00C95155">
        <w:instrText xml:space="preserve"> STYLEREF 1 \s </w:instrText>
      </w:r>
      <w:r w:rsidR="00C95155">
        <w:fldChar w:fldCharType="separate"/>
      </w:r>
      <w:r w:rsidR="00E5423A">
        <w:rPr>
          <w:noProof/>
        </w:rPr>
        <w:t>2</w:t>
      </w:r>
      <w:r w:rsidR="00C95155">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11</w:t>
      </w:r>
      <w:r w:rsidR="00B22048">
        <w:rPr>
          <w:noProof/>
        </w:rPr>
        <w:fldChar w:fldCharType="end"/>
      </w:r>
      <w:bookmarkEnd w:id="209"/>
      <w:r>
        <w:t>.</w:t>
      </w:r>
      <w:bookmarkEnd w:id="210"/>
      <w:r>
        <w:t xml:space="preserve"> Očekivana snaga elektrana </w:t>
      </w:r>
      <w:bookmarkEnd w:id="208"/>
    </w:p>
    <w:tbl>
      <w:tblPr>
        <w:tblStyle w:val="TableGrid"/>
        <w:tblW w:w="0" w:type="auto"/>
        <w:tblLook w:val="04A0" w:firstRow="1" w:lastRow="0" w:firstColumn="1" w:lastColumn="0" w:noHBand="0" w:noVBand="1"/>
      </w:tblPr>
      <w:tblGrid>
        <w:gridCol w:w="716"/>
        <w:gridCol w:w="712"/>
        <w:gridCol w:w="681"/>
        <w:gridCol w:w="609"/>
        <w:gridCol w:w="762"/>
        <w:gridCol w:w="1053"/>
        <w:gridCol w:w="906"/>
        <w:gridCol w:w="1286"/>
        <w:gridCol w:w="743"/>
        <w:gridCol w:w="738"/>
        <w:gridCol w:w="856"/>
      </w:tblGrid>
      <w:tr w:rsidR="00246CC1" w:rsidRPr="00246CC1" w14:paraId="184BEE3F" w14:textId="77777777" w:rsidTr="00F20FDD">
        <w:tc>
          <w:tcPr>
            <w:tcW w:w="716" w:type="dxa"/>
          </w:tcPr>
          <w:p w14:paraId="601D1B2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MW</w:t>
            </w:r>
          </w:p>
        </w:tc>
        <w:tc>
          <w:tcPr>
            <w:tcW w:w="712" w:type="dxa"/>
          </w:tcPr>
          <w:p w14:paraId="57A727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Hidro</w:t>
            </w:r>
          </w:p>
        </w:tc>
        <w:tc>
          <w:tcPr>
            <w:tcW w:w="681" w:type="dxa"/>
          </w:tcPr>
          <w:p w14:paraId="42AA958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Plin</w:t>
            </w:r>
          </w:p>
        </w:tc>
        <w:tc>
          <w:tcPr>
            <w:tcW w:w="609" w:type="dxa"/>
          </w:tcPr>
          <w:p w14:paraId="253843C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Lož ulje</w:t>
            </w:r>
          </w:p>
        </w:tc>
        <w:tc>
          <w:tcPr>
            <w:tcW w:w="762" w:type="dxa"/>
          </w:tcPr>
          <w:p w14:paraId="7A8CDEF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Ugljen</w:t>
            </w:r>
          </w:p>
        </w:tc>
        <w:tc>
          <w:tcPr>
            <w:tcW w:w="1053" w:type="dxa"/>
          </w:tcPr>
          <w:p w14:paraId="09519F7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Nuklearna</w:t>
            </w:r>
          </w:p>
        </w:tc>
        <w:tc>
          <w:tcPr>
            <w:tcW w:w="906" w:type="dxa"/>
          </w:tcPr>
          <w:p w14:paraId="1B60537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Biomasa</w:t>
            </w:r>
          </w:p>
        </w:tc>
        <w:tc>
          <w:tcPr>
            <w:tcW w:w="1286" w:type="dxa"/>
          </w:tcPr>
          <w:p w14:paraId="596E693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Geotermalna</w:t>
            </w:r>
          </w:p>
        </w:tc>
        <w:tc>
          <w:tcPr>
            <w:tcW w:w="743" w:type="dxa"/>
          </w:tcPr>
          <w:p w14:paraId="7BC69E1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Vjetar</w:t>
            </w:r>
          </w:p>
        </w:tc>
        <w:tc>
          <w:tcPr>
            <w:tcW w:w="738" w:type="dxa"/>
          </w:tcPr>
          <w:p w14:paraId="0DACE7E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Sunce</w:t>
            </w:r>
          </w:p>
        </w:tc>
        <w:tc>
          <w:tcPr>
            <w:tcW w:w="856" w:type="dxa"/>
          </w:tcPr>
          <w:p w14:paraId="3D48435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Ukupno</w:t>
            </w:r>
          </w:p>
        </w:tc>
      </w:tr>
      <w:tr w:rsidR="00246CC1" w:rsidRPr="00246CC1" w14:paraId="5F39271B" w14:textId="77777777" w:rsidTr="00F20FDD">
        <w:tc>
          <w:tcPr>
            <w:tcW w:w="716" w:type="dxa"/>
            <w:shd w:val="clear" w:color="auto" w:fill="auto"/>
          </w:tcPr>
          <w:p w14:paraId="33FF9C9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2020.</w:t>
            </w:r>
          </w:p>
        </w:tc>
        <w:tc>
          <w:tcPr>
            <w:tcW w:w="712" w:type="dxa"/>
            <w:shd w:val="clear" w:color="auto" w:fill="auto"/>
          </w:tcPr>
          <w:p w14:paraId="7027EF9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471ED19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609" w:type="dxa"/>
            <w:shd w:val="clear" w:color="auto" w:fill="auto"/>
          </w:tcPr>
          <w:p w14:paraId="045C4D9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6418DC9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28D26A3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2B40802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154</w:t>
            </w:r>
          </w:p>
        </w:tc>
        <w:tc>
          <w:tcPr>
            <w:tcW w:w="1286" w:type="dxa"/>
            <w:shd w:val="clear" w:color="auto" w:fill="auto"/>
          </w:tcPr>
          <w:p w14:paraId="6481A51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5CA781C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734</w:t>
            </w:r>
          </w:p>
        </w:tc>
        <w:tc>
          <w:tcPr>
            <w:tcW w:w="738" w:type="dxa"/>
            <w:shd w:val="clear" w:color="auto" w:fill="auto"/>
          </w:tcPr>
          <w:p w14:paraId="2129A28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72</w:t>
            </w:r>
          </w:p>
        </w:tc>
        <w:tc>
          <w:tcPr>
            <w:tcW w:w="856" w:type="dxa"/>
            <w:shd w:val="clear" w:color="auto" w:fill="auto"/>
          </w:tcPr>
          <w:p w14:paraId="554BFD1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4934</w:t>
            </w:r>
          </w:p>
        </w:tc>
      </w:tr>
      <w:tr w:rsidR="00246CC1" w:rsidRPr="00246CC1" w14:paraId="631F4C66" w14:textId="77777777" w:rsidTr="00F20FDD">
        <w:tc>
          <w:tcPr>
            <w:tcW w:w="716" w:type="dxa"/>
            <w:shd w:val="clear" w:color="auto" w:fill="auto"/>
          </w:tcPr>
          <w:p w14:paraId="2E9E292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2021.</w:t>
            </w:r>
          </w:p>
        </w:tc>
        <w:tc>
          <w:tcPr>
            <w:tcW w:w="712" w:type="dxa"/>
            <w:shd w:val="clear" w:color="auto" w:fill="auto"/>
          </w:tcPr>
          <w:p w14:paraId="049D77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28056F7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609" w:type="dxa"/>
            <w:shd w:val="clear" w:color="auto" w:fill="auto"/>
          </w:tcPr>
          <w:p w14:paraId="7391B1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3745C9E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0B5EBD3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4C8EBAB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171</w:t>
            </w:r>
          </w:p>
        </w:tc>
        <w:tc>
          <w:tcPr>
            <w:tcW w:w="1286" w:type="dxa"/>
            <w:shd w:val="clear" w:color="auto" w:fill="auto"/>
          </w:tcPr>
          <w:p w14:paraId="1A9D7AA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2677751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759</w:t>
            </w:r>
          </w:p>
        </w:tc>
        <w:tc>
          <w:tcPr>
            <w:tcW w:w="738" w:type="dxa"/>
            <w:shd w:val="clear" w:color="auto" w:fill="auto"/>
          </w:tcPr>
          <w:p w14:paraId="4FD4E3E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95</w:t>
            </w:r>
          </w:p>
        </w:tc>
        <w:tc>
          <w:tcPr>
            <w:tcW w:w="856" w:type="dxa"/>
            <w:shd w:val="clear" w:color="auto" w:fill="auto"/>
          </w:tcPr>
          <w:p w14:paraId="3538E7B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4999</w:t>
            </w:r>
          </w:p>
        </w:tc>
      </w:tr>
      <w:tr w:rsidR="00246CC1" w:rsidRPr="00246CC1" w14:paraId="1E577A93" w14:textId="77777777" w:rsidTr="00F20FDD">
        <w:tc>
          <w:tcPr>
            <w:tcW w:w="716" w:type="dxa"/>
            <w:shd w:val="clear" w:color="auto" w:fill="auto"/>
          </w:tcPr>
          <w:p w14:paraId="42C2BFD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2022.</w:t>
            </w:r>
          </w:p>
        </w:tc>
        <w:tc>
          <w:tcPr>
            <w:tcW w:w="712" w:type="dxa"/>
            <w:shd w:val="clear" w:color="auto" w:fill="auto"/>
          </w:tcPr>
          <w:p w14:paraId="4447872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0719E04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609" w:type="dxa"/>
            <w:shd w:val="clear" w:color="auto" w:fill="auto"/>
          </w:tcPr>
          <w:p w14:paraId="06BCF0B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196B3A7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41AE40C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54F87E9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170</w:t>
            </w:r>
          </w:p>
        </w:tc>
        <w:tc>
          <w:tcPr>
            <w:tcW w:w="1286" w:type="dxa"/>
            <w:shd w:val="clear" w:color="auto" w:fill="auto"/>
          </w:tcPr>
          <w:p w14:paraId="5C1E493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10EAB5D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784</w:t>
            </w:r>
          </w:p>
        </w:tc>
        <w:tc>
          <w:tcPr>
            <w:tcW w:w="738" w:type="dxa"/>
            <w:shd w:val="clear" w:color="auto" w:fill="auto"/>
          </w:tcPr>
          <w:p w14:paraId="174DE4A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117</w:t>
            </w:r>
          </w:p>
        </w:tc>
        <w:tc>
          <w:tcPr>
            <w:tcW w:w="856" w:type="dxa"/>
            <w:shd w:val="clear" w:color="auto" w:fill="auto"/>
          </w:tcPr>
          <w:p w14:paraId="224A7AD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5045</w:t>
            </w:r>
          </w:p>
        </w:tc>
      </w:tr>
      <w:tr w:rsidR="00246CC1" w:rsidRPr="00246CC1" w14:paraId="7F195728" w14:textId="77777777" w:rsidTr="00F20FDD">
        <w:tc>
          <w:tcPr>
            <w:tcW w:w="716" w:type="dxa"/>
            <w:shd w:val="clear" w:color="auto" w:fill="auto"/>
          </w:tcPr>
          <w:p w14:paraId="1D0625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2023.</w:t>
            </w:r>
          </w:p>
        </w:tc>
        <w:tc>
          <w:tcPr>
            <w:tcW w:w="712" w:type="dxa"/>
            <w:shd w:val="clear" w:color="auto" w:fill="auto"/>
          </w:tcPr>
          <w:p w14:paraId="0FDA9AD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5073DC9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609" w:type="dxa"/>
            <w:shd w:val="clear" w:color="auto" w:fill="auto"/>
          </w:tcPr>
          <w:p w14:paraId="07E156B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6AC821C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1AC5198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16710D1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166</w:t>
            </w:r>
          </w:p>
        </w:tc>
        <w:tc>
          <w:tcPr>
            <w:tcW w:w="1286" w:type="dxa"/>
            <w:shd w:val="clear" w:color="auto" w:fill="auto"/>
          </w:tcPr>
          <w:p w14:paraId="0A10C67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4099734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809</w:t>
            </w:r>
          </w:p>
        </w:tc>
        <w:tc>
          <w:tcPr>
            <w:tcW w:w="738" w:type="dxa"/>
            <w:shd w:val="clear" w:color="auto" w:fill="auto"/>
          </w:tcPr>
          <w:p w14:paraId="59E94F2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140</w:t>
            </w:r>
          </w:p>
        </w:tc>
        <w:tc>
          <w:tcPr>
            <w:tcW w:w="856" w:type="dxa"/>
            <w:shd w:val="clear" w:color="auto" w:fill="auto"/>
          </w:tcPr>
          <w:p w14:paraId="668E608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5389</w:t>
            </w:r>
          </w:p>
        </w:tc>
      </w:tr>
      <w:tr w:rsidR="00246CC1" w:rsidRPr="00246CC1" w14:paraId="115D3782" w14:textId="77777777" w:rsidTr="00F20FDD">
        <w:tc>
          <w:tcPr>
            <w:tcW w:w="716" w:type="dxa"/>
            <w:shd w:val="clear" w:color="auto" w:fill="auto"/>
          </w:tcPr>
          <w:p w14:paraId="0A31840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2024.</w:t>
            </w:r>
          </w:p>
        </w:tc>
        <w:tc>
          <w:tcPr>
            <w:tcW w:w="712" w:type="dxa"/>
            <w:shd w:val="clear" w:color="auto" w:fill="auto"/>
          </w:tcPr>
          <w:p w14:paraId="28A1F88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681" w:type="dxa"/>
            <w:shd w:val="clear" w:color="auto" w:fill="auto"/>
          </w:tcPr>
          <w:p w14:paraId="68C8F90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609" w:type="dxa"/>
            <w:shd w:val="clear" w:color="auto" w:fill="auto"/>
          </w:tcPr>
          <w:p w14:paraId="0107AB5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1E45CC6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76BE648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01246D3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161</w:t>
            </w:r>
          </w:p>
        </w:tc>
        <w:tc>
          <w:tcPr>
            <w:tcW w:w="1286" w:type="dxa"/>
            <w:shd w:val="clear" w:color="auto" w:fill="auto"/>
          </w:tcPr>
          <w:p w14:paraId="6D7EE67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385C5D5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834</w:t>
            </w:r>
          </w:p>
        </w:tc>
        <w:tc>
          <w:tcPr>
            <w:tcW w:w="738" w:type="dxa"/>
            <w:shd w:val="clear" w:color="auto" w:fill="auto"/>
          </w:tcPr>
          <w:p w14:paraId="4A76A10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162</w:t>
            </w:r>
          </w:p>
        </w:tc>
        <w:tc>
          <w:tcPr>
            <w:tcW w:w="856" w:type="dxa"/>
            <w:shd w:val="clear" w:color="auto" w:fill="auto"/>
          </w:tcPr>
          <w:p w14:paraId="440BBCF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5465</w:t>
            </w:r>
          </w:p>
        </w:tc>
      </w:tr>
      <w:tr w:rsidR="00246CC1" w:rsidRPr="00246CC1" w14:paraId="0D10CC9F" w14:textId="77777777" w:rsidTr="00F20FDD">
        <w:tc>
          <w:tcPr>
            <w:tcW w:w="716" w:type="dxa"/>
            <w:shd w:val="clear" w:color="auto" w:fill="auto"/>
          </w:tcPr>
          <w:p w14:paraId="40273FA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2025.</w:t>
            </w:r>
          </w:p>
        </w:tc>
        <w:tc>
          <w:tcPr>
            <w:tcW w:w="712" w:type="dxa"/>
            <w:shd w:val="clear" w:color="auto" w:fill="auto"/>
          </w:tcPr>
          <w:p w14:paraId="3CC1EA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681" w:type="dxa"/>
            <w:shd w:val="clear" w:color="auto" w:fill="auto"/>
          </w:tcPr>
          <w:p w14:paraId="7641612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609" w:type="dxa"/>
            <w:shd w:val="clear" w:color="auto" w:fill="auto"/>
          </w:tcPr>
          <w:p w14:paraId="4539778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762" w:type="dxa"/>
            <w:shd w:val="clear" w:color="auto" w:fill="auto"/>
          </w:tcPr>
          <w:p w14:paraId="48AB45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6DA3341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2912B1F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1286" w:type="dxa"/>
            <w:shd w:val="clear" w:color="auto" w:fill="auto"/>
          </w:tcPr>
          <w:p w14:paraId="4D425FE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066698A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859</w:t>
            </w:r>
          </w:p>
        </w:tc>
        <w:tc>
          <w:tcPr>
            <w:tcW w:w="738" w:type="dxa"/>
            <w:shd w:val="clear" w:color="auto" w:fill="auto"/>
          </w:tcPr>
          <w:p w14:paraId="28FA45A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185</w:t>
            </w:r>
          </w:p>
        </w:tc>
        <w:tc>
          <w:tcPr>
            <w:tcW w:w="856" w:type="dxa"/>
            <w:shd w:val="clear" w:color="auto" w:fill="auto"/>
          </w:tcPr>
          <w:p w14:paraId="244F30D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5514</w:t>
            </w:r>
          </w:p>
        </w:tc>
      </w:tr>
      <w:tr w:rsidR="00246CC1" w:rsidRPr="00246CC1" w14:paraId="74A274A9" w14:textId="77777777" w:rsidTr="00F20FDD">
        <w:tc>
          <w:tcPr>
            <w:tcW w:w="716" w:type="dxa"/>
            <w:shd w:val="clear" w:color="auto" w:fill="auto"/>
          </w:tcPr>
          <w:p w14:paraId="5886AB8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2026.</w:t>
            </w:r>
          </w:p>
        </w:tc>
        <w:tc>
          <w:tcPr>
            <w:tcW w:w="712" w:type="dxa"/>
            <w:shd w:val="clear" w:color="auto" w:fill="auto"/>
          </w:tcPr>
          <w:p w14:paraId="41703E7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681" w:type="dxa"/>
            <w:shd w:val="clear" w:color="auto" w:fill="auto"/>
          </w:tcPr>
          <w:p w14:paraId="0A19AAA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609" w:type="dxa"/>
            <w:shd w:val="clear" w:color="auto" w:fill="auto"/>
          </w:tcPr>
          <w:p w14:paraId="15B3DA4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303</w:t>
            </w:r>
          </w:p>
        </w:tc>
        <w:tc>
          <w:tcPr>
            <w:tcW w:w="762" w:type="dxa"/>
            <w:shd w:val="clear" w:color="auto" w:fill="auto"/>
          </w:tcPr>
          <w:p w14:paraId="2FCA807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06AEE31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7E4ADA5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1286" w:type="dxa"/>
            <w:shd w:val="clear" w:color="auto" w:fill="auto"/>
          </w:tcPr>
          <w:p w14:paraId="18A75EE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67EF89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897</w:t>
            </w:r>
          </w:p>
        </w:tc>
        <w:tc>
          <w:tcPr>
            <w:tcW w:w="738" w:type="dxa"/>
            <w:shd w:val="clear" w:color="auto" w:fill="auto"/>
          </w:tcPr>
          <w:p w14:paraId="6B77CA1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222</w:t>
            </w:r>
          </w:p>
        </w:tc>
        <w:tc>
          <w:tcPr>
            <w:tcW w:w="856" w:type="dxa"/>
            <w:shd w:val="clear" w:color="auto" w:fill="auto"/>
          </w:tcPr>
          <w:p w14:paraId="6D91276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5719</w:t>
            </w:r>
          </w:p>
        </w:tc>
      </w:tr>
      <w:tr w:rsidR="00246CC1" w:rsidRPr="00246CC1" w14:paraId="53F175F2" w14:textId="77777777" w:rsidTr="00F20FDD">
        <w:tc>
          <w:tcPr>
            <w:tcW w:w="716" w:type="dxa"/>
            <w:shd w:val="clear" w:color="auto" w:fill="auto"/>
          </w:tcPr>
          <w:p w14:paraId="17625F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2027.</w:t>
            </w:r>
          </w:p>
        </w:tc>
        <w:tc>
          <w:tcPr>
            <w:tcW w:w="712" w:type="dxa"/>
            <w:shd w:val="clear" w:color="auto" w:fill="auto"/>
          </w:tcPr>
          <w:p w14:paraId="33E9E47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681" w:type="dxa"/>
            <w:shd w:val="clear" w:color="auto" w:fill="auto"/>
          </w:tcPr>
          <w:p w14:paraId="2EEF708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609" w:type="dxa"/>
            <w:shd w:val="clear" w:color="auto" w:fill="auto"/>
          </w:tcPr>
          <w:p w14:paraId="32BC616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303</w:t>
            </w:r>
          </w:p>
        </w:tc>
        <w:tc>
          <w:tcPr>
            <w:tcW w:w="762" w:type="dxa"/>
            <w:shd w:val="clear" w:color="auto" w:fill="auto"/>
          </w:tcPr>
          <w:p w14:paraId="7FF08F8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4ABEAD8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101396D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155</w:t>
            </w:r>
          </w:p>
        </w:tc>
        <w:tc>
          <w:tcPr>
            <w:tcW w:w="1286" w:type="dxa"/>
            <w:shd w:val="clear" w:color="auto" w:fill="auto"/>
          </w:tcPr>
          <w:p w14:paraId="5A8D9F0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061B885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934</w:t>
            </w:r>
          </w:p>
        </w:tc>
        <w:tc>
          <w:tcPr>
            <w:tcW w:w="738" w:type="dxa"/>
            <w:shd w:val="clear" w:color="auto" w:fill="auto"/>
          </w:tcPr>
          <w:p w14:paraId="694B656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260</w:t>
            </w:r>
          </w:p>
        </w:tc>
        <w:tc>
          <w:tcPr>
            <w:tcW w:w="856" w:type="dxa"/>
            <w:shd w:val="clear" w:color="auto" w:fill="auto"/>
          </w:tcPr>
          <w:p w14:paraId="0C7DDF7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5793</w:t>
            </w:r>
          </w:p>
        </w:tc>
      </w:tr>
      <w:tr w:rsidR="00246CC1" w:rsidRPr="00246CC1" w14:paraId="6C521BA7" w14:textId="77777777" w:rsidTr="00F20FDD">
        <w:tc>
          <w:tcPr>
            <w:tcW w:w="716" w:type="dxa"/>
            <w:shd w:val="clear" w:color="auto" w:fill="auto"/>
          </w:tcPr>
          <w:p w14:paraId="7146AFD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2028.</w:t>
            </w:r>
          </w:p>
        </w:tc>
        <w:tc>
          <w:tcPr>
            <w:tcW w:w="712" w:type="dxa"/>
            <w:shd w:val="clear" w:color="auto" w:fill="auto"/>
          </w:tcPr>
          <w:p w14:paraId="3FD4864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681" w:type="dxa"/>
            <w:shd w:val="clear" w:color="auto" w:fill="auto"/>
          </w:tcPr>
          <w:p w14:paraId="5730FEA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609" w:type="dxa"/>
            <w:shd w:val="clear" w:color="auto" w:fill="auto"/>
          </w:tcPr>
          <w:p w14:paraId="0DA54B5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1948352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022CE0C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0EB72B0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1286" w:type="dxa"/>
            <w:shd w:val="clear" w:color="auto" w:fill="auto"/>
          </w:tcPr>
          <w:p w14:paraId="23FB4A8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743" w:type="dxa"/>
            <w:shd w:val="clear" w:color="auto" w:fill="auto"/>
          </w:tcPr>
          <w:p w14:paraId="7A66B50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984</w:t>
            </w:r>
          </w:p>
        </w:tc>
        <w:tc>
          <w:tcPr>
            <w:tcW w:w="738" w:type="dxa"/>
            <w:shd w:val="clear" w:color="auto" w:fill="auto"/>
          </w:tcPr>
          <w:p w14:paraId="513B5F7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297</w:t>
            </w:r>
          </w:p>
        </w:tc>
        <w:tc>
          <w:tcPr>
            <w:tcW w:w="856" w:type="dxa"/>
            <w:shd w:val="clear" w:color="auto" w:fill="auto"/>
          </w:tcPr>
          <w:p w14:paraId="6DC9A88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5742</w:t>
            </w:r>
          </w:p>
        </w:tc>
      </w:tr>
      <w:tr w:rsidR="00246CC1" w:rsidRPr="00246CC1" w14:paraId="15ADFBC2" w14:textId="77777777" w:rsidTr="00F20FDD">
        <w:tc>
          <w:tcPr>
            <w:tcW w:w="716" w:type="dxa"/>
            <w:shd w:val="clear" w:color="auto" w:fill="auto"/>
          </w:tcPr>
          <w:p w14:paraId="24FBB7E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2029.</w:t>
            </w:r>
          </w:p>
        </w:tc>
        <w:tc>
          <w:tcPr>
            <w:tcW w:w="712" w:type="dxa"/>
            <w:shd w:val="clear" w:color="auto" w:fill="auto"/>
          </w:tcPr>
          <w:p w14:paraId="67CAD17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681" w:type="dxa"/>
            <w:shd w:val="clear" w:color="auto" w:fill="auto"/>
          </w:tcPr>
          <w:p w14:paraId="6AD3879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609" w:type="dxa"/>
            <w:shd w:val="clear" w:color="auto" w:fill="auto"/>
          </w:tcPr>
          <w:p w14:paraId="5004B9B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60566F6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6EFDE51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1D4B8A0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1286" w:type="dxa"/>
            <w:shd w:val="clear" w:color="auto" w:fill="auto"/>
          </w:tcPr>
          <w:p w14:paraId="75FB68E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743" w:type="dxa"/>
            <w:shd w:val="clear" w:color="auto" w:fill="auto"/>
          </w:tcPr>
          <w:p w14:paraId="48F3C2B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1034</w:t>
            </w:r>
          </w:p>
        </w:tc>
        <w:tc>
          <w:tcPr>
            <w:tcW w:w="738" w:type="dxa"/>
            <w:shd w:val="clear" w:color="auto" w:fill="auto"/>
          </w:tcPr>
          <w:p w14:paraId="4A813F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335</w:t>
            </w:r>
          </w:p>
        </w:tc>
        <w:tc>
          <w:tcPr>
            <w:tcW w:w="856" w:type="dxa"/>
            <w:shd w:val="clear" w:color="auto" w:fill="auto"/>
          </w:tcPr>
          <w:p w14:paraId="5B603A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5830</w:t>
            </w:r>
          </w:p>
        </w:tc>
      </w:tr>
      <w:tr w:rsidR="00246CC1" w:rsidRPr="00976062" w14:paraId="11EE77D5" w14:textId="77777777" w:rsidTr="00F20FDD">
        <w:tc>
          <w:tcPr>
            <w:tcW w:w="716" w:type="dxa"/>
            <w:shd w:val="clear" w:color="auto" w:fill="auto"/>
          </w:tcPr>
          <w:p w14:paraId="4E9FEFA2" w14:textId="77777777" w:rsidR="00246CC1" w:rsidRPr="0087537E" w:rsidRDefault="00246CC1" w:rsidP="00185868">
            <w:pPr>
              <w:rPr>
                <w:rFonts w:asciiTheme="minorHAnsi" w:hAnsiTheme="minorHAnsi" w:cstheme="minorHAnsi"/>
                <w:sz w:val="20"/>
                <w:szCs w:val="20"/>
              </w:rPr>
            </w:pPr>
            <w:r w:rsidRPr="0087537E">
              <w:rPr>
                <w:rFonts w:asciiTheme="minorHAnsi" w:hAnsiTheme="minorHAnsi" w:cstheme="minorHAnsi"/>
                <w:sz w:val="20"/>
                <w:szCs w:val="20"/>
              </w:rPr>
              <w:t>2030.</w:t>
            </w:r>
          </w:p>
        </w:tc>
        <w:tc>
          <w:tcPr>
            <w:tcW w:w="712" w:type="dxa"/>
            <w:shd w:val="clear" w:color="auto" w:fill="auto"/>
          </w:tcPr>
          <w:p w14:paraId="68B8EF7E" w14:textId="77777777" w:rsidR="00246CC1" w:rsidRPr="00E07E61" w:rsidRDefault="00246CC1" w:rsidP="00185868">
            <w:pPr>
              <w:rPr>
                <w:rFonts w:asciiTheme="minorHAnsi" w:hAnsiTheme="minorHAnsi" w:cstheme="minorHAnsi"/>
                <w:sz w:val="20"/>
                <w:szCs w:val="20"/>
              </w:rPr>
            </w:pPr>
            <w:r w:rsidRPr="00E07E61">
              <w:rPr>
                <w:rFonts w:asciiTheme="minorHAnsi" w:hAnsiTheme="minorHAnsi" w:cstheme="minorHAnsi"/>
                <w:sz w:val="20"/>
                <w:szCs w:val="20"/>
              </w:rPr>
              <w:t>2546</w:t>
            </w:r>
          </w:p>
        </w:tc>
        <w:tc>
          <w:tcPr>
            <w:tcW w:w="681" w:type="dxa"/>
            <w:shd w:val="clear" w:color="auto" w:fill="auto"/>
          </w:tcPr>
          <w:p w14:paraId="19C8A638" w14:textId="77777777" w:rsidR="00246CC1" w:rsidRPr="00976062" w:rsidRDefault="00246CC1" w:rsidP="00185868">
            <w:pPr>
              <w:rPr>
                <w:rFonts w:asciiTheme="minorHAnsi" w:hAnsiTheme="minorHAnsi" w:cstheme="minorHAnsi"/>
                <w:sz w:val="20"/>
                <w:szCs w:val="20"/>
              </w:rPr>
            </w:pPr>
            <w:r w:rsidRPr="00AB0A01">
              <w:rPr>
                <w:rFonts w:asciiTheme="minorHAnsi" w:hAnsiTheme="minorHAnsi" w:cstheme="minorHAnsi"/>
                <w:sz w:val="20"/>
                <w:szCs w:val="20"/>
              </w:rPr>
              <w:t>1048</w:t>
            </w:r>
          </w:p>
        </w:tc>
        <w:tc>
          <w:tcPr>
            <w:tcW w:w="609" w:type="dxa"/>
            <w:shd w:val="clear" w:color="auto" w:fill="auto"/>
          </w:tcPr>
          <w:p w14:paraId="419D65F8"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0</w:t>
            </w:r>
          </w:p>
        </w:tc>
        <w:tc>
          <w:tcPr>
            <w:tcW w:w="762" w:type="dxa"/>
            <w:shd w:val="clear" w:color="auto" w:fill="auto"/>
          </w:tcPr>
          <w:p w14:paraId="4E5DBAB4"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192</w:t>
            </w:r>
          </w:p>
        </w:tc>
        <w:tc>
          <w:tcPr>
            <w:tcW w:w="1053" w:type="dxa"/>
            <w:shd w:val="clear" w:color="auto" w:fill="auto"/>
          </w:tcPr>
          <w:p w14:paraId="7CD05C89"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348</w:t>
            </w:r>
          </w:p>
        </w:tc>
        <w:tc>
          <w:tcPr>
            <w:tcW w:w="906" w:type="dxa"/>
            <w:shd w:val="clear" w:color="auto" w:fill="auto"/>
          </w:tcPr>
          <w:p w14:paraId="607AE91B"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148</w:t>
            </w:r>
          </w:p>
        </w:tc>
        <w:tc>
          <w:tcPr>
            <w:tcW w:w="1286" w:type="dxa"/>
            <w:shd w:val="clear" w:color="auto" w:fill="auto"/>
          </w:tcPr>
          <w:p w14:paraId="664D9C07"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26</w:t>
            </w:r>
          </w:p>
        </w:tc>
        <w:tc>
          <w:tcPr>
            <w:tcW w:w="743" w:type="dxa"/>
            <w:shd w:val="clear" w:color="auto" w:fill="auto"/>
          </w:tcPr>
          <w:p w14:paraId="4A67B5F9"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1184</w:t>
            </w:r>
          </w:p>
        </w:tc>
        <w:tc>
          <w:tcPr>
            <w:tcW w:w="738" w:type="dxa"/>
            <w:shd w:val="clear" w:color="auto" w:fill="auto"/>
          </w:tcPr>
          <w:p w14:paraId="07BCEDD9"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507</w:t>
            </w:r>
          </w:p>
        </w:tc>
        <w:tc>
          <w:tcPr>
            <w:tcW w:w="856" w:type="dxa"/>
            <w:shd w:val="clear" w:color="auto" w:fill="auto"/>
          </w:tcPr>
          <w:p w14:paraId="75FD4FE2" w14:textId="77777777" w:rsidR="00246CC1" w:rsidRPr="00976062" w:rsidRDefault="00246CC1" w:rsidP="00185868">
            <w:pPr>
              <w:rPr>
                <w:rFonts w:asciiTheme="minorHAnsi" w:hAnsiTheme="minorHAnsi" w:cstheme="minorHAnsi"/>
                <w:sz w:val="20"/>
                <w:szCs w:val="20"/>
              </w:rPr>
            </w:pPr>
            <w:r w:rsidRPr="00976062">
              <w:rPr>
                <w:rFonts w:asciiTheme="minorHAnsi" w:hAnsiTheme="minorHAnsi" w:cstheme="minorHAnsi"/>
                <w:sz w:val="20"/>
                <w:szCs w:val="20"/>
              </w:rPr>
              <w:t>5998</w:t>
            </w:r>
          </w:p>
        </w:tc>
      </w:tr>
    </w:tbl>
    <w:p w14:paraId="2AA3A721" w14:textId="55F24DF0" w:rsidR="00E130C5" w:rsidRPr="0087537E" w:rsidRDefault="00357598" w:rsidP="00E130C5">
      <w:pPr>
        <w:keepNext/>
        <w:jc w:val="center"/>
      </w:pPr>
      <w:r w:rsidRPr="0087537E">
        <w:drawing>
          <wp:inline distT="0" distB="0" distL="0" distR="0" wp14:anchorId="1FDE330D" wp14:editId="3FBC36F4">
            <wp:extent cx="5400000" cy="318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182400"/>
                    </a:xfrm>
                    <a:prstGeom prst="rect">
                      <a:avLst/>
                    </a:prstGeom>
                    <a:noFill/>
                    <a:ln>
                      <a:noFill/>
                    </a:ln>
                  </pic:spPr>
                </pic:pic>
              </a:graphicData>
            </a:graphic>
          </wp:inline>
        </w:drawing>
      </w:r>
    </w:p>
    <w:p w14:paraId="0B809B95" w14:textId="31593380" w:rsidR="007637E2" w:rsidRDefault="00856D97" w:rsidP="00856D97">
      <w:pPr>
        <w:pStyle w:val="Caption"/>
      </w:pPr>
      <w:bookmarkStart w:id="211" w:name="_Ref532199915"/>
      <w:r w:rsidRPr="0087537E">
        <w:t xml:space="preserve">Slika </w:t>
      </w:r>
      <w:fldSimple w:instr=" STYLEREF 1 \s ">
        <w:r w:rsidRPr="0087537E">
          <w:rPr>
            <w:noProof/>
          </w:rPr>
          <w:t>2</w:t>
        </w:r>
      </w:fldSimple>
      <w:r w:rsidRPr="0087537E">
        <w:noBreakHyphen/>
      </w:r>
      <w:fldSimple w:instr=" SEQ Slika \* ARABIC \s 1 ">
        <w:r w:rsidRPr="0087537E">
          <w:rPr>
            <w:noProof/>
          </w:rPr>
          <w:t>3</w:t>
        </w:r>
      </w:fldSimple>
      <w:bookmarkEnd w:id="211"/>
      <w:r w:rsidRPr="0087537E">
        <w:t xml:space="preserve"> Očekivana snaga elektrana</w:t>
      </w:r>
    </w:p>
    <w:p w14:paraId="3DE4F12B" w14:textId="77777777" w:rsidR="00856D97" w:rsidRDefault="00856D97"/>
    <w:p w14:paraId="0BF2ACD9" w14:textId="553CEA26" w:rsidR="00FF0CF3" w:rsidRDefault="00FF0CF3" w:rsidP="00FF0CF3">
      <w:pPr>
        <w:pStyle w:val="Heading2"/>
      </w:pPr>
      <w:bookmarkStart w:id="212" w:name="_Toc531935141"/>
      <w:bookmarkStart w:id="213" w:name="_Toc531945091"/>
      <w:r>
        <w:t>Dimenzija: energetska učinkovitost</w:t>
      </w:r>
      <w:bookmarkEnd w:id="212"/>
      <w:bookmarkEnd w:id="213"/>
      <w:r>
        <w:t xml:space="preserve"> </w:t>
      </w:r>
    </w:p>
    <w:p w14:paraId="77DDA5C5" w14:textId="20767F3E" w:rsidR="00FF0CF3" w:rsidRPr="00D0779B" w:rsidRDefault="00FF0CF3" w:rsidP="00D0779B">
      <w:pPr>
        <w:pStyle w:val="ListParagraph"/>
        <w:numPr>
          <w:ilvl w:val="0"/>
          <w:numId w:val="61"/>
        </w:numPr>
        <w:tabs>
          <w:tab w:val="clear" w:pos="431"/>
        </w:tabs>
        <w:suppressAutoHyphens w:val="0"/>
        <w:spacing w:after="160" w:line="259" w:lineRule="auto"/>
        <w:contextualSpacing/>
        <w:jc w:val="left"/>
        <w:rPr>
          <w:b/>
          <w:i/>
        </w:rPr>
      </w:pPr>
      <w:r w:rsidRPr="00D0779B">
        <w:rPr>
          <w:b/>
          <w:i/>
        </w:rPr>
        <w:t xml:space="preserve">Elementi iz članka 4. točke (b) </w:t>
      </w:r>
    </w:p>
    <w:p w14:paraId="219A331D" w14:textId="77777777" w:rsidR="00FF0CF3" w:rsidRPr="00215760" w:rsidRDefault="00FF0CF3" w:rsidP="00FF0CF3">
      <w:pPr>
        <w:shd w:val="clear" w:color="auto" w:fill="D9D9D9" w:themeFill="background1" w:themeFillShade="D9"/>
        <w:rPr>
          <w:i/>
        </w:rPr>
      </w:pPr>
      <w:r w:rsidRPr="00215760">
        <w:rPr>
          <w:i/>
        </w:rPr>
        <w:t xml:space="preserve">Okvirni nacionalni cilj povećanja energetske učinkovitosti </w:t>
      </w:r>
      <w:r w:rsidRPr="00215760">
        <w:rPr>
          <w:b/>
          <w:i/>
          <w:u w:val="single"/>
        </w:rPr>
        <w:t>do</w:t>
      </w:r>
      <w:r w:rsidRPr="00215760">
        <w:rPr>
          <w:i/>
          <w:u w:val="single"/>
        </w:rPr>
        <w:t xml:space="preserve"> </w:t>
      </w:r>
      <w:r w:rsidRPr="00215760">
        <w:rPr>
          <w:b/>
          <w:i/>
          <w:u w:val="single"/>
        </w:rPr>
        <w:t>2020. godine</w:t>
      </w:r>
      <w:r w:rsidRPr="00215760">
        <w:rPr>
          <w:i/>
        </w:rPr>
        <w:t xml:space="preserve"> prema Članku 3. Direktive 2012/27/EU</w:t>
      </w:r>
    </w:p>
    <w:p w14:paraId="6539324A" w14:textId="428A3529" w:rsidR="00FF0CF3" w:rsidRDefault="00FF0CF3" w:rsidP="00FF0CF3">
      <w:r>
        <w:t>Nacionalni ciljevi povećanja energetske učinkovitosti do 2020. godine definirani su u 3. Nacionalnom akcijskom planu energetske učinkovitosti (NAPEnU) za razdoblje 2014.-</w:t>
      </w:r>
      <w:r w:rsidR="00BD05EE">
        <w:t xml:space="preserve"> </w:t>
      </w:r>
      <w:r>
        <w:t>2016.</w:t>
      </w:r>
      <w:r w:rsidR="00BD05EE" w:rsidDel="00E35991">
        <w:t xml:space="preserve"> </w:t>
      </w:r>
      <w:r>
        <w:t>godine, a revidirani su u nacrtu 4.NAPEnU za razdoblje 2017.-</w:t>
      </w:r>
      <w:r w:rsidR="00BD05EE">
        <w:t xml:space="preserve"> </w:t>
      </w:r>
      <w:r>
        <w:t>2019.</w:t>
      </w:r>
      <w:r w:rsidR="00774629">
        <w:t xml:space="preserve"> </w:t>
      </w:r>
      <w:r>
        <w:t xml:space="preserve">Okvirni nacionalni cilj povećanja energetske učinkovitosti izražen kao apsolutni iznos neposredne potrošnje energije u 2020. godini je </w:t>
      </w:r>
      <w:r w:rsidRPr="008F0FB9">
        <w:rPr>
          <w:b/>
          <w:u w:val="single"/>
        </w:rPr>
        <w:t>291,3 PJ (6,96 Mte</w:t>
      </w:r>
      <w:r w:rsidR="00F2078C">
        <w:rPr>
          <w:b/>
          <w:u w:val="single"/>
        </w:rPr>
        <w:t>n</w:t>
      </w:r>
      <w:r w:rsidRPr="008F0FB9">
        <w:rPr>
          <w:b/>
          <w:u w:val="single"/>
        </w:rPr>
        <w:t>)</w:t>
      </w:r>
      <w:r w:rsidRPr="008F0FB9">
        <w:t>.</w:t>
      </w:r>
      <w:r>
        <w:t xml:space="preserve"> Odgovarajući cilj izražen kao apsolutni iznos primarne energije u 2020. godini je </w:t>
      </w:r>
      <w:r w:rsidRPr="008F0FB9">
        <w:rPr>
          <w:b/>
          <w:u w:val="single"/>
        </w:rPr>
        <w:t>448,5 PJ (10,71 Mte</w:t>
      </w:r>
      <w:r w:rsidR="00F2078C">
        <w:rPr>
          <w:b/>
          <w:u w:val="single"/>
        </w:rPr>
        <w:t>n</w:t>
      </w:r>
      <w:r w:rsidRPr="008F0FB9">
        <w:rPr>
          <w:b/>
          <w:u w:val="single"/>
        </w:rPr>
        <w:t>)</w:t>
      </w:r>
      <w:r w:rsidRPr="008F0FB9">
        <w:t>.</w:t>
      </w:r>
      <w:r w:rsidR="00627611">
        <w:t xml:space="preserve"> </w:t>
      </w:r>
      <w:r>
        <w:t xml:space="preserve">Ciljevi iskazani kao apsolutni iznos primarne i neposredne potrošnje energije prikazuje </w:t>
      </w:r>
      <w:r w:rsidR="00610188">
        <w:fldChar w:fldCharType="begin"/>
      </w:r>
      <w:r w:rsidR="00610188">
        <w:instrText xml:space="preserve"> REF _Ref531696189 \h </w:instrText>
      </w:r>
      <w:r w:rsidR="00610188">
        <w:fldChar w:fldCharType="separate"/>
      </w:r>
      <w:r w:rsidR="00E5423A">
        <w:t xml:space="preserve">Slika </w:t>
      </w:r>
      <w:r w:rsidR="00E5423A">
        <w:rPr>
          <w:noProof/>
        </w:rPr>
        <w:t>2</w:t>
      </w:r>
      <w:r w:rsidR="00E5423A">
        <w:noBreakHyphen/>
      </w:r>
      <w:r w:rsidR="00E5423A">
        <w:rPr>
          <w:noProof/>
        </w:rPr>
        <w:t>5</w:t>
      </w:r>
      <w:r w:rsidR="00E5423A">
        <w:t>.</w:t>
      </w:r>
      <w:r w:rsidR="00610188">
        <w:fldChar w:fldCharType="end"/>
      </w:r>
      <w:r>
        <w:t xml:space="preserve"> </w:t>
      </w:r>
    </w:p>
    <w:p w14:paraId="66CBDC28" w14:textId="77777777" w:rsidR="00FF0CF3" w:rsidRDefault="00FF0CF3" w:rsidP="00FF0CF3">
      <w:pPr>
        <w:jc w:val="center"/>
      </w:pPr>
      <w:r w:rsidRPr="0016468E">
        <w:rPr>
          <w:noProof/>
        </w:rPr>
        <w:drawing>
          <wp:inline distT="0" distB="0" distL="0" distR="0" wp14:anchorId="0F1D84F5" wp14:editId="7A8264EC">
            <wp:extent cx="4328032" cy="2981325"/>
            <wp:effectExtent l="0" t="0" r="0" b="0"/>
            <wp:docPr id="375036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3969" r="19467"/>
                    <a:stretch/>
                  </pic:blipFill>
                  <pic:spPr bwMode="auto">
                    <a:xfrm>
                      <a:off x="0" y="0"/>
                      <a:ext cx="4361400" cy="3004310"/>
                    </a:xfrm>
                    <a:prstGeom prst="rect">
                      <a:avLst/>
                    </a:prstGeom>
                    <a:ln>
                      <a:noFill/>
                    </a:ln>
                    <a:extLst>
                      <a:ext uri="{53640926-AAD7-44D8-BBD7-CCE9431645EC}">
                        <a14:shadowObscured xmlns:a14="http://schemas.microsoft.com/office/drawing/2010/main"/>
                      </a:ext>
                    </a:extLst>
                  </pic:spPr>
                </pic:pic>
              </a:graphicData>
            </a:graphic>
          </wp:inline>
        </w:drawing>
      </w:r>
    </w:p>
    <w:p w14:paraId="35C9E02B" w14:textId="6368B8E9" w:rsidR="00FF0CF3" w:rsidRDefault="00B40E8D" w:rsidP="00B40E8D">
      <w:pPr>
        <w:pStyle w:val="Caption"/>
      </w:pPr>
      <w:bookmarkStart w:id="214" w:name="_Ref531696189"/>
      <w:bookmarkStart w:id="215" w:name="_Toc531935285"/>
      <w:r w:rsidRPr="00976062">
        <w:t xml:space="preserve">Slika </w:t>
      </w:r>
      <w:fldSimple w:instr=" STYLEREF 1 \s ">
        <w:r w:rsidR="00856D97" w:rsidRPr="00976062">
          <w:t>2</w:t>
        </w:r>
      </w:fldSimple>
      <w:r w:rsidR="00856D97" w:rsidRPr="00976062">
        <w:noBreakHyphen/>
      </w:r>
      <w:r w:rsidR="00856D97" w:rsidRPr="00680358">
        <w:fldChar w:fldCharType="begin"/>
      </w:r>
      <w:r w:rsidR="00856D97" w:rsidRPr="00976062">
        <w:instrText xml:space="preserve"> SEQ Slika \* ARABIC \s 1 </w:instrText>
      </w:r>
      <w:r w:rsidR="00856D97" w:rsidRPr="00680358">
        <w:fldChar w:fldCharType="separate"/>
      </w:r>
      <w:r w:rsidR="00856D97">
        <w:t>4</w:t>
      </w:r>
      <w:r w:rsidR="00856D97" w:rsidRPr="00680358">
        <w:fldChar w:fldCharType="end"/>
      </w:r>
      <w:r w:rsidRPr="00976062">
        <w:t>.</w:t>
      </w:r>
      <w:bookmarkEnd w:id="214"/>
      <w:r w:rsidRPr="00976062">
        <w:t xml:space="preserve"> O</w:t>
      </w:r>
      <w:r w:rsidR="00861C49" w:rsidRPr="00976062">
        <w:t>kvirni nacionalni ciljevi</w:t>
      </w:r>
      <w:r w:rsidR="00FF0CF3" w:rsidRPr="00976062">
        <w:t xml:space="preserve"> energetske učinkovitosti u 2020. godini</w:t>
      </w:r>
      <w:bookmarkEnd w:id="215"/>
    </w:p>
    <w:p w14:paraId="1CA9B235" w14:textId="7E5DB37D" w:rsidR="00FF0CF3" w:rsidRPr="004D0C10" w:rsidRDefault="00FF0CF3" w:rsidP="00046D46">
      <w:pPr>
        <w:spacing w:before="0" w:line="240" w:lineRule="auto"/>
        <w:jc w:val="center"/>
        <w:rPr>
          <w:i/>
          <w:sz w:val="20"/>
        </w:rPr>
      </w:pPr>
      <w:r w:rsidRPr="004D0C10">
        <w:rPr>
          <w:i/>
          <w:sz w:val="20"/>
        </w:rPr>
        <w:t xml:space="preserve">Izvor: </w:t>
      </w:r>
      <w:r w:rsidR="00AE2E34">
        <w:rPr>
          <w:i/>
          <w:sz w:val="20"/>
        </w:rPr>
        <w:t xml:space="preserve">nacrt </w:t>
      </w:r>
      <w:r w:rsidRPr="004D0C10">
        <w:rPr>
          <w:i/>
          <w:sz w:val="20"/>
        </w:rPr>
        <w:t>4. NAPEnU</w:t>
      </w:r>
    </w:p>
    <w:p w14:paraId="352653E7" w14:textId="77777777" w:rsidR="00FF0CF3" w:rsidRPr="00215760" w:rsidRDefault="00FF0CF3" w:rsidP="00FF0CF3">
      <w:pPr>
        <w:shd w:val="clear" w:color="auto" w:fill="D9D9D9" w:themeFill="background1" w:themeFillShade="D9"/>
        <w:rPr>
          <w:i/>
          <w:highlight w:val="yellow"/>
        </w:rPr>
      </w:pPr>
      <w:r w:rsidRPr="00215760">
        <w:rPr>
          <w:i/>
        </w:rPr>
        <w:t xml:space="preserve">Okvirni nacionalni cilj povećanja energetske učinkovitosti </w:t>
      </w:r>
      <w:r w:rsidRPr="00215760">
        <w:rPr>
          <w:b/>
          <w:i/>
          <w:u w:val="single"/>
        </w:rPr>
        <w:t>do 2030. godine</w:t>
      </w:r>
      <w:r w:rsidRPr="00215760">
        <w:rPr>
          <w:i/>
        </w:rPr>
        <w:t xml:space="preserve"> prema </w:t>
      </w:r>
      <w:r w:rsidRPr="007528BF">
        <w:rPr>
          <w:i/>
        </w:rPr>
        <w:t>Članku 3. Direktive 2012/27/EU [novelacija Direktive]</w:t>
      </w:r>
    </w:p>
    <w:p w14:paraId="11C2663B" w14:textId="774FF0B9" w:rsidR="009E7700" w:rsidRDefault="00627611" w:rsidP="00627611">
      <w:r>
        <w:t xml:space="preserve">Nacionalni ciljevi povećanja energetske učinkovitosti do 2030. godine </w:t>
      </w:r>
      <w:r w:rsidR="00F554BA">
        <w:t>utvrđeni</w:t>
      </w:r>
      <w:r>
        <w:t xml:space="preserve"> su u dokumentu </w:t>
      </w:r>
      <w:r w:rsidR="00F554BA">
        <w:t>„</w:t>
      </w:r>
      <w:r w:rsidR="00F554BA" w:rsidRPr="00F554BA">
        <w:t>Analize i podloge za izradu energetske strategije Republike Hrvatske</w:t>
      </w:r>
      <w:r w:rsidR="00F554BA">
        <w:t>“, koji je u listop</w:t>
      </w:r>
      <w:r w:rsidR="00B01FEC">
        <w:t>a</w:t>
      </w:r>
      <w:r w:rsidR="00F554BA">
        <w:t xml:space="preserve">du 2018. godine izrađen za potrebe </w:t>
      </w:r>
      <w:r w:rsidR="00806516">
        <w:t>donošenja Strategije energetskog razvoja RH do 2030. godine s pogledom do 2050</w:t>
      </w:r>
      <w:r w:rsidR="00B01FEC">
        <w:t xml:space="preserve"> [</w:t>
      </w:r>
      <w:r w:rsidR="00B01FEC">
        <w:fldChar w:fldCharType="begin"/>
      </w:r>
      <w:r w:rsidR="00B01FEC">
        <w:instrText xml:space="preserve"> REF _Ref531599476 \r \h </w:instrText>
      </w:r>
      <w:r w:rsidR="00B01FEC">
        <w:fldChar w:fldCharType="separate"/>
      </w:r>
      <w:r w:rsidR="00E5423A">
        <w:t>1</w:t>
      </w:r>
      <w:r w:rsidR="00B01FEC">
        <w:fldChar w:fldCharType="end"/>
      </w:r>
      <w:r w:rsidR="00B01FEC">
        <w:t>]</w:t>
      </w:r>
      <w:r>
        <w:t xml:space="preserve">. </w:t>
      </w:r>
      <w:r w:rsidR="00806516">
        <w:t>Navede</w:t>
      </w:r>
      <w:r w:rsidR="00483668">
        <w:t xml:space="preserve">ni dokument razmatra dva scenarija razvoja energetskog sektora, a </w:t>
      </w:r>
      <w:r w:rsidR="00861C49">
        <w:t>ciljan</w:t>
      </w:r>
      <w:r w:rsidR="009E7700">
        <w:t>e</w:t>
      </w:r>
      <w:r w:rsidR="00861C49">
        <w:t xml:space="preserve"> iznos</w:t>
      </w:r>
      <w:r w:rsidR="008308C9">
        <w:t>e</w:t>
      </w:r>
      <w:r w:rsidR="00861C49">
        <w:t xml:space="preserve"> primarne i neposredne potrošnje energije </w:t>
      </w:r>
      <w:r w:rsidR="009E7700">
        <w:t xml:space="preserve">u 2030. godini prikazuje </w:t>
      </w:r>
      <w:r w:rsidR="009E7700">
        <w:fldChar w:fldCharType="begin"/>
      </w:r>
      <w:r w:rsidR="009E7700">
        <w:instrText xml:space="preserve"> REF _Ref531090111 \h </w:instrText>
      </w:r>
      <w:r w:rsidR="009E7700">
        <w:fldChar w:fldCharType="separate"/>
      </w:r>
      <w:r w:rsidR="00E5423A">
        <w:t xml:space="preserve">Tablica </w:t>
      </w:r>
      <w:r w:rsidR="00E5423A">
        <w:rPr>
          <w:noProof/>
        </w:rPr>
        <w:t>2</w:t>
      </w:r>
      <w:r w:rsidR="00E5423A">
        <w:noBreakHyphen/>
      </w:r>
      <w:r w:rsidR="00E5423A">
        <w:rPr>
          <w:noProof/>
        </w:rPr>
        <w:t>12</w:t>
      </w:r>
      <w:r w:rsidR="009E7700">
        <w:fldChar w:fldCharType="end"/>
      </w:r>
      <w:r w:rsidR="009E7700">
        <w:t>.</w:t>
      </w:r>
    </w:p>
    <w:p w14:paraId="436684F1" w14:textId="113D15B8" w:rsidR="00483668" w:rsidRDefault="00483668" w:rsidP="00F874C2">
      <w:pPr>
        <w:pStyle w:val="Caption"/>
      </w:pPr>
      <w:bookmarkStart w:id="216" w:name="_Ref531090111"/>
      <w:bookmarkStart w:id="217" w:name="_Toc531935344"/>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12</w:t>
      </w:r>
      <w:r w:rsidR="00B22048">
        <w:rPr>
          <w:noProof/>
        </w:rPr>
        <w:fldChar w:fldCharType="end"/>
      </w:r>
      <w:bookmarkEnd w:id="216"/>
      <w:r>
        <w:t xml:space="preserve">: </w:t>
      </w:r>
      <w:r w:rsidR="00861C49">
        <w:t xml:space="preserve">Okvirni nacionalni ciljevi energetske učinkovitosti </w:t>
      </w:r>
      <w:r w:rsidR="0074740C">
        <w:t>u 2030. godini</w:t>
      </w:r>
      <w:bookmarkEnd w:id="217"/>
    </w:p>
    <w:tbl>
      <w:tblPr>
        <w:tblStyle w:val="GridTable1Light"/>
        <w:tblW w:w="5000" w:type="pct"/>
        <w:tblLook w:val="04A0" w:firstRow="1" w:lastRow="0" w:firstColumn="1" w:lastColumn="0" w:noHBand="0" w:noVBand="1"/>
      </w:tblPr>
      <w:tblGrid>
        <w:gridCol w:w="3850"/>
        <w:gridCol w:w="2722"/>
        <w:gridCol w:w="2490"/>
      </w:tblGrid>
      <w:tr w:rsidR="00FD6B3A" w:rsidRPr="00F874C2" w14:paraId="75CF1404" w14:textId="5BAE4A40" w:rsidTr="00976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74E290B" w14:textId="256547CF" w:rsidR="00FD6B3A" w:rsidRPr="00EF2873" w:rsidRDefault="00FD6B3A" w:rsidP="00F874C2">
            <w:pPr>
              <w:spacing w:before="0" w:after="0" w:line="240" w:lineRule="auto"/>
              <w:rPr>
                <w:rFonts w:cstheme="minorHAnsi"/>
                <w:sz w:val="20"/>
                <w:szCs w:val="20"/>
              </w:rPr>
            </w:pPr>
            <w:r w:rsidRPr="00EF2873">
              <w:rPr>
                <w:rFonts w:cstheme="minorHAnsi"/>
                <w:sz w:val="20"/>
                <w:szCs w:val="20"/>
              </w:rPr>
              <w:t>Ciljevi 2030.</w:t>
            </w:r>
          </w:p>
        </w:tc>
        <w:tc>
          <w:tcPr>
            <w:tcW w:w="0" w:type="pct"/>
          </w:tcPr>
          <w:p w14:paraId="4C739A9A" w14:textId="6480A28A" w:rsidR="0082221E" w:rsidRPr="00F2078C" w:rsidRDefault="0082221E" w:rsidP="00F207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8C">
              <w:rPr>
                <w:rFonts w:cstheme="minorHAnsi"/>
                <w:sz w:val="20"/>
                <w:szCs w:val="20"/>
              </w:rPr>
              <w:t>PJ</w:t>
            </w:r>
          </w:p>
        </w:tc>
        <w:tc>
          <w:tcPr>
            <w:tcW w:w="1374" w:type="pct"/>
          </w:tcPr>
          <w:p w14:paraId="48635782" w14:textId="1C109FCF" w:rsidR="00FD6B3A" w:rsidRPr="00EF2873" w:rsidRDefault="0082221E" w:rsidP="00F207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8C">
              <w:rPr>
                <w:rFonts w:cstheme="minorHAnsi"/>
                <w:sz w:val="20"/>
                <w:szCs w:val="20"/>
              </w:rPr>
              <w:t>Mten</w:t>
            </w:r>
          </w:p>
        </w:tc>
      </w:tr>
      <w:tr w:rsidR="00FD6B3A" w:rsidRPr="00F874C2" w14:paraId="609FAE9C" w14:textId="77D6F1C1" w:rsidTr="0082221E">
        <w:tc>
          <w:tcPr>
            <w:cnfStyle w:val="001000000000" w:firstRow="0" w:lastRow="0" w:firstColumn="1" w:lastColumn="0" w:oddVBand="0" w:evenVBand="0" w:oddHBand="0" w:evenHBand="0" w:firstRowFirstColumn="0" w:firstRowLastColumn="0" w:lastRowFirstColumn="0" w:lastRowLastColumn="0"/>
            <w:tcW w:w="2124" w:type="pct"/>
          </w:tcPr>
          <w:p w14:paraId="243FCB73" w14:textId="6BC62B41" w:rsidR="00FD6B3A" w:rsidRPr="00EF2873" w:rsidRDefault="00FD6B3A" w:rsidP="00F874C2">
            <w:pPr>
              <w:spacing w:before="0" w:after="0" w:line="240" w:lineRule="auto"/>
              <w:rPr>
                <w:rFonts w:cstheme="minorHAnsi"/>
                <w:sz w:val="20"/>
                <w:szCs w:val="20"/>
              </w:rPr>
            </w:pPr>
            <w:r w:rsidRPr="00EF2873">
              <w:rPr>
                <w:rFonts w:cstheme="minorHAnsi"/>
                <w:sz w:val="20"/>
                <w:szCs w:val="20"/>
              </w:rPr>
              <w:t>Primarna potrošnja</w:t>
            </w:r>
          </w:p>
        </w:tc>
        <w:tc>
          <w:tcPr>
            <w:tcW w:w="1502" w:type="pct"/>
          </w:tcPr>
          <w:p w14:paraId="6E201A59" w14:textId="658BC2FC" w:rsidR="00FD6B3A" w:rsidRPr="00EF2873" w:rsidRDefault="00FD6B3A" w:rsidP="009107C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07C9">
              <w:rPr>
                <w:rFonts w:cstheme="minorHAnsi"/>
                <w:sz w:val="20"/>
                <w:szCs w:val="20"/>
              </w:rPr>
              <w:t>367</w:t>
            </w:r>
            <w:r>
              <w:rPr>
                <w:rFonts w:cstheme="minorHAnsi"/>
                <w:sz w:val="20"/>
                <w:szCs w:val="20"/>
              </w:rPr>
              <w:t>,</w:t>
            </w:r>
            <w:r w:rsidRPr="009107C9">
              <w:rPr>
                <w:rFonts w:cstheme="minorHAnsi"/>
                <w:sz w:val="20"/>
                <w:szCs w:val="20"/>
              </w:rPr>
              <w:t>7</w:t>
            </w:r>
            <w:r>
              <w:rPr>
                <w:rFonts w:cstheme="minorHAnsi"/>
                <w:sz w:val="20"/>
                <w:szCs w:val="20"/>
              </w:rPr>
              <w:t>6</w:t>
            </w:r>
          </w:p>
        </w:tc>
        <w:tc>
          <w:tcPr>
            <w:tcW w:w="1374" w:type="pct"/>
          </w:tcPr>
          <w:p w14:paraId="0C0563F7" w14:textId="051DB6CB" w:rsidR="00FD6B3A" w:rsidRPr="00EF2873" w:rsidRDefault="00FD6B3A" w:rsidP="009107C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C53">
              <w:rPr>
                <w:rFonts w:cstheme="minorHAnsi"/>
                <w:sz w:val="20"/>
                <w:szCs w:val="20"/>
              </w:rPr>
              <w:t>8</w:t>
            </w:r>
            <w:r>
              <w:rPr>
                <w:rFonts w:cstheme="minorHAnsi"/>
                <w:sz w:val="20"/>
                <w:szCs w:val="20"/>
              </w:rPr>
              <w:t>,</w:t>
            </w:r>
            <w:r w:rsidRPr="00DD3C53">
              <w:rPr>
                <w:rFonts w:cstheme="minorHAnsi"/>
                <w:sz w:val="20"/>
                <w:szCs w:val="20"/>
              </w:rPr>
              <w:t>78</w:t>
            </w:r>
          </w:p>
        </w:tc>
      </w:tr>
      <w:tr w:rsidR="00FD6B3A" w:rsidRPr="00F874C2" w14:paraId="07FF6014" w14:textId="536A6C2D" w:rsidTr="0082221E">
        <w:tc>
          <w:tcPr>
            <w:cnfStyle w:val="001000000000" w:firstRow="0" w:lastRow="0" w:firstColumn="1" w:lastColumn="0" w:oddVBand="0" w:evenVBand="0" w:oddHBand="0" w:evenHBand="0" w:firstRowFirstColumn="0" w:firstRowLastColumn="0" w:lastRowFirstColumn="0" w:lastRowLastColumn="0"/>
            <w:tcW w:w="2124" w:type="pct"/>
          </w:tcPr>
          <w:p w14:paraId="68FA6E43" w14:textId="5C53E6DC" w:rsidR="00FD6B3A" w:rsidRPr="00EF2873" w:rsidRDefault="00FD6B3A" w:rsidP="00C64E27">
            <w:pPr>
              <w:spacing w:before="0" w:after="0" w:line="240" w:lineRule="auto"/>
              <w:rPr>
                <w:rFonts w:cstheme="minorHAnsi"/>
                <w:sz w:val="20"/>
                <w:szCs w:val="20"/>
              </w:rPr>
            </w:pPr>
            <w:r w:rsidRPr="00EF2873">
              <w:rPr>
                <w:rFonts w:cstheme="minorHAnsi"/>
                <w:sz w:val="20"/>
                <w:szCs w:val="20"/>
              </w:rPr>
              <w:t>Neposredna potrošnja</w:t>
            </w:r>
          </w:p>
        </w:tc>
        <w:tc>
          <w:tcPr>
            <w:tcW w:w="1502" w:type="pct"/>
          </w:tcPr>
          <w:p w14:paraId="3C043203" w14:textId="47E92AF9" w:rsidR="00FD6B3A" w:rsidRPr="00EF2873" w:rsidRDefault="00FD6B3A" w:rsidP="007D108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D1087">
              <w:rPr>
                <w:rFonts w:cstheme="minorHAnsi"/>
                <w:sz w:val="20"/>
                <w:szCs w:val="20"/>
              </w:rPr>
              <w:t>286</w:t>
            </w:r>
            <w:r>
              <w:rPr>
                <w:rFonts w:cstheme="minorHAnsi"/>
                <w:sz w:val="20"/>
                <w:szCs w:val="20"/>
              </w:rPr>
              <w:t>,</w:t>
            </w:r>
            <w:r w:rsidRPr="007D1087">
              <w:rPr>
                <w:rFonts w:cstheme="minorHAnsi"/>
                <w:sz w:val="20"/>
                <w:szCs w:val="20"/>
              </w:rPr>
              <w:t>91</w:t>
            </w:r>
          </w:p>
        </w:tc>
        <w:tc>
          <w:tcPr>
            <w:tcW w:w="1374" w:type="pct"/>
          </w:tcPr>
          <w:p w14:paraId="34C4CD12" w14:textId="0194D3E9" w:rsidR="00FD6B3A" w:rsidRPr="00EF2873" w:rsidRDefault="00FD6B3A" w:rsidP="009107C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C53">
              <w:rPr>
                <w:rFonts w:cstheme="minorHAnsi"/>
                <w:sz w:val="20"/>
                <w:szCs w:val="20"/>
              </w:rPr>
              <w:t>6</w:t>
            </w:r>
            <w:r>
              <w:rPr>
                <w:rFonts w:cstheme="minorHAnsi"/>
                <w:sz w:val="20"/>
                <w:szCs w:val="20"/>
              </w:rPr>
              <w:t>,</w:t>
            </w:r>
            <w:r w:rsidRPr="00DD3C53">
              <w:rPr>
                <w:rFonts w:cstheme="minorHAnsi"/>
                <w:sz w:val="20"/>
                <w:szCs w:val="20"/>
              </w:rPr>
              <w:t>85</w:t>
            </w:r>
          </w:p>
        </w:tc>
      </w:tr>
    </w:tbl>
    <w:p w14:paraId="452F4A25" w14:textId="2D7C1E71" w:rsidR="007D7BFF" w:rsidRPr="004D0C10" w:rsidRDefault="007D7BFF" w:rsidP="007D7BFF">
      <w:pPr>
        <w:spacing w:before="0" w:line="240" w:lineRule="auto"/>
        <w:jc w:val="center"/>
        <w:rPr>
          <w:i/>
          <w:sz w:val="20"/>
        </w:rPr>
      </w:pPr>
      <w:r w:rsidRPr="004D0C10">
        <w:rPr>
          <w:i/>
          <w:sz w:val="20"/>
        </w:rPr>
        <w:t xml:space="preserve">Izvor: </w:t>
      </w:r>
      <w:r w:rsidRPr="007D7BFF">
        <w:rPr>
          <w:i/>
          <w:sz w:val="20"/>
        </w:rPr>
        <w:t>Analize i podloge za izradu energetske strategije Republike Hrvatske</w:t>
      </w:r>
    </w:p>
    <w:p w14:paraId="6452A049" w14:textId="104AE7C3" w:rsidR="00E5423A" w:rsidRPr="004A4E42" w:rsidRDefault="00C973CE" w:rsidP="00B40E8D">
      <w:pPr>
        <w:pStyle w:val="Caption"/>
        <w:rPr>
          <w:highlight w:val="yellow"/>
        </w:rPr>
      </w:pPr>
      <w:r w:rsidRPr="004A4E42">
        <w:rPr>
          <w:highlight w:val="yellow"/>
        </w:rPr>
        <w:fldChar w:fldCharType="begin"/>
      </w:r>
      <w:r w:rsidRPr="004A4E42">
        <w:rPr>
          <w:highlight w:val="yellow"/>
        </w:rPr>
        <w:instrText xml:space="preserve"> REF _Ref531696238 \h </w:instrText>
      </w:r>
      <w:r w:rsidR="004A4E42">
        <w:rPr>
          <w:highlight w:val="yellow"/>
        </w:rPr>
        <w:instrText xml:space="preserve"> \* MERGEFORMAT </w:instrText>
      </w:r>
      <w:r w:rsidRPr="004A4E42">
        <w:rPr>
          <w:highlight w:val="yellow"/>
        </w:rPr>
      </w:r>
      <w:r w:rsidRPr="004A4E42">
        <w:rPr>
          <w:highlight w:val="yellow"/>
        </w:rPr>
        <w:fldChar w:fldCharType="separate"/>
      </w:r>
      <w:r w:rsidR="00E5423A" w:rsidRPr="004A4E42" w:rsidDel="00680358">
        <w:rPr>
          <w:highlight w:val="yellow"/>
        </w:rPr>
        <w:t xml:space="preserve">Slika </w:t>
      </w:r>
      <w:r w:rsidR="00E5423A" w:rsidRPr="004A4E42" w:rsidDel="00680358">
        <w:rPr>
          <w:noProof/>
          <w:highlight w:val="yellow"/>
        </w:rPr>
        <w:t>2</w:t>
      </w:r>
      <w:r w:rsidR="00E5423A" w:rsidRPr="004A4E42" w:rsidDel="00680358">
        <w:rPr>
          <w:highlight w:val="yellow"/>
        </w:rPr>
        <w:noBreakHyphen/>
      </w:r>
      <w:r w:rsidR="00E5423A" w:rsidRPr="004A4E42" w:rsidDel="00680358">
        <w:rPr>
          <w:noProof/>
          <w:highlight w:val="yellow"/>
        </w:rPr>
        <w:t>6</w:t>
      </w:r>
      <w:r w:rsidR="00E5423A" w:rsidRPr="004A4E42" w:rsidDel="00680358">
        <w:rPr>
          <w:highlight w:val="yellow"/>
        </w:rPr>
        <w:t>. Kretanje potrošnje energije u razdoblju od 2020. do 2030. godine</w:t>
      </w:r>
    </w:p>
    <w:p w14:paraId="59217B3E" w14:textId="59FE16B4" w:rsidR="00FF0CF3" w:rsidRPr="004A4E42" w:rsidRDefault="00C973CE" w:rsidP="00441E3C">
      <w:pPr>
        <w:rPr>
          <w:highlight w:val="yellow"/>
        </w:rPr>
      </w:pPr>
      <w:r w:rsidRPr="004A4E42">
        <w:rPr>
          <w:highlight w:val="yellow"/>
        </w:rPr>
        <w:fldChar w:fldCharType="end"/>
      </w:r>
      <w:r w:rsidR="00680358">
        <w:rPr>
          <w:highlight w:val="yellow"/>
        </w:rPr>
        <w:fldChar w:fldCharType="begin"/>
      </w:r>
      <w:r w:rsidR="00680358">
        <w:rPr>
          <w:highlight w:val="yellow"/>
        </w:rPr>
        <w:instrText xml:space="preserve"> REF _Ref532203816 \h </w:instrText>
      </w:r>
      <w:r w:rsidR="00680358">
        <w:rPr>
          <w:highlight w:val="yellow"/>
        </w:rPr>
      </w:r>
      <w:r w:rsidR="00680358">
        <w:rPr>
          <w:highlight w:val="yellow"/>
        </w:rPr>
        <w:fldChar w:fldCharType="separate"/>
      </w:r>
      <w:r w:rsidR="00680358" w:rsidRPr="004A4E42">
        <w:rPr>
          <w:highlight w:val="yellow"/>
        </w:rPr>
        <w:t xml:space="preserve">Slika </w:t>
      </w:r>
      <w:r w:rsidR="00680358" w:rsidRPr="004A4E42">
        <w:rPr>
          <w:noProof/>
          <w:highlight w:val="yellow"/>
        </w:rPr>
        <w:t>2</w:t>
      </w:r>
      <w:r w:rsidR="00680358" w:rsidRPr="004A4E42">
        <w:rPr>
          <w:highlight w:val="yellow"/>
        </w:rPr>
        <w:noBreakHyphen/>
      </w:r>
      <w:r w:rsidR="00680358" w:rsidRPr="004A4E42">
        <w:rPr>
          <w:noProof/>
          <w:highlight w:val="yellow"/>
        </w:rPr>
        <w:t>5</w:t>
      </w:r>
      <w:r w:rsidR="00680358">
        <w:rPr>
          <w:highlight w:val="yellow"/>
        </w:rPr>
        <w:fldChar w:fldCharType="end"/>
      </w:r>
      <w:r w:rsidR="00326826" w:rsidRPr="004A4E42">
        <w:rPr>
          <w:highlight w:val="yellow"/>
        </w:rPr>
        <w:t xml:space="preserve"> </w:t>
      </w:r>
      <w:r w:rsidR="00791163" w:rsidRPr="004A4E42">
        <w:rPr>
          <w:highlight w:val="yellow"/>
        </w:rPr>
        <w:t xml:space="preserve">prikazuje </w:t>
      </w:r>
      <w:r w:rsidR="00D95F7A" w:rsidRPr="004A4E42">
        <w:rPr>
          <w:highlight w:val="yellow"/>
        </w:rPr>
        <w:t xml:space="preserve">kretanje potrošnje </w:t>
      </w:r>
      <w:r w:rsidR="00602693" w:rsidRPr="004A4E42">
        <w:rPr>
          <w:highlight w:val="yellow"/>
        </w:rPr>
        <w:t xml:space="preserve">energije po godinama </w:t>
      </w:r>
      <w:r w:rsidR="00791163" w:rsidRPr="004A4E42">
        <w:rPr>
          <w:highlight w:val="yellow"/>
        </w:rPr>
        <w:t xml:space="preserve">u razdoblju od 2020. do 2030. godine. </w:t>
      </w:r>
    </w:p>
    <w:p w14:paraId="728F06AF" w14:textId="60451636" w:rsidR="00ED6587" w:rsidRPr="00976062" w:rsidRDefault="00A97047" w:rsidP="00046D46">
      <w:pPr>
        <w:pStyle w:val="Caption"/>
      </w:pPr>
      <w:bookmarkStart w:id="218" w:name="_Ref531094076"/>
      <w:r w:rsidRPr="00976062">
        <w:rPr>
          <w:noProof/>
        </w:rPr>
        <w:drawing>
          <wp:inline distT="0" distB="0" distL="0" distR="0" wp14:anchorId="475601E8" wp14:editId="784B9567">
            <wp:extent cx="5760085" cy="4086225"/>
            <wp:effectExtent l="0" t="0" r="12065" b="9525"/>
            <wp:docPr id="1" name="Chart 1">
              <a:extLst xmlns:a="http://schemas.openxmlformats.org/drawingml/2006/main">
                <a:ext uri="{FF2B5EF4-FFF2-40B4-BE49-F238E27FC236}">
                  <a16:creationId xmlns:a16="http://schemas.microsoft.com/office/drawing/2014/main" id="{A3782720-4296-4BEE-9ECE-DC941D4F6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F1804E" w14:textId="68671C0F" w:rsidR="00B40E8D" w:rsidRDefault="00B40E8D" w:rsidP="00B40E8D">
      <w:pPr>
        <w:pStyle w:val="Caption"/>
      </w:pPr>
      <w:bookmarkStart w:id="219" w:name="_Toc531935286"/>
      <w:bookmarkStart w:id="220" w:name="_Ref531696238"/>
      <w:bookmarkStart w:id="221" w:name="_Ref532203816"/>
      <w:r w:rsidRPr="00976062">
        <w:t xml:space="preserve">Slika </w:t>
      </w:r>
      <w:fldSimple w:instr=" STYLEREF 1 \s ">
        <w:r w:rsidR="00856D97" w:rsidRPr="00976062">
          <w:t>2</w:t>
        </w:r>
      </w:fldSimple>
      <w:r w:rsidR="00856D97" w:rsidRPr="00976062">
        <w:noBreakHyphen/>
      </w:r>
      <w:fldSimple w:instr=" SEQ Slika \* ARABIC \s 1 ">
        <w:r w:rsidR="00856D97" w:rsidRPr="00976062">
          <w:t>5</w:t>
        </w:r>
      </w:fldSimple>
      <w:bookmarkEnd w:id="221"/>
      <w:r w:rsidRPr="00976062">
        <w:t>. Kretanje potrošnje energije u razdoblju od 2020. do 2030. godine</w:t>
      </w:r>
      <w:bookmarkEnd w:id="219"/>
    </w:p>
    <w:bookmarkEnd w:id="218"/>
    <w:bookmarkEnd w:id="220"/>
    <w:p w14:paraId="2FB821AB" w14:textId="7962E28F" w:rsidR="00C40F03" w:rsidRDefault="00C40F03" w:rsidP="00C40F03">
      <w:r>
        <w:t xml:space="preserve">Projekcija </w:t>
      </w:r>
      <w:r w:rsidR="00B40E8D">
        <w:t xml:space="preserve">neposredne </w:t>
      </w:r>
      <w:r>
        <w:t xml:space="preserve">potrošnje svih oblika energije (npr. fosilna goriva, biomasa, sunčeva energija, električna energija i dr.) izrađena je korištenjem odozdo prema gore (engl. bottom-up) pristupa koji omogućava sagledavanje strukturnih promjena na strani korištenja energije u različitim sektorima (npr. industrija, kućanstva, uslužni sektor, promet), a koje su nužne za ostvarenje ciljeva ublažavanja klimatskih promjena. Korišten je model MAED (engl. Model for Analysis of Energy Demand) za analizu </w:t>
      </w:r>
      <w:r w:rsidR="00B40E8D">
        <w:t xml:space="preserve">neposredne </w:t>
      </w:r>
      <w:r>
        <w:t xml:space="preserve">potrošnje energije. </w:t>
      </w:r>
    </w:p>
    <w:p w14:paraId="3410B88D" w14:textId="466A95F7" w:rsidR="00C40F03" w:rsidRDefault="00C40F03" w:rsidP="00C40F03">
      <w:r>
        <w:t xml:space="preserve">Scenarij </w:t>
      </w:r>
      <w:r w:rsidR="00B40E8D">
        <w:t xml:space="preserve">neposredne </w:t>
      </w:r>
      <w:r>
        <w:t>potrošnje svih oblika energije uzima u obzir potrebno smanjenje emisije stakleničkih plinova do 2030./2050. godine iz svih sektora potrošnje, kao i povratne utjecaje očekivanih klimatskih promjena na načine i dinamiku potrošnje različitih oblika energije (npr. promjene u sezonskom načinu korištenja energije, promjena potreba za grijanjem i hlađenjem prostora i sl.).</w:t>
      </w:r>
      <w:r w:rsidR="00B40E8D">
        <w:t xml:space="preserve"> </w:t>
      </w:r>
      <w:r>
        <w:t xml:space="preserve">Potrošnja energije i pokretački parametri (npr. broj i struktura stanovnika, struktura BDP- a i dr.) obrađeni su podjelom teritorija RH na dva zemljopisna područja – </w:t>
      </w:r>
      <w:r w:rsidR="00B40E8D">
        <w:t>k</w:t>
      </w:r>
      <w:r>
        <w:t xml:space="preserve">ontinentalna Hrvatska i </w:t>
      </w:r>
      <w:r w:rsidR="00B40E8D">
        <w:t>j</w:t>
      </w:r>
      <w:r>
        <w:t>adranska Hrvatska (službene statističke regije).</w:t>
      </w:r>
    </w:p>
    <w:p w14:paraId="0084C1C2" w14:textId="13DD31A8" w:rsidR="00C40F03" w:rsidRDefault="004A4E42" w:rsidP="00C40F03">
      <w:r>
        <w:t>P</w:t>
      </w:r>
      <w:r w:rsidR="00C40F03">
        <w:t xml:space="preserve">olazeći od raspoloživosti lokalnih resursa i izvora primarnih oblika energije, analizirana je mogućnosti zadovoljenja potreba svim oblicima energije (npr. toplinska, električna, prirodni plin, biomasa i dr.). Za umrežene sustave (npr. električna energija, prirodni plin) provedena je analiza i optimizacija rada i razvoja sustava proizvodnje, prijenosa/transporta i distribucije energije do krajnjih korisnika po načelu minimalnog troška, a uzimajući u obzir ograničenja utjecaja na okoliš (uključivo emisije stakleničkih plinova), strateške odrednice u dijelu sigurnosti opskrbe energijom i utjecaj sudjelovanja u radu regionalnog tržišta (moguća suradnja u iskorištenju regionalnog energetskog potencijala i dijeljenje infrastrukture). Uzeti su u obzir raspoloživost i stanje postojeće energetske infrastrukture, potrebna zamjena elemenata i izgradnja novih elemenata sustava (npr. elektrane, dalekovodi, cjevovodi i dr.). </w:t>
      </w:r>
    </w:p>
    <w:p w14:paraId="181B3EC6" w14:textId="1C7FE285" w:rsidR="00791163" w:rsidRDefault="00C40F03" w:rsidP="00441E3C">
      <w:r>
        <w:t>Korišten je model MESSAGE za optimizaciju sustava električne energije i centraliziranih toplinskih sustava (u dijelu proizvodnje toplinske energije), kao i model PLEXOS za analizu/potvrdu ostvarivosti rada elektroenergetskog sustava na satnoj razini u odabranim karakterističnim godinama.</w:t>
      </w:r>
    </w:p>
    <w:p w14:paraId="43DF70D9" w14:textId="62B3C7C0" w:rsidR="0060576D" w:rsidRPr="0060576D" w:rsidRDefault="00C40F03" w:rsidP="0060576D">
      <w:r>
        <w:t xml:space="preserve">Konverzijske faktore prikazuje </w:t>
      </w:r>
      <w:r w:rsidR="00382856">
        <w:t>donja tablica</w:t>
      </w:r>
      <w:r>
        <w:t>.</w:t>
      </w:r>
    </w:p>
    <w:p w14:paraId="044D83C8" w14:textId="66E06C84" w:rsidR="006F6244" w:rsidRDefault="006F6244" w:rsidP="00CF2D4C">
      <w:pPr>
        <w:pStyle w:val="Caption"/>
      </w:pPr>
      <w:bookmarkStart w:id="222" w:name="_Toc531935345"/>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13</w:t>
      </w:r>
      <w:r w:rsidR="00B22048">
        <w:rPr>
          <w:noProof/>
        </w:rPr>
        <w:fldChar w:fldCharType="end"/>
      </w:r>
      <w:r>
        <w:tab/>
        <w:t>Pregled korištenih konverzijskih faktora</w:t>
      </w:r>
      <w:bookmarkEnd w:id="222"/>
    </w:p>
    <w:tbl>
      <w:tblPr>
        <w:tblStyle w:val="GridTable1Light"/>
        <w:tblW w:w="5000" w:type="pct"/>
        <w:tblLook w:val="04A0" w:firstRow="1" w:lastRow="0" w:firstColumn="1" w:lastColumn="0" w:noHBand="0" w:noVBand="1"/>
      </w:tblPr>
      <w:tblGrid>
        <w:gridCol w:w="3256"/>
        <w:gridCol w:w="1276"/>
        <w:gridCol w:w="2266"/>
        <w:gridCol w:w="2264"/>
      </w:tblGrid>
      <w:tr w:rsidR="00382856" w:rsidRPr="00382856" w14:paraId="363B5CE0" w14:textId="77777777" w:rsidTr="00382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7DED90C6" w14:textId="64B5B24F" w:rsidR="00382856" w:rsidRPr="00382856" w:rsidRDefault="00382856" w:rsidP="00382856">
            <w:pPr>
              <w:spacing w:before="0" w:after="0" w:line="240" w:lineRule="auto"/>
              <w:rPr>
                <w:rFonts w:cstheme="minorHAnsi"/>
                <w:sz w:val="20"/>
                <w:szCs w:val="20"/>
              </w:rPr>
            </w:pPr>
            <w:r w:rsidRPr="00382856">
              <w:rPr>
                <w:sz w:val="20"/>
                <w:szCs w:val="20"/>
              </w:rPr>
              <w:t>Ogrjevne vrijednosti</w:t>
            </w:r>
          </w:p>
        </w:tc>
        <w:tc>
          <w:tcPr>
            <w:tcW w:w="704" w:type="pct"/>
          </w:tcPr>
          <w:p w14:paraId="47509381" w14:textId="29867DE8" w:rsidR="00382856" w:rsidRPr="00382856" w:rsidRDefault="00382856" w:rsidP="0038285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82856">
              <w:rPr>
                <w:sz w:val="20"/>
                <w:szCs w:val="20"/>
              </w:rPr>
              <w:t>Jedinica</w:t>
            </w:r>
          </w:p>
        </w:tc>
        <w:tc>
          <w:tcPr>
            <w:tcW w:w="1250" w:type="pct"/>
          </w:tcPr>
          <w:p w14:paraId="1DD7F70A" w14:textId="5D6901E1" w:rsidR="00382856" w:rsidRPr="00382856" w:rsidRDefault="00382856" w:rsidP="0038285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2856">
              <w:rPr>
                <w:sz w:val="20"/>
                <w:szCs w:val="20"/>
              </w:rPr>
              <w:t>MJ</w:t>
            </w:r>
          </w:p>
        </w:tc>
        <w:tc>
          <w:tcPr>
            <w:tcW w:w="1250" w:type="pct"/>
          </w:tcPr>
          <w:p w14:paraId="012CFEE6" w14:textId="2798F4C4" w:rsidR="00382856" w:rsidRPr="00382856" w:rsidRDefault="00382856" w:rsidP="0038285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2856">
              <w:rPr>
                <w:sz w:val="20"/>
                <w:szCs w:val="20"/>
              </w:rPr>
              <w:t>kgen</w:t>
            </w:r>
          </w:p>
        </w:tc>
      </w:tr>
      <w:tr w:rsidR="00382856" w:rsidRPr="00382856" w14:paraId="7DF25FEE"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1E66D45F" w14:textId="789FBD5B" w:rsidR="00382856" w:rsidRPr="00382856" w:rsidRDefault="00382856" w:rsidP="00382856">
            <w:pPr>
              <w:spacing w:before="0" w:after="0" w:line="240" w:lineRule="auto"/>
              <w:rPr>
                <w:rFonts w:cstheme="minorHAnsi"/>
                <w:b w:val="0"/>
                <w:sz w:val="20"/>
                <w:szCs w:val="20"/>
              </w:rPr>
            </w:pPr>
            <w:r w:rsidRPr="000C4A55">
              <w:rPr>
                <w:rFonts w:cs="Arial"/>
                <w:sz w:val="20"/>
                <w:szCs w:val="20"/>
              </w:rPr>
              <w:t>Kameni ugljen</w:t>
            </w:r>
          </w:p>
        </w:tc>
        <w:tc>
          <w:tcPr>
            <w:tcW w:w="704" w:type="pct"/>
          </w:tcPr>
          <w:p w14:paraId="69EDFB07" w14:textId="0E01A2A4" w:rsidR="00382856" w:rsidRPr="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69C4366C" w14:textId="12538445" w:rsidR="00382856" w:rsidRPr="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24,28-29,31</w:t>
            </w:r>
          </w:p>
        </w:tc>
        <w:tc>
          <w:tcPr>
            <w:tcW w:w="1250" w:type="pct"/>
          </w:tcPr>
          <w:p w14:paraId="79FD1A99" w14:textId="66872638" w:rsidR="00382856" w:rsidRPr="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0,580-0,700</w:t>
            </w:r>
          </w:p>
        </w:tc>
      </w:tr>
      <w:tr w:rsidR="00382856" w:rsidRPr="00382856" w14:paraId="6567FA71"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7EF4348B" w14:textId="69D20DFB" w:rsidR="00382856" w:rsidRPr="00382856" w:rsidRDefault="00382856" w:rsidP="00382856">
            <w:pPr>
              <w:spacing w:before="0" w:after="0" w:line="240" w:lineRule="auto"/>
              <w:rPr>
                <w:rFonts w:cstheme="minorHAnsi"/>
                <w:b w:val="0"/>
                <w:sz w:val="20"/>
                <w:szCs w:val="20"/>
              </w:rPr>
            </w:pPr>
            <w:r w:rsidRPr="000C4A55">
              <w:rPr>
                <w:rFonts w:cs="Arial"/>
                <w:sz w:val="20"/>
                <w:szCs w:val="20"/>
              </w:rPr>
              <w:t>Kameni ugljen za koksiranje</w:t>
            </w:r>
          </w:p>
        </w:tc>
        <w:tc>
          <w:tcPr>
            <w:tcW w:w="704" w:type="pct"/>
          </w:tcPr>
          <w:p w14:paraId="7990AD75" w14:textId="3A6F35A5"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E5B502C" w14:textId="5769BE27"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29,31</w:t>
            </w:r>
          </w:p>
        </w:tc>
        <w:tc>
          <w:tcPr>
            <w:tcW w:w="1250" w:type="pct"/>
          </w:tcPr>
          <w:p w14:paraId="501F8CC3" w14:textId="0EB0B563"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0,700</w:t>
            </w:r>
          </w:p>
        </w:tc>
      </w:tr>
      <w:tr w:rsidR="00382856" w:rsidRPr="00382856" w14:paraId="675B9646"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60D6BC66" w14:textId="2C2B5AED" w:rsidR="00382856" w:rsidRPr="00382856" w:rsidRDefault="00382856" w:rsidP="00382856">
            <w:pPr>
              <w:spacing w:before="0" w:after="0" w:line="240" w:lineRule="auto"/>
              <w:rPr>
                <w:rFonts w:cstheme="minorHAnsi"/>
                <w:b w:val="0"/>
                <w:sz w:val="20"/>
                <w:szCs w:val="20"/>
              </w:rPr>
            </w:pPr>
            <w:r w:rsidRPr="000C4A55">
              <w:rPr>
                <w:rFonts w:cs="Arial"/>
                <w:sz w:val="20"/>
                <w:szCs w:val="20"/>
              </w:rPr>
              <w:t>Mrki ugljen</w:t>
            </w:r>
          </w:p>
        </w:tc>
        <w:tc>
          <w:tcPr>
            <w:tcW w:w="704" w:type="pct"/>
          </w:tcPr>
          <w:p w14:paraId="29068F7D" w14:textId="164C064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BBB809A" w14:textId="7D996C8A"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16,75-19,26</w:t>
            </w:r>
          </w:p>
        </w:tc>
        <w:tc>
          <w:tcPr>
            <w:tcW w:w="1250" w:type="pct"/>
          </w:tcPr>
          <w:p w14:paraId="63419E1C" w14:textId="01E5E46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0,400-0,460</w:t>
            </w:r>
          </w:p>
        </w:tc>
      </w:tr>
      <w:tr w:rsidR="00382856" w:rsidRPr="00382856" w14:paraId="571F3480"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3FA0F02B" w14:textId="6B78A121" w:rsidR="00382856" w:rsidRPr="00382856" w:rsidRDefault="00382856" w:rsidP="00382856">
            <w:pPr>
              <w:spacing w:before="0" w:after="0" w:line="240" w:lineRule="auto"/>
              <w:rPr>
                <w:rFonts w:cstheme="minorHAnsi"/>
                <w:b w:val="0"/>
                <w:sz w:val="20"/>
                <w:szCs w:val="20"/>
              </w:rPr>
            </w:pPr>
            <w:r w:rsidRPr="000C4A55">
              <w:rPr>
                <w:rFonts w:cs="Arial"/>
                <w:sz w:val="20"/>
                <w:szCs w:val="20"/>
              </w:rPr>
              <w:t>Lignit</w:t>
            </w:r>
          </w:p>
        </w:tc>
        <w:tc>
          <w:tcPr>
            <w:tcW w:w="704" w:type="pct"/>
          </w:tcPr>
          <w:p w14:paraId="1C2A7B50" w14:textId="0DCA5B0A"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24C96FCD" w14:textId="27135657"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9,63-12,56</w:t>
            </w:r>
          </w:p>
        </w:tc>
        <w:tc>
          <w:tcPr>
            <w:tcW w:w="1250" w:type="pct"/>
          </w:tcPr>
          <w:p w14:paraId="5ED2C6BD" w14:textId="2BE41AED"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0,230-0,300</w:t>
            </w:r>
          </w:p>
        </w:tc>
      </w:tr>
      <w:tr w:rsidR="00382856" w:rsidRPr="00382856" w14:paraId="1A540938"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023D0DEA" w14:textId="68E9CF56" w:rsidR="00382856" w:rsidRPr="00382856" w:rsidRDefault="00382856" w:rsidP="00382856">
            <w:pPr>
              <w:spacing w:before="0" w:after="0" w:line="240" w:lineRule="auto"/>
              <w:rPr>
                <w:rFonts w:cstheme="minorHAnsi"/>
                <w:b w:val="0"/>
                <w:sz w:val="20"/>
                <w:szCs w:val="20"/>
              </w:rPr>
            </w:pPr>
            <w:r w:rsidRPr="000C4A55">
              <w:rPr>
                <w:rFonts w:cs="Arial"/>
                <w:sz w:val="20"/>
                <w:szCs w:val="20"/>
              </w:rPr>
              <w:t>Koks</w:t>
            </w:r>
          </w:p>
        </w:tc>
        <w:tc>
          <w:tcPr>
            <w:tcW w:w="704" w:type="pct"/>
          </w:tcPr>
          <w:p w14:paraId="7B4B7E3B" w14:textId="6CC3FCE4"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1A368E6E" w14:textId="35C9B13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26,38-29,31</w:t>
            </w:r>
          </w:p>
        </w:tc>
        <w:tc>
          <w:tcPr>
            <w:tcW w:w="1250" w:type="pct"/>
          </w:tcPr>
          <w:p w14:paraId="3A02D938" w14:textId="159F49B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0,630-0,700</w:t>
            </w:r>
          </w:p>
        </w:tc>
      </w:tr>
      <w:tr w:rsidR="00382856" w:rsidRPr="00382856" w14:paraId="571978F5"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24F274F3" w14:textId="1ADCC68E" w:rsidR="00382856" w:rsidRPr="00382856" w:rsidRDefault="00382856" w:rsidP="00382856">
            <w:pPr>
              <w:spacing w:before="0" w:after="0" w:line="240" w:lineRule="auto"/>
              <w:rPr>
                <w:rFonts w:cstheme="minorHAnsi"/>
                <w:b w:val="0"/>
                <w:sz w:val="20"/>
                <w:szCs w:val="20"/>
              </w:rPr>
            </w:pPr>
            <w:r w:rsidRPr="000C4A55">
              <w:rPr>
                <w:rFonts w:cs="Arial"/>
                <w:sz w:val="20"/>
                <w:szCs w:val="20"/>
              </w:rPr>
              <w:t>Ogrjevno drvo</w:t>
            </w:r>
          </w:p>
        </w:tc>
        <w:tc>
          <w:tcPr>
            <w:tcW w:w="704" w:type="pct"/>
          </w:tcPr>
          <w:p w14:paraId="047D4C52" w14:textId="22BA08D5"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dm</w:t>
            </w:r>
            <w:r w:rsidRPr="000C4A55">
              <w:rPr>
                <w:rFonts w:cs="Arial"/>
                <w:sz w:val="20"/>
                <w:szCs w:val="20"/>
                <w:vertAlign w:val="superscript"/>
              </w:rPr>
              <w:t>3</w:t>
            </w:r>
          </w:p>
        </w:tc>
        <w:tc>
          <w:tcPr>
            <w:tcW w:w="1250" w:type="pct"/>
          </w:tcPr>
          <w:p w14:paraId="55E5A88D" w14:textId="55F1A5A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9,00</w:t>
            </w:r>
          </w:p>
        </w:tc>
        <w:tc>
          <w:tcPr>
            <w:tcW w:w="1250" w:type="pct"/>
          </w:tcPr>
          <w:p w14:paraId="667FFCFE" w14:textId="326CBC14"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0,215</w:t>
            </w:r>
          </w:p>
        </w:tc>
      </w:tr>
      <w:tr w:rsidR="00382856" w:rsidRPr="00382856" w14:paraId="168F884D"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0742434C" w14:textId="10781EE4" w:rsidR="00382856" w:rsidRPr="00382856" w:rsidRDefault="00382856" w:rsidP="00382856">
            <w:pPr>
              <w:spacing w:before="0" w:after="0" w:line="240" w:lineRule="auto"/>
              <w:rPr>
                <w:rFonts w:cstheme="minorHAnsi"/>
                <w:b w:val="0"/>
                <w:sz w:val="20"/>
                <w:szCs w:val="20"/>
              </w:rPr>
            </w:pPr>
            <w:r w:rsidRPr="000C4A55">
              <w:rPr>
                <w:rFonts w:cs="Arial"/>
                <w:sz w:val="20"/>
                <w:szCs w:val="20"/>
              </w:rPr>
              <w:t>Biodizel</w:t>
            </w:r>
          </w:p>
        </w:tc>
        <w:tc>
          <w:tcPr>
            <w:tcW w:w="704" w:type="pct"/>
          </w:tcPr>
          <w:p w14:paraId="141C6A7E" w14:textId="6B45B93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212E19E0" w14:textId="6CDF4925"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36,90</w:t>
            </w:r>
          </w:p>
        </w:tc>
        <w:tc>
          <w:tcPr>
            <w:tcW w:w="1250" w:type="pct"/>
          </w:tcPr>
          <w:p w14:paraId="00A35F66" w14:textId="4D060C7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0,884</w:t>
            </w:r>
          </w:p>
        </w:tc>
      </w:tr>
      <w:tr w:rsidR="00382856" w:rsidRPr="00382856" w14:paraId="294B910E"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1B6CA6F3" w14:textId="7C1862ED" w:rsidR="00382856" w:rsidRPr="00382856" w:rsidRDefault="00382856" w:rsidP="00382856">
            <w:pPr>
              <w:spacing w:before="0" w:after="0" w:line="240" w:lineRule="auto"/>
              <w:rPr>
                <w:rFonts w:cstheme="minorHAnsi"/>
                <w:b w:val="0"/>
                <w:sz w:val="20"/>
                <w:szCs w:val="20"/>
              </w:rPr>
            </w:pPr>
            <w:r w:rsidRPr="000C4A55">
              <w:rPr>
                <w:rFonts w:cs="Arial"/>
                <w:sz w:val="20"/>
                <w:szCs w:val="20"/>
              </w:rPr>
              <w:t>Bioetanol</w:t>
            </w:r>
          </w:p>
        </w:tc>
        <w:tc>
          <w:tcPr>
            <w:tcW w:w="704" w:type="pct"/>
          </w:tcPr>
          <w:p w14:paraId="324D875E" w14:textId="4E98256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634EDD20" w14:textId="3DE0558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26,67</w:t>
            </w:r>
          </w:p>
        </w:tc>
        <w:tc>
          <w:tcPr>
            <w:tcW w:w="1250" w:type="pct"/>
          </w:tcPr>
          <w:p w14:paraId="6386111E" w14:textId="623D3BA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0,637</w:t>
            </w:r>
          </w:p>
        </w:tc>
      </w:tr>
      <w:tr w:rsidR="00382856" w:rsidRPr="00382856" w14:paraId="7B37C606"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264507DA" w14:textId="62279225" w:rsidR="00382856" w:rsidRPr="00382856" w:rsidRDefault="00382856" w:rsidP="00382856">
            <w:pPr>
              <w:spacing w:before="0" w:after="0" w:line="240" w:lineRule="auto"/>
              <w:rPr>
                <w:rFonts w:cstheme="minorHAnsi"/>
                <w:b w:val="0"/>
                <w:sz w:val="20"/>
                <w:szCs w:val="20"/>
              </w:rPr>
            </w:pPr>
            <w:r w:rsidRPr="000C4A55">
              <w:rPr>
                <w:rFonts w:cs="Arial"/>
                <w:sz w:val="20"/>
                <w:szCs w:val="20"/>
              </w:rPr>
              <w:t>Deponijski plin</w:t>
            </w:r>
          </w:p>
        </w:tc>
        <w:tc>
          <w:tcPr>
            <w:tcW w:w="704" w:type="pct"/>
          </w:tcPr>
          <w:p w14:paraId="414AFF1A" w14:textId="231E930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7529582B" w14:textId="66FB1123"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17,00</w:t>
            </w:r>
          </w:p>
        </w:tc>
        <w:tc>
          <w:tcPr>
            <w:tcW w:w="1250" w:type="pct"/>
          </w:tcPr>
          <w:p w14:paraId="4E284DA6" w14:textId="48CD624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0,406</w:t>
            </w:r>
          </w:p>
        </w:tc>
      </w:tr>
      <w:tr w:rsidR="00382856" w:rsidRPr="00382856" w14:paraId="4AE47716"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25B4C386" w14:textId="0A3F18BB" w:rsidR="00382856" w:rsidRPr="00382856" w:rsidRDefault="00382856" w:rsidP="00382856">
            <w:pPr>
              <w:spacing w:before="0" w:after="0" w:line="240" w:lineRule="auto"/>
              <w:rPr>
                <w:rFonts w:cstheme="minorHAnsi"/>
                <w:b w:val="0"/>
                <w:sz w:val="20"/>
                <w:szCs w:val="20"/>
              </w:rPr>
            </w:pPr>
            <w:r w:rsidRPr="000C4A55">
              <w:rPr>
                <w:rFonts w:cs="Arial"/>
                <w:sz w:val="20"/>
                <w:szCs w:val="20"/>
              </w:rPr>
              <w:t>Bioplin</w:t>
            </w:r>
          </w:p>
        </w:tc>
        <w:tc>
          <w:tcPr>
            <w:tcW w:w="704" w:type="pct"/>
          </w:tcPr>
          <w:p w14:paraId="22BDC286" w14:textId="31A46B7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64DC5629" w14:textId="0BBC850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18-20</w:t>
            </w:r>
          </w:p>
        </w:tc>
        <w:tc>
          <w:tcPr>
            <w:tcW w:w="1250" w:type="pct"/>
          </w:tcPr>
          <w:p w14:paraId="73E247AC" w14:textId="5A486FF4"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0,430-0,478</w:t>
            </w:r>
          </w:p>
        </w:tc>
      </w:tr>
      <w:tr w:rsidR="00382856" w:rsidRPr="00382856" w14:paraId="5DC54D27"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39B96C85" w14:textId="27FBBAA2" w:rsidR="00382856" w:rsidRPr="00382856" w:rsidRDefault="00382856" w:rsidP="00382856">
            <w:pPr>
              <w:spacing w:before="0" w:after="0" w:line="240" w:lineRule="auto"/>
              <w:rPr>
                <w:rFonts w:cstheme="minorHAnsi"/>
                <w:b w:val="0"/>
                <w:sz w:val="20"/>
                <w:szCs w:val="20"/>
              </w:rPr>
            </w:pPr>
            <w:r w:rsidRPr="000C4A55">
              <w:rPr>
                <w:rFonts w:cs="Arial"/>
                <w:sz w:val="20"/>
                <w:szCs w:val="20"/>
              </w:rPr>
              <w:t>Prirodni plin</w:t>
            </w:r>
          </w:p>
        </w:tc>
        <w:tc>
          <w:tcPr>
            <w:tcW w:w="704" w:type="pct"/>
          </w:tcPr>
          <w:p w14:paraId="198508E1" w14:textId="7F33AE44"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1FB25C0F" w14:textId="7CB1699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34-35,88</w:t>
            </w:r>
          </w:p>
        </w:tc>
        <w:tc>
          <w:tcPr>
            <w:tcW w:w="1250" w:type="pct"/>
          </w:tcPr>
          <w:p w14:paraId="18826765" w14:textId="3D2D1F5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0,812-0,857</w:t>
            </w:r>
          </w:p>
        </w:tc>
      </w:tr>
      <w:tr w:rsidR="00382856" w:rsidRPr="00382856" w14:paraId="6D41F89A"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752DCB99" w14:textId="0719650B" w:rsidR="00382856" w:rsidRPr="00382856" w:rsidRDefault="00382856" w:rsidP="00382856">
            <w:pPr>
              <w:spacing w:before="0" w:after="0" w:line="240" w:lineRule="auto"/>
              <w:rPr>
                <w:rFonts w:cstheme="minorHAnsi"/>
                <w:b w:val="0"/>
                <w:sz w:val="20"/>
                <w:szCs w:val="20"/>
              </w:rPr>
            </w:pPr>
            <w:r w:rsidRPr="000C4A55">
              <w:rPr>
                <w:rFonts w:cs="Arial"/>
                <w:sz w:val="20"/>
                <w:szCs w:val="20"/>
              </w:rPr>
              <w:t>Sirova nafta</w:t>
            </w:r>
          </w:p>
        </w:tc>
        <w:tc>
          <w:tcPr>
            <w:tcW w:w="704" w:type="pct"/>
          </w:tcPr>
          <w:p w14:paraId="78E8A523" w14:textId="74460F3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101439F6" w14:textId="3EC1AD7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42,40</w:t>
            </w:r>
          </w:p>
        </w:tc>
        <w:tc>
          <w:tcPr>
            <w:tcW w:w="1250" w:type="pct"/>
          </w:tcPr>
          <w:p w14:paraId="73004AC9" w14:textId="27292A11"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1,013</w:t>
            </w:r>
          </w:p>
        </w:tc>
      </w:tr>
      <w:tr w:rsidR="00382856" w:rsidRPr="00382856" w14:paraId="477734BC"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16EB2841" w14:textId="713F949B" w:rsidR="00382856" w:rsidRPr="00382856" w:rsidRDefault="00382856" w:rsidP="00382856">
            <w:pPr>
              <w:spacing w:before="0" w:after="0" w:line="240" w:lineRule="auto"/>
              <w:rPr>
                <w:rFonts w:cstheme="minorHAnsi"/>
                <w:b w:val="0"/>
                <w:sz w:val="20"/>
                <w:szCs w:val="20"/>
              </w:rPr>
            </w:pPr>
            <w:r w:rsidRPr="000C4A55">
              <w:rPr>
                <w:rFonts w:cs="Arial"/>
                <w:sz w:val="20"/>
                <w:szCs w:val="20"/>
              </w:rPr>
              <w:t>Ukapljeni plin</w:t>
            </w:r>
          </w:p>
        </w:tc>
        <w:tc>
          <w:tcPr>
            <w:tcW w:w="704" w:type="pct"/>
          </w:tcPr>
          <w:p w14:paraId="56740646" w14:textId="2F34F49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C21A244" w14:textId="1D994A6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46,89</w:t>
            </w:r>
          </w:p>
        </w:tc>
        <w:tc>
          <w:tcPr>
            <w:tcW w:w="1250" w:type="pct"/>
          </w:tcPr>
          <w:p w14:paraId="715AE7B0" w14:textId="1CC85F0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1,120</w:t>
            </w:r>
          </w:p>
        </w:tc>
      </w:tr>
      <w:tr w:rsidR="00382856" w:rsidRPr="00382856" w14:paraId="4905B02D"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432EFC6B" w14:textId="4DF29B49" w:rsidR="00382856" w:rsidRPr="00382856" w:rsidRDefault="00382856" w:rsidP="00382856">
            <w:pPr>
              <w:spacing w:before="0" w:after="0" w:line="240" w:lineRule="auto"/>
              <w:rPr>
                <w:rFonts w:cstheme="minorHAnsi"/>
                <w:b w:val="0"/>
                <w:sz w:val="20"/>
                <w:szCs w:val="20"/>
              </w:rPr>
            </w:pPr>
            <w:r w:rsidRPr="000C4A55">
              <w:rPr>
                <w:rFonts w:cs="Arial"/>
                <w:sz w:val="20"/>
                <w:szCs w:val="20"/>
              </w:rPr>
              <w:t>Motorni benzin</w:t>
            </w:r>
          </w:p>
        </w:tc>
        <w:tc>
          <w:tcPr>
            <w:tcW w:w="704" w:type="pct"/>
          </w:tcPr>
          <w:p w14:paraId="7C9672D4" w14:textId="6F3C1024"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2C026AD" w14:textId="6E44200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44,59</w:t>
            </w:r>
          </w:p>
        </w:tc>
        <w:tc>
          <w:tcPr>
            <w:tcW w:w="1250" w:type="pct"/>
          </w:tcPr>
          <w:p w14:paraId="109897D6" w14:textId="468C81A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1,065</w:t>
            </w:r>
          </w:p>
        </w:tc>
      </w:tr>
      <w:tr w:rsidR="00382856" w:rsidRPr="00382856" w14:paraId="50ECE7B3"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7A449A77" w14:textId="1755F168" w:rsidR="00382856" w:rsidRPr="00382856" w:rsidRDefault="00382856" w:rsidP="00382856">
            <w:pPr>
              <w:spacing w:before="0" w:after="0" w:line="240" w:lineRule="auto"/>
              <w:rPr>
                <w:rFonts w:cstheme="minorHAnsi"/>
                <w:b w:val="0"/>
                <w:sz w:val="20"/>
                <w:szCs w:val="20"/>
              </w:rPr>
            </w:pPr>
            <w:r w:rsidRPr="000C4A55">
              <w:rPr>
                <w:rFonts w:cs="Arial"/>
                <w:sz w:val="20"/>
                <w:szCs w:val="20"/>
              </w:rPr>
              <w:t>Primarni benzin</w:t>
            </w:r>
          </w:p>
        </w:tc>
        <w:tc>
          <w:tcPr>
            <w:tcW w:w="704" w:type="pct"/>
          </w:tcPr>
          <w:p w14:paraId="34E6CB8E" w14:textId="571AD62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151BD809" w14:textId="3B9793C7"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44,59</w:t>
            </w:r>
          </w:p>
        </w:tc>
        <w:tc>
          <w:tcPr>
            <w:tcW w:w="1250" w:type="pct"/>
          </w:tcPr>
          <w:p w14:paraId="683B95C0" w14:textId="410D16C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1,065</w:t>
            </w:r>
          </w:p>
        </w:tc>
      </w:tr>
      <w:tr w:rsidR="00382856" w:rsidRPr="00382856" w14:paraId="041F920A"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2B81AF05" w14:textId="2E30AAB0" w:rsidR="00382856" w:rsidRPr="00382856" w:rsidRDefault="00382856" w:rsidP="00382856">
            <w:pPr>
              <w:spacing w:before="0" w:after="0" w:line="240" w:lineRule="auto"/>
              <w:rPr>
                <w:rFonts w:cstheme="minorHAnsi"/>
                <w:b w:val="0"/>
                <w:sz w:val="20"/>
                <w:szCs w:val="20"/>
              </w:rPr>
            </w:pPr>
            <w:r w:rsidRPr="000C4A55">
              <w:rPr>
                <w:rFonts w:cs="Arial"/>
                <w:sz w:val="20"/>
                <w:szCs w:val="20"/>
              </w:rPr>
              <w:t>Petrolej</w:t>
            </w:r>
          </w:p>
        </w:tc>
        <w:tc>
          <w:tcPr>
            <w:tcW w:w="704" w:type="pct"/>
          </w:tcPr>
          <w:p w14:paraId="2924295C" w14:textId="1C10F137"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6B538064" w14:textId="51028533"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43,96</w:t>
            </w:r>
          </w:p>
        </w:tc>
        <w:tc>
          <w:tcPr>
            <w:tcW w:w="1250" w:type="pct"/>
          </w:tcPr>
          <w:p w14:paraId="7D717196" w14:textId="68BCD48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1,050</w:t>
            </w:r>
          </w:p>
        </w:tc>
      </w:tr>
      <w:tr w:rsidR="00382856" w:rsidRPr="00382856" w14:paraId="205614BC"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50F03567" w14:textId="2F3271E6" w:rsidR="00382856" w:rsidRPr="00382856" w:rsidRDefault="00382856" w:rsidP="00382856">
            <w:pPr>
              <w:spacing w:before="0" w:after="0" w:line="240" w:lineRule="auto"/>
              <w:rPr>
                <w:rFonts w:cstheme="minorHAnsi"/>
                <w:b w:val="0"/>
                <w:sz w:val="20"/>
                <w:szCs w:val="20"/>
              </w:rPr>
            </w:pPr>
            <w:r w:rsidRPr="000C4A55">
              <w:rPr>
                <w:rFonts w:cs="Arial"/>
                <w:sz w:val="20"/>
                <w:szCs w:val="20"/>
              </w:rPr>
              <w:t>Mlazno gorivo</w:t>
            </w:r>
          </w:p>
        </w:tc>
        <w:tc>
          <w:tcPr>
            <w:tcW w:w="704" w:type="pct"/>
          </w:tcPr>
          <w:p w14:paraId="2A3D8098" w14:textId="3D484E2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147B0856" w14:textId="19EA566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43,96</w:t>
            </w:r>
          </w:p>
        </w:tc>
        <w:tc>
          <w:tcPr>
            <w:tcW w:w="1250" w:type="pct"/>
          </w:tcPr>
          <w:p w14:paraId="4EFB78CC" w14:textId="4E0278E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1,050</w:t>
            </w:r>
          </w:p>
        </w:tc>
      </w:tr>
      <w:tr w:rsidR="00382856" w:rsidRPr="00382856" w14:paraId="33889C03"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216635FB" w14:textId="4FE4FF92" w:rsidR="00382856" w:rsidRPr="00382856" w:rsidRDefault="00382856" w:rsidP="00382856">
            <w:pPr>
              <w:spacing w:before="0" w:after="0" w:line="240" w:lineRule="auto"/>
              <w:rPr>
                <w:rFonts w:cstheme="minorHAnsi"/>
                <w:b w:val="0"/>
                <w:sz w:val="20"/>
                <w:szCs w:val="20"/>
              </w:rPr>
            </w:pPr>
            <w:r w:rsidRPr="000C4A55">
              <w:rPr>
                <w:rFonts w:cs="Arial"/>
                <w:sz w:val="20"/>
                <w:szCs w:val="20"/>
              </w:rPr>
              <w:t>Ekstralako loživo ulje</w:t>
            </w:r>
          </w:p>
        </w:tc>
        <w:tc>
          <w:tcPr>
            <w:tcW w:w="704" w:type="pct"/>
          </w:tcPr>
          <w:p w14:paraId="6931B52C" w14:textId="1F2D731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30054C4" w14:textId="2DA4CDD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42,71</w:t>
            </w:r>
          </w:p>
        </w:tc>
        <w:tc>
          <w:tcPr>
            <w:tcW w:w="1250" w:type="pct"/>
          </w:tcPr>
          <w:p w14:paraId="2EC0BFBE" w14:textId="26786E98"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1,020</w:t>
            </w:r>
          </w:p>
        </w:tc>
      </w:tr>
      <w:tr w:rsidR="00382856" w:rsidRPr="00382856" w14:paraId="1FE07408"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1AD5FD94" w14:textId="75378260" w:rsidR="00382856" w:rsidRPr="00382856" w:rsidRDefault="00382856" w:rsidP="00382856">
            <w:pPr>
              <w:spacing w:before="0" w:after="0" w:line="240" w:lineRule="auto"/>
              <w:rPr>
                <w:rFonts w:cstheme="minorHAnsi"/>
                <w:b w:val="0"/>
                <w:sz w:val="20"/>
                <w:szCs w:val="20"/>
              </w:rPr>
            </w:pPr>
            <w:r w:rsidRPr="000C4A55">
              <w:rPr>
                <w:rFonts w:cs="Arial"/>
                <w:sz w:val="20"/>
                <w:szCs w:val="20"/>
              </w:rPr>
              <w:t>Dizelsko gorivo</w:t>
            </w:r>
          </w:p>
        </w:tc>
        <w:tc>
          <w:tcPr>
            <w:tcW w:w="704" w:type="pct"/>
          </w:tcPr>
          <w:p w14:paraId="1E6DCC1E" w14:textId="6D918FD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53C5AF6" w14:textId="044710F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42,71</w:t>
            </w:r>
          </w:p>
        </w:tc>
        <w:tc>
          <w:tcPr>
            <w:tcW w:w="1250" w:type="pct"/>
          </w:tcPr>
          <w:p w14:paraId="277A74D2" w14:textId="35632EB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1,020</w:t>
            </w:r>
          </w:p>
        </w:tc>
      </w:tr>
      <w:tr w:rsidR="00382856" w:rsidRPr="00382856" w14:paraId="78E00863"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00D02549" w14:textId="39052CC1" w:rsidR="00382856" w:rsidRPr="00382856" w:rsidRDefault="00382856" w:rsidP="00382856">
            <w:pPr>
              <w:spacing w:before="0" w:after="0" w:line="240" w:lineRule="auto"/>
              <w:rPr>
                <w:rFonts w:cstheme="minorHAnsi"/>
                <w:b w:val="0"/>
                <w:sz w:val="20"/>
                <w:szCs w:val="20"/>
              </w:rPr>
            </w:pPr>
            <w:r w:rsidRPr="000C4A55">
              <w:rPr>
                <w:rFonts w:cs="Arial"/>
                <w:sz w:val="20"/>
                <w:szCs w:val="20"/>
              </w:rPr>
              <w:t>Loživo ulje</w:t>
            </w:r>
          </w:p>
        </w:tc>
        <w:tc>
          <w:tcPr>
            <w:tcW w:w="704" w:type="pct"/>
          </w:tcPr>
          <w:p w14:paraId="4C3314D8" w14:textId="1692BA03"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5EB38C91" w14:textId="15F6CD0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40,19</w:t>
            </w:r>
          </w:p>
        </w:tc>
        <w:tc>
          <w:tcPr>
            <w:tcW w:w="1250" w:type="pct"/>
          </w:tcPr>
          <w:p w14:paraId="292483C6" w14:textId="3824210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0,960</w:t>
            </w:r>
          </w:p>
        </w:tc>
      </w:tr>
      <w:tr w:rsidR="00382856" w:rsidRPr="00382856" w14:paraId="06CECD3E"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45AEA66A" w14:textId="5D146FDF" w:rsidR="00382856" w:rsidRPr="00382856" w:rsidRDefault="00382856" w:rsidP="00382856">
            <w:pPr>
              <w:spacing w:before="0" w:after="0" w:line="240" w:lineRule="auto"/>
              <w:rPr>
                <w:rFonts w:cstheme="minorHAnsi"/>
                <w:b w:val="0"/>
                <w:sz w:val="20"/>
                <w:szCs w:val="20"/>
              </w:rPr>
            </w:pPr>
            <w:r w:rsidRPr="000C4A55">
              <w:rPr>
                <w:rFonts w:cs="Arial"/>
                <w:sz w:val="20"/>
                <w:szCs w:val="20"/>
              </w:rPr>
              <w:t>Naftni koks</w:t>
            </w:r>
          </w:p>
        </w:tc>
        <w:tc>
          <w:tcPr>
            <w:tcW w:w="704" w:type="pct"/>
          </w:tcPr>
          <w:p w14:paraId="58331270" w14:textId="7414A5C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A573C0A" w14:textId="5728FFD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31,0</w:t>
            </w:r>
          </w:p>
        </w:tc>
        <w:tc>
          <w:tcPr>
            <w:tcW w:w="1250" w:type="pct"/>
          </w:tcPr>
          <w:p w14:paraId="3FA70DF2" w14:textId="5AEAA8B3"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0,740</w:t>
            </w:r>
          </w:p>
        </w:tc>
      </w:tr>
      <w:tr w:rsidR="00382856" w:rsidRPr="00382856" w14:paraId="1E015091"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46A46C36" w14:textId="7756C892" w:rsidR="00382856" w:rsidRPr="00382856" w:rsidRDefault="00382856" w:rsidP="00382856">
            <w:pPr>
              <w:spacing w:before="0" w:after="0" w:line="240" w:lineRule="auto"/>
              <w:rPr>
                <w:rFonts w:cstheme="minorHAnsi"/>
                <w:b w:val="0"/>
                <w:sz w:val="20"/>
                <w:szCs w:val="20"/>
              </w:rPr>
            </w:pPr>
            <w:r w:rsidRPr="000C4A55">
              <w:rPr>
                <w:rFonts w:cs="Arial"/>
                <w:sz w:val="20"/>
                <w:szCs w:val="20"/>
              </w:rPr>
              <w:t>Ostali derivati</w:t>
            </w:r>
          </w:p>
        </w:tc>
        <w:tc>
          <w:tcPr>
            <w:tcW w:w="704" w:type="pct"/>
          </w:tcPr>
          <w:p w14:paraId="2CD81F4C" w14:textId="5759784E"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A356B9D" w14:textId="1E693E8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33,49-40,19</w:t>
            </w:r>
          </w:p>
        </w:tc>
        <w:tc>
          <w:tcPr>
            <w:tcW w:w="1250" w:type="pct"/>
          </w:tcPr>
          <w:p w14:paraId="6E6E7166" w14:textId="468F792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0,800-0,960</w:t>
            </w:r>
          </w:p>
        </w:tc>
      </w:tr>
      <w:tr w:rsidR="00382856" w:rsidRPr="00382856" w14:paraId="0B124297"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337C7D8E" w14:textId="0926F5E1" w:rsidR="00382856" w:rsidRPr="00382856" w:rsidRDefault="00382856" w:rsidP="00382856">
            <w:pPr>
              <w:spacing w:before="0" w:after="0" w:line="240" w:lineRule="auto"/>
              <w:rPr>
                <w:rFonts w:cstheme="minorHAnsi"/>
                <w:b w:val="0"/>
                <w:sz w:val="20"/>
                <w:szCs w:val="20"/>
              </w:rPr>
            </w:pPr>
            <w:r w:rsidRPr="000C4A55">
              <w:rPr>
                <w:rFonts w:cs="Arial"/>
                <w:sz w:val="20"/>
                <w:szCs w:val="20"/>
              </w:rPr>
              <w:t>Rafinerijski plin</w:t>
            </w:r>
          </w:p>
        </w:tc>
        <w:tc>
          <w:tcPr>
            <w:tcW w:w="704" w:type="pct"/>
          </w:tcPr>
          <w:p w14:paraId="49E970E0" w14:textId="36B37B20"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1B9C155F" w14:textId="1E8751E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48,57</w:t>
            </w:r>
          </w:p>
        </w:tc>
        <w:tc>
          <w:tcPr>
            <w:tcW w:w="1250" w:type="pct"/>
          </w:tcPr>
          <w:p w14:paraId="4DECA8BD" w14:textId="485E6F4D"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1,160</w:t>
            </w:r>
          </w:p>
        </w:tc>
      </w:tr>
      <w:tr w:rsidR="00382856" w:rsidRPr="00382856" w14:paraId="55DDB1FD"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56914BDC" w14:textId="69E0A906" w:rsidR="00382856" w:rsidRPr="00382856" w:rsidRDefault="00382856" w:rsidP="00382856">
            <w:pPr>
              <w:spacing w:before="0" w:after="0" w:line="240" w:lineRule="auto"/>
              <w:rPr>
                <w:rFonts w:cstheme="minorHAnsi"/>
                <w:b w:val="0"/>
                <w:sz w:val="20"/>
                <w:szCs w:val="20"/>
              </w:rPr>
            </w:pPr>
            <w:r w:rsidRPr="000C4A55">
              <w:rPr>
                <w:rFonts w:cs="Arial"/>
                <w:sz w:val="20"/>
                <w:szCs w:val="20"/>
              </w:rPr>
              <w:t>Etan</w:t>
            </w:r>
          </w:p>
        </w:tc>
        <w:tc>
          <w:tcPr>
            <w:tcW w:w="704" w:type="pct"/>
          </w:tcPr>
          <w:p w14:paraId="1F1808D2" w14:textId="6AC13307"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8172838" w14:textId="10CF8A4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47,31</w:t>
            </w:r>
          </w:p>
        </w:tc>
        <w:tc>
          <w:tcPr>
            <w:tcW w:w="1250" w:type="pct"/>
          </w:tcPr>
          <w:p w14:paraId="2B6ED492" w14:textId="04F9A85C"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1,130</w:t>
            </w:r>
          </w:p>
        </w:tc>
      </w:tr>
      <w:tr w:rsidR="00382856" w:rsidRPr="00382856" w14:paraId="6D0BF365"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350225A8" w14:textId="78BC729D" w:rsidR="00382856" w:rsidRPr="00382856" w:rsidRDefault="00382856" w:rsidP="00382856">
            <w:pPr>
              <w:spacing w:before="0" w:after="0" w:line="240" w:lineRule="auto"/>
              <w:rPr>
                <w:rFonts w:cstheme="minorHAnsi"/>
                <w:b w:val="0"/>
                <w:sz w:val="20"/>
                <w:szCs w:val="20"/>
              </w:rPr>
            </w:pPr>
            <w:r w:rsidRPr="000C4A55">
              <w:rPr>
                <w:rFonts w:cs="Arial"/>
                <w:sz w:val="20"/>
                <w:szCs w:val="20"/>
              </w:rPr>
              <w:t>Koksni plin</w:t>
            </w:r>
          </w:p>
        </w:tc>
        <w:tc>
          <w:tcPr>
            <w:tcW w:w="704" w:type="pct"/>
          </w:tcPr>
          <w:p w14:paraId="2E6B6357" w14:textId="7085DCC8"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68CEDB1E" w14:textId="5A73C649"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17,91</w:t>
            </w:r>
          </w:p>
        </w:tc>
        <w:tc>
          <w:tcPr>
            <w:tcW w:w="1250" w:type="pct"/>
          </w:tcPr>
          <w:p w14:paraId="62B8F7EC" w14:textId="268AD26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0,428</w:t>
            </w:r>
          </w:p>
        </w:tc>
      </w:tr>
      <w:tr w:rsidR="00382856" w:rsidRPr="00382856" w14:paraId="58711528"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7E8561A6" w14:textId="36B7C617" w:rsidR="00382856" w:rsidRPr="00382856" w:rsidRDefault="00382856" w:rsidP="00382856">
            <w:pPr>
              <w:spacing w:before="0" w:after="0" w:line="240" w:lineRule="auto"/>
              <w:rPr>
                <w:rFonts w:cstheme="minorHAnsi"/>
                <w:b w:val="0"/>
                <w:sz w:val="20"/>
                <w:szCs w:val="20"/>
              </w:rPr>
            </w:pPr>
            <w:r w:rsidRPr="000C4A55">
              <w:rPr>
                <w:rFonts w:cs="Arial"/>
                <w:sz w:val="20"/>
                <w:szCs w:val="20"/>
              </w:rPr>
              <w:t>Gradski plin</w:t>
            </w:r>
          </w:p>
        </w:tc>
        <w:tc>
          <w:tcPr>
            <w:tcW w:w="704" w:type="pct"/>
          </w:tcPr>
          <w:p w14:paraId="5E00162A" w14:textId="43372B0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445F22A6" w14:textId="367BBBF6"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27,76</w:t>
            </w:r>
          </w:p>
        </w:tc>
        <w:tc>
          <w:tcPr>
            <w:tcW w:w="1250" w:type="pct"/>
          </w:tcPr>
          <w:p w14:paraId="10C10888" w14:textId="43E69A38"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0,663</w:t>
            </w:r>
          </w:p>
        </w:tc>
      </w:tr>
      <w:tr w:rsidR="00382856" w:rsidRPr="00382856" w14:paraId="1CB4B7EC"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054591E0" w14:textId="00B7259F" w:rsidR="00382856" w:rsidRPr="00382856" w:rsidRDefault="00382856" w:rsidP="00382856">
            <w:pPr>
              <w:spacing w:before="0" w:after="0" w:line="240" w:lineRule="auto"/>
              <w:rPr>
                <w:rFonts w:cstheme="minorHAnsi"/>
                <w:b w:val="0"/>
                <w:sz w:val="20"/>
                <w:szCs w:val="20"/>
              </w:rPr>
            </w:pPr>
            <w:r w:rsidRPr="000C4A55">
              <w:rPr>
                <w:rFonts w:cs="Arial"/>
                <w:sz w:val="20"/>
                <w:szCs w:val="20"/>
              </w:rPr>
              <w:t>Visokopećni plin</w:t>
            </w:r>
          </w:p>
        </w:tc>
        <w:tc>
          <w:tcPr>
            <w:tcW w:w="704" w:type="pct"/>
          </w:tcPr>
          <w:p w14:paraId="58F9F8E5" w14:textId="0D2AFEFC"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08CE3DB7" w14:textId="4584C232"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3,60</w:t>
            </w:r>
          </w:p>
        </w:tc>
        <w:tc>
          <w:tcPr>
            <w:tcW w:w="1250" w:type="pct"/>
          </w:tcPr>
          <w:p w14:paraId="6B2244C2" w14:textId="111AC36F"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0,086</w:t>
            </w:r>
          </w:p>
        </w:tc>
      </w:tr>
      <w:tr w:rsidR="00382856" w:rsidRPr="00382856" w14:paraId="4173DE43" w14:textId="77777777" w:rsidTr="00382856">
        <w:tc>
          <w:tcPr>
            <w:cnfStyle w:val="001000000000" w:firstRow="0" w:lastRow="0" w:firstColumn="1" w:lastColumn="0" w:oddVBand="0" w:evenVBand="0" w:oddHBand="0" w:evenHBand="0" w:firstRowFirstColumn="0" w:firstRowLastColumn="0" w:lastRowFirstColumn="0" w:lastRowLastColumn="0"/>
            <w:tcW w:w="1797" w:type="pct"/>
          </w:tcPr>
          <w:p w14:paraId="5C008C82" w14:textId="4AC82B3A" w:rsidR="00382856" w:rsidRPr="00382856" w:rsidRDefault="00382856" w:rsidP="00382856">
            <w:pPr>
              <w:spacing w:before="0" w:after="0" w:line="240" w:lineRule="auto"/>
              <w:rPr>
                <w:rFonts w:cstheme="minorHAnsi"/>
                <w:b w:val="0"/>
                <w:sz w:val="20"/>
                <w:szCs w:val="20"/>
              </w:rPr>
            </w:pPr>
            <w:r w:rsidRPr="000C4A55">
              <w:rPr>
                <w:rFonts w:cs="Arial"/>
                <w:sz w:val="20"/>
                <w:szCs w:val="20"/>
              </w:rPr>
              <w:t>Električna energija</w:t>
            </w:r>
          </w:p>
        </w:tc>
        <w:tc>
          <w:tcPr>
            <w:tcW w:w="704" w:type="pct"/>
          </w:tcPr>
          <w:p w14:paraId="1C1B44C6" w14:textId="7C2F28DB"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kWh</w:t>
            </w:r>
          </w:p>
        </w:tc>
        <w:tc>
          <w:tcPr>
            <w:tcW w:w="1250" w:type="pct"/>
          </w:tcPr>
          <w:p w14:paraId="5D2A28D5" w14:textId="383F6321"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3,60</w:t>
            </w:r>
          </w:p>
        </w:tc>
        <w:tc>
          <w:tcPr>
            <w:tcW w:w="1250" w:type="pct"/>
          </w:tcPr>
          <w:p w14:paraId="356D6978" w14:textId="72CAAF58" w:rsidR="00382856" w:rsidRPr="00382856" w:rsidDel="00382856" w:rsidRDefault="00382856" w:rsidP="003828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0,086</w:t>
            </w:r>
          </w:p>
        </w:tc>
      </w:tr>
    </w:tbl>
    <w:p w14:paraId="01BCA1A7" w14:textId="02C5A16D" w:rsidR="00FA3961" w:rsidRPr="00215760" w:rsidRDefault="008B6B4A" w:rsidP="00FA3961">
      <w:pPr>
        <w:shd w:val="clear" w:color="auto" w:fill="D9D9D9" w:themeFill="background1" w:themeFillShade="D9"/>
        <w:rPr>
          <w:i/>
        </w:rPr>
      </w:pPr>
      <w:r>
        <w:rPr>
          <w:i/>
        </w:rPr>
        <w:t>Kumulativne uštede energije</w:t>
      </w:r>
      <w:r w:rsidR="00EF4DF8">
        <w:rPr>
          <w:i/>
        </w:rPr>
        <w:t xml:space="preserve"> </w:t>
      </w:r>
      <w:r w:rsidR="0026126C">
        <w:rPr>
          <w:i/>
        </w:rPr>
        <w:t xml:space="preserve">u razdoblju </w:t>
      </w:r>
      <w:r w:rsidR="00EF4DF8">
        <w:rPr>
          <w:i/>
        </w:rPr>
        <w:t>2021.-2030. u skladu s člankom 7(1)(b) o sustavu obveza energetske učinkovitosti</w:t>
      </w:r>
      <w:r w:rsidR="00326826">
        <w:rPr>
          <w:i/>
        </w:rPr>
        <w:t xml:space="preserve"> izmijene Direktive 2012/27/EU [prema prijedlogu izmjena </w:t>
      </w:r>
      <w:r w:rsidR="00326826" w:rsidRPr="00A63E94">
        <w:rPr>
          <w:i/>
        </w:rPr>
        <w:t>COM(2016)761</w:t>
      </w:r>
      <w:r w:rsidR="00326826">
        <w:rPr>
          <w:i/>
        </w:rPr>
        <w:t>]</w:t>
      </w:r>
    </w:p>
    <w:p w14:paraId="6101C54F" w14:textId="64D74188" w:rsidR="009F62CE" w:rsidRDefault="009F62CE" w:rsidP="009F62CE">
      <w:pPr>
        <w:rPr>
          <w:highlight w:val="yellow"/>
        </w:rPr>
      </w:pPr>
      <w:bookmarkStart w:id="223" w:name="_Hlk531628646"/>
      <w:r>
        <w:t xml:space="preserve">Cilj kumulativnih ušteda u razdoblju od 2021. do 2030. godine prikazuje </w:t>
      </w:r>
      <w:r w:rsidR="004658FC">
        <w:fldChar w:fldCharType="begin"/>
      </w:r>
      <w:r w:rsidR="004658FC">
        <w:instrText xml:space="preserve"> REF _Ref532200260 \h </w:instrText>
      </w:r>
      <w:r w:rsidR="004658FC">
        <w:fldChar w:fldCharType="separate"/>
      </w:r>
      <w:r w:rsidR="004658FC">
        <w:t xml:space="preserve">Tablica </w:t>
      </w:r>
      <w:r w:rsidR="004658FC">
        <w:rPr>
          <w:noProof/>
        </w:rPr>
        <w:t>2</w:t>
      </w:r>
      <w:r w:rsidR="004658FC">
        <w:noBreakHyphen/>
      </w:r>
      <w:r w:rsidR="004658FC">
        <w:rPr>
          <w:noProof/>
        </w:rPr>
        <w:t>14</w:t>
      </w:r>
      <w:r w:rsidR="004658FC">
        <w:fldChar w:fldCharType="end"/>
      </w:r>
      <w:r w:rsidR="004658FC">
        <w:t xml:space="preserve">. </w:t>
      </w:r>
      <w:r w:rsidR="004658FC" w:rsidRPr="004658FC">
        <w:t>Tr</w:t>
      </w:r>
      <w:r w:rsidRPr="004658FC">
        <w:t xml:space="preserve">eba istaknuti da </w:t>
      </w:r>
      <w:r w:rsidRPr="004658FC">
        <w:rPr>
          <w:rFonts w:cs="Arial"/>
        </w:rPr>
        <w:t>je prikazani cilj indikativnog karaktera i da će se tijekom 2019. godine izmijeniti prema konačnom tekstu izmijenjene Direktive 2012/27/EU, konačnim izmjenama i dopunama Zakona o energetskoj učinkovitosti te novim podatcima o potrošnji energije i ostvarenim uštedama barem za 2017. godinu. Prikazani cilj kumulativn</w:t>
      </w:r>
      <w:r>
        <w:rPr>
          <w:rFonts w:cs="Arial"/>
        </w:rPr>
        <w:t>ih ušteda u iznosu od</w:t>
      </w:r>
      <w:r>
        <w:rPr>
          <w:rFonts w:cs="Arial"/>
          <w:b/>
        </w:rPr>
        <w:t xml:space="preserve"> 1.243,99 kten (52,08 PJ) </w:t>
      </w:r>
      <w:r>
        <w:rPr>
          <w:rFonts w:cs="Arial"/>
        </w:rPr>
        <w:t xml:space="preserve">izračunat je uz pretpostavljeno maksimalno dopušteno umanjenje cilja od 35%, u skladu s člankom 7.(3a), točkom (b). Direktive o energetskoj učinkovitosti. </w:t>
      </w:r>
    </w:p>
    <w:p w14:paraId="3744E6B0" w14:textId="7288AAFF" w:rsidR="006562D4" w:rsidRDefault="006562D4" w:rsidP="006562D4">
      <w:pPr>
        <w:pStyle w:val="Caption"/>
      </w:pPr>
      <w:bookmarkStart w:id="224" w:name="_Toc531935346"/>
      <w:bookmarkStart w:id="225" w:name="_Ref532200260"/>
      <w:bookmarkEnd w:id="223"/>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14</w:t>
      </w:r>
      <w:r w:rsidR="00B22048">
        <w:rPr>
          <w:noProof/>
        </w:rPr>
        <w:fldChar w:fldCharType="end"/>
      </w:r>
      <w:bookmarkEnd w:id="225"/>
      <w:r>
        <w:t>: Okvirni nacionalni ciljevi energetske učinkovitosti u 2030. godini</w:t>
      </w:r>
      <w:bookmarkEnd w:id="224"/>
    </w:p>
    <w:tbl>
      <w:tblPr>
        <w:tblStyle w:val="GridTable1Light"/>
        <w:tblW w:w="5000" w:type="pct"/>
        <w:tblLayout w:type="fixed"/>
        <w:tblLook w:val="04A0" w:firstRow="1" w:lastRow="0" w:firstColumn="1" w:lastColumn="0" w:noHBand="0" w:noVBand="1"/>
      </w:tblPr>
      <w:tblGrid>
        <w:gridCol w:w="4107"/>
        <w:gridCol w:w="1276"/>
        <w:gridCol w:w="1160"/>
        <w:gridCol w:w="1218"/>
        <w:gridCol w:w="1301"/>
      </w:tblGrid>
      <w:tr w:rsidR="006562D4" w:rsidRPr="00F874C2" w14:paraId="2B1D6D12" w14:textId="77777777" w:rsidTr="008A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pct"/>
          </w:tcPr>
          <w:p w14:paraId="6952B6FE" w14:textId="77777777" w:rsidR="006562D4" w:rsidRPr="00EF2873" w:rsidRDefault="006562D4" w:rsidP="00D8469D">
            <w:pPr>
              <w:spacing w:before="0" w:after="0" w:line="240" w:lineRule="auto"/>
              <w:rPr>
                <w:rFonts w:cstheme="minorHAnsi"/>
                <w:sz w:val="20"/>
                <w:szCs w:val="20"/>
              </w:rPr>
            </w:pPr>
            <w:r w:rsidRPr="00EF2873">
              <w:rPr>
                <w:rFonts w:cstheme="minorHAnsi"/>
                <w:sz w:val="20"/>
                <w:szCs w:val="20"/>
              </w:rPr>
              <w:t>Ciljevi 2030.</w:t>
            </w:r>
          </w:p>
        </w:tc>
        <w:tc>
          <w:tcPr>
            <w:tcW w:w="1344" w:type="pct"/>
            <w:gridSpan w:val="2"/>
          </w:tcPr>
          <w:p w14:paraId="25430BF0" w14:textId="217F2043" w:rsidR="006562D4" w:rsidRPr="00EF2873" w:rsidRDefault="003401E6" w:rsidP="00D8469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Godišnje uštede</w:t>
            </w:r>
          </w:p>
        </w:tc>
        <w:tc>
          <w:tcPr>
            <w:tcW w:w="1390" w:type="pct"/>
            <w:gridSpan w:val="2"/>
          </w:tcPr>
          <w:p w14:paraId="182DAB9D" w14:textId="25055E58" w:rsidR="006562D4" w:rsidRPr="00EF2873" w:rsidRDefault="003401E6" w:rsidP="00D8469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Kumulativne uštede</w:t>
            </w:r>
          </w:p>
        </w:tc>
      </w:tr>
      <w:tr w:rsidR="006562D4" w:rsidRPr="00F874C2" w14:paraId="1BA21E5B" w14:textId="77777777" w:rsidTr="008A24FA">
        <w:tc>
          <w:tcPr>
            <w:cnfStyle w:val="001000000000" w:firstRow="0" w:lastRow="0" w:firstColumn="1" w:lastColumn="0" w:oddVBand="0" w:evenVBand="0" w:oddHBand="0" w:evenHBand="0" w:firstRowFirstColumn="0" w:firstRowLastColumn="0" w:lastRowFirstColumn="0" w:lastRowLastColumn="0"/>
            <w:tcW w:w="2266" w:type="pct"/>
          </w:tcPr>
          <w:p w14:paraId="22EE0682" w14:textId="77777777" w:rsidR="006562D4" w:rsidRPr="00EF2873" w:rsidRDefault="006562D4" w:rsidP="00D8469D">
            <w:pPr>
              <w:spacing w:before="0" w:after="0" w:line="240" w:lineRule="auto"/>
              <w:rPr>
                <w:rFonts w:cstheme="minorHAnsi"/>
                <w:sz w:val="20"/>
                <w:szCs w:val="20"/>
              </w:rPr>
            </w:pPr>
          </w:p>
        </w:tc>
        <w:tc>
          <w:tcPr>
            <w:tcW w:w="704" w:type="pct"/>
          </w:tcPr>
          <w:p w14:paraId="207C8132" w14:textId="77777777" w:rsidR="006562D4" w:rsidRPr="00F2078C" w:rsidRDefault="006562D4"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2078C">
              <w:rPr>
                <w:rFonts w:cstheme="minorHAnsi"/>
                <w:b/>
                <w:sz w:val="20"/>
                <w:szCs w:val="20"/>
              </w:rPr>
              <w:t>PJ</w:t>
            </w:r>
          </w:p>
        </w:tc>
        <w:tc>
          <w:tcPr>
            <w:tcW w:w="640" w:type="pct"/>
          </w:tcPr>
          <w:p w14:paraId="63751814" w14:textId="5A010BB1" w:rsidR="006562D4" w:rsidRPr="00F2078C" w:rsidRDefault="003401E6"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k</w:t>
            </w:r>
            <w:r w:rsidR="006562D4" w:rsidRPr="00F2078C">
              <w:rPr>
                <w:rFonts w:cstheme="minorHAnsi"/>
                <w:b/>
                <w:sz w:val="20"/>
                <w:szCs w:val="20"/>
              </w:rPr>
              <w:t>ten</w:t>
            </w:r>
          </w:p>
        </w:tc>
        <w:tc>
          <w:tcPr>
            <w:tcW w:w="672" w:type="pct"/>
          </w:tcPr>
          <w:p w14:paraId="1E29AAF5" w14:textId="77777777" w:rsidR="006562D4" w:rsidRPr="00F2078C" w:rsidRDefault="006562D4"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2078C">
              <w:rPr>
                <w:rFonts w:cstheme="minorHAnsi"/>
                <w:b/>
                <w:sz w:val="20"/>
                <w:szCs w:val="20"/>
              </w:rPr>
              <w:t>PJ</w:t>
            </w:r>
          </w:p>
        </w:tc>
        <w:tc>
          <w:tcPr>
            <w:tcW w:w="718" w:type="pct"/>
          </w:tcPr>
          <w:p w14:paraId="3F903DDD" w14:textId="752A6834" w:rsidR="006562D4" w:rsidRPr="00F2078C" w:rsidRDefault="003401E6"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k</w:t>
            </w:r>
            <w:r w:rsidR="006562D4" w:rsidRPr="00F2078C">
              <w:rPr>
                <w:rFonts w:cstheme="minorHAnsi"/>
                <w:b/>
                <w:sz w:val="20"/>
                <w:szCs w:val="20"/>
              </w:rPr>
              <w:t>ten</w:t>
            </w:r>
          </w:p>
        </w:tc>
      </w:tr>
      <w:tr w:rsidR="006562D4" w:rsidRPr="00F874C2" w14:paraId="05327EA9" w14:textId="77777777" w:rsidTr="008A24FA">
        <w:tc>
          <w:tcPr>
            <w:cnfStyle w:val="001000000000" w:firstRow="0" w:lastRow="0" w:firstColumn="1" w:lastColumn="0" w:oddVBand="0" w:evenVBand="0" w:oddHBand="0" w:evenHBand="0" w:firstRowFirstColumn="0" w:firstRowLastColumn="0" w:lastRowFirstColumn="0" w:lastRowLastColumn="0"/>
            <w:tcW w:w="2266" w:type="pct"/>
          </w:tcPr>
          <w:p w14:paraId="35733F15" w14:textId="6B7AE0FB" w:rsidR="006562D4" w:rsidRPr="00EF2873" w:rsidRDefault="004A6AB3" w:rsidP="00D8469D">
            <w:pPr>
              <w:spacing w:before="0" w:after="0" w:line="240" w:lineRule="auto"/>
              <w:rPr>
                <w:rFonts w:cstheme="minorHAnsi"/>
                <w:sz w:val="20"/>
                <w:szCs w:val="20"/>
              </w:rPr>
            </w:pPr>
            <w:r>
              <w:rPr>
                <w:rFonts w:cstheme="minorHAnsi"/>
                <w:sz w:val="20"/>
                <w:szCs w:val="20"/>
              </w:rPr>
              <w:t>Prema članku 7(1)(b)</w:t>
            </w:r>
          </w:p>
        </w:tc>
        <w:tc>
          <w:tcPr>
            <w:tcW w:w="704" w:type="pct"/>
          </w:tcPr>
          <w:p w14:paraId="2147E10C" w14:textId="252A85FA" w:rsidR="006562D4" w:rsidRPr="00EF2873" w:rsidRDefault="00145BA2"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1,46</w:t>
            </w:r>
          </w:p>
        </w:tc>
        <w:tc>
          <w:tcPr>
            <w:tcW w:w="640" w:type="pct"/>
          </w:tcPr>
          <w:p w14:paraId="5D9149B9" w14:textId="074C0402" w:rsidR="006562D4" w:rsidRPr="00EF2873" w:rsidRDefault="00145BA2"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34,80</w:t>
            </w:r>
          </w:p>
        </w:tc>
        <w:tc>
          <w:tcPr>
            <w:tcW w:w="672" w:type="pct"/>
          </w:tcPr>
          <w:p w14:paraId="29C6192C" w14:textId="68B73747" w:rsidR="006562D4" w:rsidRPr="00EF2873" w:rsidRDefault="002E19A1"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E19A1">
              <w:rPr>
                <w:rFonts w:cstheme="minorHAnsi"/>
                <w:sz w:val="20"/>
                <w:szCs w:val="20"/>
              </w:rPr>
              <w:t>80,13</w:t>
            </w:r>
          </w:p>
        </w:tc>
        <w:tc>
          <w:tcPr>
            <w:tcW w:w="718" w:type="pct"/>
          </w:tcPr>
          <w:p w14:paraId="2FC07418" w14:textId="59F3CFE9" w:rsidR="006562D4" w:rsidRPr="00EF2873" w:rsidRDefault="002E19A1"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1308">
              <w:rPr>
                <w:rFonts w:cstheme="minorHAnsi"/>
                <w:sz w:val="20"/>
                <w:szCs w:val="20"/>
              </w:rPr>
              <w:t>1.913,83</w:t>
            </w:r>
          </w:p>
        </w:tc>
      </w:tr>
      <w:tr w:rsidR="006562D4" w:rsidRPr="00F874C2" w14:paraId="0A668563" w14:textId="77777777" w:rsidTr="008A24FA">
        <w:tc>
          <w:tcPr>
            <w:cnfStyle w:val="001000000000" w:firstRow="0" w:lastRow="0" w:firstColumn="1" w:lastColumn="0" w:oddVBand="0" w:evenVBand="0" w:oddHBand="0" w:evenHBand="0" w:firstRowFirstColumn="0" w:firstRowLastColumn="0" w:lastRowFirstColumn="0" w:lastRowLastColumn="0"/>
            <w:tcW w:w="2266" w:type="pct"/>
          </w:tcPr>
          <w:p w14:paraId="7D31C6DF" w14:textId="5658DF06" w:rsidR="006562D4" w:rsidRPr="00EF2873" w:rsidRDefault="00A5069D" w:rsidP="00D8469D">
            <w:pPr>
              <w:spacing w:before="0" w:after="0" w:line="240" w:lineRule="auto"/>
              <w:rPr>
                <w:rFonts w:cstheme="minorHAnsi"/>
                <w:sz w:val="20"/>
                <w:szCs w:val="20"/>
              </w:rPr>
            </w:pPr>
            <w:r>
              <w:rPr>
                <w:rFonts w:cstheme="minorHAnsi"/>
                <w:sz w:val="20"/>
                <w:szCs w:val="20"/>
              </w:rPr>
              <w:t xml:space="preserve">Uz izuzeća prema člancima </w:t>
            </w:r>
            <w:r w:rsidR="00DA3400">
              <w:rPr>
                <w:rFonts w:cstheme="minorHAnsi"/>
                <w:sz w:val="20"/>
                <w:szCs w:val="20"/>
              </w:rPr>
              <w:t>7(2)</w:t>
            </w:r>
            <w:r w:rsidR="00A84F51">
              <w:rPr>
                <w:rFonts w:cstheme="minorHAnsi"/>
                <w:sz w:val="20"/>
                <w:szCs w:val="20"/>
              </w:rPr>
              <w:t>,(3) i (3a</w:t>
            </w:r>
            <w:r w:rsidR="00DA3400">
              <w:rPr>
                <w:rFonts w:cstheme="minorHAnsi"/>
                <w:sz w:val="20"/>
                <w:szCs w:val="20"/>
              </w:rPr>
              <w:t>)</w:t>
            </w:r>
          </w:p>
        </w:tc>
        <w:tc>
          <w:tcPr>
            <w:tcW w:w="704" w:type="pct"/>
          </w:tcPr>
          <w:p w14:paraId="79A76307" w14:textId="23DE8915" w:rsidR="006562D4" w:rsidRPr="00EF2873" w:rsidRDefault="00145BA2"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0,95</w:t>
            </w:r>
          </w:p>
        </w:tc>
        <w:tc>
          <w:tcPr>
            <w:tcW w:w="640" w:type="pct"/>
          </w:tcPr>
          <w:p w14:paraId="258EF3DD" w14:textId="0AB27E16" w:rsidR="006562D4" w:rsidRPr="00EF2873" w:rsidRDefault="00D3473B"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22,62</w:t>
            </w:r>
          </w:p>
        </w:tc>
        <w:tc>
          <w:tcPr>
            <w:tcW w:w="672" w:type="pct"/>
          </w:tcPr>
          <w:p w14:paraId="782E238C" w14:textId="104EF90F" w:rsidR="006562D4" w:rsidRPr="00EF2873" w:rsidRDefault="00D3473B"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52,08</w:t>
            </w:r>
          </w:p>
        </w:tc>
        <w:tc>
          <w:tcPr>
            <w:tcW w:w="718" w:type="pct"/>
          </w:tcPr>
          <w:p w14:paraId="1D16AFE4" w14:textId="6F5517D7" w:rsidR="006562D4" w:rsidRPr="00EF2873" w:rsidRDefault="008A24FA"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4FA">
              <w:rPr>
                <w:rFonts w:cstheme="minorHAnsi"/>
                <w:sz w:val="20"/>
                <w:szCs w:val="20"/>
              </w:rPr>
              <w:t>1.243,99</w:t>
            </w:r>
          </w:p>
        </w:tc>
      </w:tr>
    </w:tbl>
    <w:p w14:paraId="7D9A002E" w14:textId="27291793" w:rsidR="00FE1C60" w:rsidRPr="00215760" w:rsidRDefault="009706CF" w:rsidP="00FE1C60">
      <w:pPr>
        <w:shd w:val="clear" w:color="auto" w:fill="D9D9D9" w:themeFill="background1" w:themeFillShade="D9"/>
        <w:rPr>
          <w:i/>
        </w:rPr>
      </w:pPr>
      <w:r>
        <w:rPr>
          <w:i/>
        </w:rPr>
        <w:t>Indikativni ciljevi</w:t>
      </w:r>
      <w:r w:rsidR="009B4E57">
        <w:rPr>
          <w:i/>
        </w:rPr>
        <w:t xml:space="preserve"> dugoročne strategije obnove nacionalnog stambenog i nestambenog fonda zgrada</w:t>
      </w:r>
    </w:p>
    <w:p w14:paraId="04E0566D" w14:textId="54A55373" w:rsidR="002847FA" w:rsidRPr="00B13D6A" w:rsidRDefault="002847FA" w:rsidP="00FF0CF3">
      <w:r w:rsidRPr="00B13D6A">
        <w:t xml:space="preserve">Sukladno članku 4. Direktive 2012/27/EU o energetskoj učinkovitosti, </w:t>
      </w:r>
      <w:r w:rsidR="00652B21" w:rsidRPr="00B13D6A">
        <w:t xml:space="preserve">RH je prvu Dugoročnu strategiju </w:t>
      </w:r>
      <w:r w:rsidR="003879EB">
        <w:t>za poticanje ulaganja u obnovu nacionalnog fonda zgrada</w:t>
      </w:r>
      <w:r w:rsidR="003879EB" w:rsidRPr="00B13D6A">
        <w:t xml:space="preserve"> </w:t>
      </w:r>
      <w:r w:rsidR="00652B21" w:rsidRPr="00B13D6A">
        <w:t xml:space="preserve">usvojila </w:t>
      </w:r>
      <w:r w:rsidR="003879EB" w:rsidRPr="00B13D6A">
        <w:t xml:space="preserve">2014. godine (NN br. </w:t>
      </w:r>
      <w:r w:rsidR="00652B21" w:rsidRPr="00B13D6A">
        <w:t>74/2014</w:t>
      </w:r>
      <w:r w:rsidR="003879EB" w:rsidRPr="00B13D6A">
        <w:t xml:space="preserve">), a novelacija </w:t>
      </w:r>
      <w:r w:rsidR="001A2AFF" w:rsidRPr="00B13D6A">
        <w:t xml:space="preserve">iste je </w:t>
      </w:r>
      <w:r w:rsidR="00A722BD" w:rsidRPr="00B13D6A">
        <w:t>napravljena 2017. godine</w:t>
      </w:r>
      <w:r w:rsidR="00B01FEC" w:rsidRPr="00276CE9">
        <w:rPr>
          <w:rStyle w:val="FootnoteReference"/>
        </w:rPr>
        <w:t xml:space="preserve"> </w:t>
      </w:r>
      <w:r w:rsidR="00B01FEC">
        <w:t>[</w:t>
      </w:r>
      <w:r w:rsidR="00B01FEC">
        <w:fldChar w:fldCharType="begin"/>
      </w:r>
      <w:r w:rsidR="00B01FEC">
        <w:instrText xml:space="preserve"> REF _Ref531628971 \r \h </w:instrText>
      </w:r>
      <w:r w:rsidR="00B01FEC">
        <w:fldChar w:fldCharType="separate"/>
      </w:r>
      <w:r w:rsidR="00E5423A">
        <w:t>15</w:t>
      </w:r>
      <w:r w:rsidR="00B01FEC">
        <w:fldChar w:fldCharType="end"/>
      </w:r>
      <w:r w:rsidR="00B01FEC">
        <w:t>]</w:t>
      </w:r>
      <w:r w:rsidR="00B01FEC" w:rsidRPr="00B13D6A">
        <w:t xml:space="preserve">. </w:t>
      </w:r>
      <w:r w:rsidR="00990EB8" w:rsidRPr="00B13D6A">
        <w:t xml:space="preserve">Fond </w:t>
      </w:r>
      <w:r w:rsidR="002D395E" w:rsidRPr="00B13D6A">
        <w:t xml:space="preserve">zgrada i mogućnosti njegove obnove također su analizirani u dokumentu </w:t>
      </w:r>
      <w:r w:rsidR="002D395E">
        <w:t>„</w:t>
      </w:r>
      <w:r w:rsidR="002D395E" w:rsidRPr="00F554BA">
        <w:t>Analize i podloge za izradu energetske strategije Republike Hrvatske</w:t>
      </w:r>
      <w:r w:rsidR="002D395E">
        <w:t>“, koji je u listop</w:t>
      </w:r>
      <w:r w:rsidR="00C651D3">
        <w:t>a</w:t>
      </w:r>
      <w:r w:rsidR="002D395E">
        <w:t xml:space="preserve">du 2018. godine izrađen za potrebe donošenja Strategije energetskog razvoja RH do 2030. godine s pogledom do 2050. </w:t>
      </w:r>
      <w:r w:rsidR="00D93B3B">
        <w:t xml:space="preserve">U nastavku se navode </w:t>
      </w:r>
      <w:r w:rsidR="005F4C65">
        <w:t>pretpostavke ovog dokumenta vezane uz zgradarstvo, koje je nužno ostv</w:t>
      </w:r>
      <w:r w:rsidR="00450D78">
        <w:t>a</w:t>
      </w:r>
      <w:r w:rsidR="005F4C65">
        <w:t>riti kako bi se ostvarili nacionalni ciljevi</w:t>
      </w:r>
      <w:r w:rsidR="00A70D49">
        <w:t xml:space="preserve"> energetske učinkovitosti </w:t>
      </w:r>
      <w:r w:rsidR="005F4C65">
        <w:t xml:space="preserve">koje prikazuje </w:t>
      </w:r>
      <w:r w:rsidR="005F4C65">
        <w:fldChar w:fldCharType="begin"/>
      </w:r>
      <w:r w:rsidR="005F4C65">
        <w:instrText xml:space="preserve"> REF _Ref531090111 \h </w:instrText>
      </w:r>
      <w:r w:rsidR="005F4C65">
        <w:fldChar w:fldCharType="separate"/>
      </w:r>
      <w:r w:rsidR="00E5423A">
        <w:t xml:space="preserve">Tablica </w:t>
      </w:r>
      <w:r w:rsidR="00E5423A">
        <w:rPr>
          <w:noProof/>
        </w:rPr>
        <w:t>2</w:t>
      </w:r>
      <w:r w:rsidR="00E5423A">
        <w:noBreakHyphen/>
      </w:r>
      <w:r w:rsidR="00E5423A">
        <w:rPr>
          <w:noProof/>
        </w:rPr>
        <w:t>12</w:t>
      </w:r>
      <w:r w:rsidR="005F4C65">
        <w:fldChar w:fldCharType="end"/>
      </w:r>
    </w:p>
    <w:p w14:paraId="5AFE31CB" w14:textId="5B68B4BD" w:rsidR="00F72C88" w:rsidRDefault="00F72C88" w:rsidP="00F72C88">
      <w:r w:rsidRPr="00C27AD5">
        <w:t xml:space="preserve">Nakon 2020. godine, sukladno Direktivi o energetskim svojstvima zgrada / Zakonu o gradnji sve novoizgrađene zgrade bit će gotovo nula energetske (nZEB) s tendencijom skorog proširenja obaveze za postizanje nZEB standarda potrošnje energije, s finalnom potrošnjom od cca 34 kWh/m²a. </w:t>
      </w:r>
      <w:r w:rsidR="00473B26">
        <w:t>Očekuje se da će r</w:t>
      </w:r>
      <w:r w:rsidRPr="00C27AD5">
        <w:t xml:space="preserve">ast ukupnog stambenog fonda će biti </w:t>
      </w:r>
      <w:r>
        <w:t>po prosječnoj stopi od cca 6600 stambenih jedinica od 2021. do 2030., 6300 od 2031. do 2040. i 6050 jedinica od 2041. do 2050. godine. Kako bi se taj rast ukupnog fonda ostvario, u razdoblju od 2021. do 2030. se o</w:t>
      </w:r>
      <w:r w:rsidRPr="00C27AD5">
        <w:t>čekuje 10.930.698 m² novih zgrada</w:t>
      </w:r>
      <w:r>
        <w:t xml:space="preserve"> i 8.630.863 m² obnovljenih zgrada (cca 30.000 novih i obnovljenih stambenih jedinica godišnje, uz vrlo visoku stopu napuštanja i rušenja starijih jedinica niže kvalitete od oko 11.200 jedinica godišnje). Od</w:t>
      </w:r>
      <w:r w:rsidRPr="00C27AD5">
        <w:t xml:space="preserve"> 2031. do 2040. </w:t>
      </w:r>
      <w:r>
        <w:t>površina novo</w:t>
      </w:r>
      <w:r w:rsidR="00C651D3">
        <w:t>i</w:t>
      </w:r>
      <w:r>
        <w:t xml:space="preserve">zgrađenih stambenih zgrada će biti </w:t>
      </w:r>
      <w:r w:rsidRPr="00C27AD5">
        <w:t>14.721.602 m²</w:t>
      </w:r>
      <w:r>
        <w:t>, uz 9.022.863 m² obnovljenih stambenih zgrada.</w:t>
      </w:r>
      <w:r w:rsidRPr="00C27AD5">
        <w:t xml:space="preserve"> </w:t>
      </w:r>
      <w:r>
        <w:t xml:space="preserve">Ova površina obnovljenih zgrada godišnje odgovara stopi rekonstrukcije od 1,6% godišnje. </w:t>
      </w:r>
    </w:p>
    <w:p w14:paraId="64C921A5" w14:textId="7494BF14" w:rsidR="00F72C88" w:rsidRDefault="0016463B" w:rsidP="00F72C88">
      <w:r w:rsidRPr="0016463B">
        <w:t xml:space="preserve">Prosječna finalna potrošnja energije u stambenom sektoru će iznositi 30 kWh/m²a za </w:t>
      </w:r>
      <w:r w:rsidR="009F62CE" w:rsidRPr="0016463B">
        <w:t>novoizgrađe</w:t>
      </w:r>
      <w:r w:rsidR="009F62CE">
        <w:t>n</w:t>
      </w:r>
      <w:r w:rsidR="009F62CE" w:rsidRPr="0016463B">
        <w:t xml:space="preserve">e </w:t>
      </w:r>
      <w:r w:rsidRPr="0016463B">
        <w:t>i rekonstruirane zgrade u oba scenarija, a očekuje se da i nestambeni sektor neće bitno odstupati od toga.</w:t>
      </w:r>
      <w:r w:rsidR="00F72C88">
        <w:t xml:space="preserve"> </w:t>
      </w:r>
    </w:p>
    <w:p w14:paraId="514FF5EF" w14:textId="65AB9FDF" w:rsidR="00893FDE" w:rsidRDefault="00893FDE" w:rsidP="00DF6C56">
      <w:r>
        <w:t>Potrebno je istaknuti da</w:t>
      </w:r>
      <w:r w:rsidR="009D0A34">
        <w:t xml:space="preserve"> </w:t>
      </w:r>
      <w:r w:rsidR="00B40690">
        <w:t xml:space="preserve">će, </w:t>
      </w:r>
      <w:r w:rsidR="009D0A34">
        <w:t xml:space="preserve">prema članku 2.a </w:t>
      </w:r>
      <w:r w:rsidR="00D464A2">
        <w:t xml:space="preserve">Direktive </w:t>
      </w:r>
      <w:r w:rsidR="00DB1E46">
        <w:t>2018/844 o izmjeni</w:t>
      </w:r>
      <w:r w:rsidR="009D0A34">
        <w:t xml:space="preserve"> Direktive 2010/31/EU o energetskim svojstvima zgrada</w:t>
      </w:r>
      <w:r w:rsidR="00B40690">
        <w:t xml:space="preserve">, RH donijeti novu Dugoročnu strategiju </w:t>
      </w:r>
      <w:r w:rsidR="00514EC1">
        <w:t>za poticanje ulaganja u obnovu nacionalnog fonda zgrada, s planom</w:t>
      </w:r>
      <w:r w:rsidR="00DF6C56">
        <w:t xml:space="preserve"> mjera i pokazat</w:t>
      </w:r>
      <w:r w:rsidR="00C651D3">
        <w:t>e</w:t>
      </w:r>
      <w:r w:rsidR="00DF6C56">
        <w:t>ljima za 2030.,</w:t>
      </w:r>
      <w:r w:rsidR="0086329E">
        <w:t xml:space="preserve"> </w:t>
      </w:r>
      <w:r w:rsidR="00DF6C56">
        <w:t>2040.</w:t>
      </w:r>
      <w:r w:rsidR="0086329E">
        <w:t xml:space="preserve"> </w:t>
      </w:r>
      <w:r w:rsidR="00DF6C56">
        <w:t>i</w:t>
      </w:r>
      <w:r w:rsidR="0086329E">
        <w:t xml:space="preserve"> </w:t>
      </w:r>
      <w:r w:rsidR="00DF6C56">
        <w:t>2050. godinu, koja će biti usklađena sa Strategijom ene</w:t>
      </w:r>
      <w:r w:rsidR="00166794">
        <w:t>rgetskog razvoja RH.</w:t>
      </w:r>
      <w:r w:rsidR="0086329E">
        <w:t xml:space="preserve"> </w:t>
      </w:r>
    </w:p>
    <w:p w14:paraId="493DD773" w14:textId="10D37D4D" w:rsidR="00FF0CF3" w:rsidRPr="00F336FB" w:rsidRDefault="00AA317F" w:rsidP="00F336FB">
      <w:pPr>
        <w:shd w:val="clear" w:color="auto" w:fill="D9D9D9" w:themeFill="background1" w:themeFillShade="D9"/>
        <w:rPr>
          <w:i/>
        </w:rPr>
      </w:pPr>
      <w:r>
        <w:rPr>
          <w:i/>
        </w:rPr>
        <w:t xml:space="preserve">Ukupna površina </w:t>
      </w:r>
      <w:r w:rsidR="003F5FB0">
        <w:rPr>
          <w:i/>
        </w:rPr>
        <w:t>zgrada središnje državne uprave koja se obn</w:t>
      </w:r>
      <w:r w:rsidR="00D43BFD">
        <w:rPr>
          <w:i/>
        </w:rPr>
        <w:t>a</w:t>
      </w:r>
      <w:r w:rsidR="003F5FB0">
        <w:rPr>
          <w:i/>
        </w:rPr>
        <w:t>vlja ili ekvivalentne uštede u razdoblju od 2021. do 2030. godine</w:t>
      </w:r>
      <w:r w:rsidR="001708DE">
        <w:rPr>
          <w:i/>
        </w:rPr>
        <w:t xml:space="preserve"> u skladu s člankom 5. o vodećoj ulozi javnog sektora Direktive </w:t>
      </w:r>
      <w:r w:rsidR="00EC128B" w:rsidRPr="00F336FB">
        <w:rPr>
          <w:i/>
        </w:rPr>
        <w:t>2012/27/EU</w:t>
      </w:r>
    </w:p>
    <w:p w14:paraId="69AD2E22" w14:textId="4EECC058" w:rsidR="002575AA" w:rsidRDefault="002575AA" w:rsidP="00FF0CF3">
      <w:r w:rsidRPr="00201944">
        <w:t xml:space="preserve">U Republici Hrvatskoj je u 2010. godini evidentirano ukupno 13,8 milijuna </w:t>
      </w:r>
      <w:r w:rsidR="00562367">
        <w:t>m</w:t>
      </w:r>
      <w:r w:rsidR="00562367" w:rsidRPr="00DA6CE3">
        <w:rPr>
          <w:vertAlign w:val="superscript"/>
        </w:rPr>
        <w:t>2</w:t>
      </w:r>
      <w:r w:rsidRPr="00201944">
        <w:t xml:space="preserve"> korisne </w:t>
      </w:r>
      <w:r w:rsidR="00562367">
        <w:t>grijane</w:t>
      </w:r>
      <w:r w:rsidRPr="00201944">
        <w:t xml:space="preserve"> površine zgrada javnog sektora, prema podacima </w:t>
      </w:r>
      <w:r w:rsidR="00945CCB" w:rsidRPr="00201944">
        <w:t>i</w:t>
      </w:r>
      <w:r w:rsidRPr="00201944">
        <w:t>z Nacionalnog informacijskog sustava za gospodarenje energijom</w:t>
      </w:r>
      <w:bookmarkStart w:id="226" w:name="_GoBack"/>
      <w:r w:rsidRPr="00201944">
        <w:t xml:space="preserve">. </w:t>
      </w:r>
      <w:r w:rsidR="00945CCB" w:rsidRPr="00C34415">
        <w:t>Za ostvarenje obveze obnove 3% ukupne</w:t>
      </w:r>
      <w:r w:rsidR="00945CCB" w:rsidRPr="00201944">
        <w:t xml:space="preserve"> površine poda grijanih i/ili hlađenih zgrada u vlasništvu i uporabi središnje vlasti</w:t>
      </w:r>
      <w:r w:rsidR="0065233E" w:rsidRPr="00ED6587">
        <w:t xml:space="preserve">, RH je u razdoblju </w:t>
      </w:r>
      <w:bookmarkEnd w:id="226"/>
      <w:r w:rsidR="0065233E" w:rsidRPr="00ED6587">
        <w:t xml:space="preserve">do 2020. godine odabrala alternativni pristup, odnosno odredila je </w:t>
      </w:r>
      <w:r w:rsidR="00FC7930">
        <w:t xml:space="preserve">cilj u </w:t>
      </w:r>
      <w:r w:rsidR="00FC7930" w:rsidRPr="00ED6587">
        <w:t>ekvivalentn</w:t>
      </w:r>
      <w:r w:rsidR="00FC7930">
        <w:t>im</w:t>
      </w:r>
      <w:r w:rsidR="00FC7930" w:rsidRPr="00ED6587">
        <w:t xml:space="preserve"> ušted</w:t>
      </w:r>
      <w:r w:rsidR="00FC7930">
        <w:t>ama</w:t>
      </w:r>
      <w:r w:rsidR="00FC7930" w:rsidRPr="00ED6587">
        <w:t xml:space="preserve"> </w:t>
      </w:r>
      <w:r w:rsidR="0065233E" w:rsidRPr="00ED6587">
        <w:t xml:space="preserve">od </w:t>
      </w:r>
      <w:r w:rsidR="006406E1" w:rsidRPr="006406E1">
        <w:t>0,005523 PJ</w:t>
      </w:r>
      <w:r w:rsidR="006406E1">
        <w:t xml:space="preserve"> godišnje</w:t>
      </w:r>
      <w:r w:rsidR="006406E1">
        <w:rPr>
          <w:rStyle w:val="FootnoteReference"/>
        </w:rPr>
        <w:footnoteReference w:id="2"/>
      </w:r>
      <w:r w:rsidR="006406E1">
        <w:t>. O</w:t>
      </w:r>
      <w:r w:rsidR="00ED6587">
        <w:t xml:space="preserve">vaj pristup primijenit će se i u razdoblju do 2030. godine. </w:t>
      </w:r>
    </w:p>
    <w:p w14:paraId="017B4C6A" w14:textId="42CE3491" w:rsidR="00FF0CF3" w:rsidRPr="00EC128B" w:rsidRDefault="00FF0CF3" w:rsidP="00EC128B">
      <w:pPr>
        <w:pStyle w:val="ListParagraph"/>
        <w:numPr>
          <w:ilvl w:val="0"/>
          <w:numId w:val="61"/>
        </w:numPr>
        <w:tabs>
          <w:tab w:val="clear" w:pos="431"/>
        </w:tabs>
        <w:suppressAutoHyphens w:val="0"/>
        <w:spacing w:after="160" w:line="259" w:lineRule="auto"/>
        <w:contextualSpacing/>
        <w:jc w:val="left"/>
        <w:rPr>
          <w:b/>
          <w:i/>
        </w:rPr>
      </w:pPr>
      <w:r w:rsidRPr="00EC128B">
        <w:rPr>
          <w:b/>
          <w:i/>
        </w:rPr>
        <w:t>Ako je primjenjivo, drugi nacionalni ciljevi, uključujući dugoročne ciljeve ili strategije i sektorske ciljeve, i nacionalni ciljevi u područjima kao što su energetska učinkovitost u prometnom sektoru i energetska učinkovitost u odnosu na grijanje i hlađenje</w:t>
      </w:r>
    </w:p>
    <w:p w14:paraId="7BDC141E" w14:textId="53B70698" w:rsidR="00FF0CF3" w:rsidRPr="00FC7930" w:rsidRDefault="0011123C" w:rsidP="00FF0CF3">
      <w:r w:rsidRPr="00276CE9">
        <w:t>Nije primjenjivo.</w:t>
      </w:r>
      <w:r w:rsidRPr="00FC7930">
        <w:t xml:space="preserve"> </w:t>
      </w:r>
    </w:p>
    <w:p w14:paraId="44FCB64A" w14:textId="77777777" w:rsidR="00FF0CF3" w:rsidRDefault="00FF0CF3" w:rsidP="00FF0CF3"/>
    <w:p w14:paraId="2DEA043C" w14:textId="24448672" w:rsidR="00FF0CF3" w:rsidRDefault="00FF0CF3" w:rsidP="00FF0CF3">
      <w:pPr>
        <w:pStyle w:val="Heading2"/>
      </w:pPr>
      <w:bookmarkStart w:id="227" w:name="_Toc531801539"/>
      <w:bookmarkStart w:id="228" w:name="_Toc531801668"/>
      <w:bookmarkStart w:id="229" w:name="_Toc531801794"/>
      <w:bookmarkStart w:id="230" w:name="_Toc531801922"/>
      <w:bookmarkStart w:id="231" w:name="_Toc531935142"/>
      <w:bookmarkStart w:id="232" w:name="_Toc531945092"/>
      <w:bookmarkEnd w:id="227"/>
      <w:bookmarkEnd w:id="228"/>
      <w:bookmarkEnd w:id="229"/>
      <w:bookmarkEnd w:id="230"/>
      <w:r>
        <w:t>Dimenzija: energetska sigurnost</w:t>
      </w:r>
      <w:bookmarkEnd w:id="231"/>
      <w:bookmarkEnd w:id="232"/>
    </w:p>
    <w:p w14:paraId="05B132FD" w14:textId="42551B50" w:rsidR="00FF0CF3" w:rsidRDefault="00FF0CF3" w:rsidP="005822F8">
      <w:pPr>
        <w:pStyle w:val="ListParagraph"/>
        <w:numPr>
          <w:ilvl w:val="0"/>
          <w:numId w:val="11"/>
        </w:numPr>
        <w:tabs>
          <w:tab w:val="clear" w:pos="431"/>
        </w:tabs>
        <w:suppressAutoHyphens w:val="0"/>
        <w:spacing w:after="160" w:line="259" w:lineRule="auto"/>
        <w:contextualSpacing/>
        <w:jc w:val="left"/>
      </w:pPr>
      <w:r>
        <w:t>Nacionalne ciljeve za jačanje diversifikacije izvora energije i opskrbe iz trećih zemalja, skladištenja i odgovora na potražnju;</w:t>
      </w:r>
    </w:p>
    <w:p w14:paraId="3DD81BD2" w14:textId="71C7D42C" w:rsidR="00BB10F4" w:rsidRPr="00462AD9" w:rsidRDefault="00BB10F4" w:rsidP="00495F18">
      <w:r w:rsidRPr="00462AD9">
        <w:t>U smislu sigurnosti opskrbe plin</w:t>
      </w:r>
      <w:r>
        <w:t>om</w:t>
      </w:r>
      <w:r w:rsidRPr="00462AD9">
        <w:t>, potrebno je osigurati unutarnju operativnu sigurnost opskrbe plinom, kao i sigurnost dobave plina. Hrvatska se u ovom trenutku opskrbljuje plinom iz domaće proizvodnje</w:t>
      </w:r>
      <w:r>
        <w:t xml:space="preserve"> i</w:t>
      </w:r>
      <w:r w:rsidRPr="00462AD9">
        <w:t xml:space="preserve"> iz uvoza preko dobavnih pravaca iz Slovenije i Mađarske, a vršne potrebe zadovoljava opskrbom iz </w:t>
      </w:r>
      <w:r>
        <w:t>podzemnog skladišta plina</w:t>
      </w:r>
      <w:r w:rsidRPr="00462AD9">
        <w:t xml:space="preserve"> Okoli.</w:t>
      </w:r>
      <w:r>
        <w:t xml:space="preserve"> Dobavne je pravce potrebno diverzificirati te povećati kapacitete skladišta plina.</w:t>
      </w:r>
    </w:p>
    <w:p w14:paraId="6691480B" w14:textId="2819BDE8" w:rsidR="000B22EA" w:rsidRDefault="000B22EA" w:rsidP="00276CE9">
      <w:pPr>
        <w:suppressAutoHyphens w:val="0"/>
        <w:spacing w:line="259" w:lineRule="auto"/>
      </w:pPr>
      <w:r>
        <w:t>Skladištenje</w:t>
      </w:r>
      <w:r w:rsidR="00BB10F4">
        <w:t xml:space="preserve"> energije u elektroenergetskom sustavu pridonijet će njegovoj fleksibilnosti. U narednom se razdoblju očekuje izgradnja crpne hidroelektrane, što će omogućiti veću integraciju v</w:t>
      </w:r>
      <w:r w:rsidR="00D43BFD">
        <w:t>a</w:t>
      </w:r>
      <w:r w:rsidR="00BB10F4">
        <w:t>rijabilnih obnovljivih izvora energije, prvenstveno sunca i vjetra.</w:t>
      </w:r>
    </w:p>
    <w:p w14:paraId="7591F8AC" w14:textId="23D65AB9" w:rsidR="000B22EA" w:rsidRDefault="00495F18" w:rsidP="00D32B0B">
      <w:pPr>
        <w:suppressAutoHyphens w:val="0"/>
        <w:spacing w:line="259" w:lineRule="auto"/>
      </w:pPr>
      <w:r>
        <w:t xml:space="preserve">Potrebno je omogućiti </w:t>
      </w:r>
      <w:r w:rsidRPr="00495F18">
        <w:t>odgovor na potražnju</w:t>
      </w:r>
      <w:r>
        <w:t xml:space="preserve"> i sudjelovanje kra</w:t>
      </w:r>
      <w:r w:rsidR="000C2C2E">
        <w:t>j</w:t>
      </w:r>
      <w:r>
        <w:t>njih kupaca s vlastitom proizvodnjom na tržištu električne energije.</w:t>
      </w:r>
    </w:p>
    <w:p w14:paraId="6F35A565" w14:textId="77777777" w:rsidR="00495F18" w:rsidRDefault="00495F18" w:rsidP="00276CE9">
      <w:pPr>
        <w:suppressAutoHyphens w:val="0"/>
        <w:spacing w:line="259" w:lineRule="auto"/>
      </w:pPr>
    </w:p>
    <w:p w14:paraId="79FDC86F" w14:textId="55BDF20A" w:rsidR="00FF0CF3" w:rsidRDefault="00FF0CF3" w:rsidP="005822F8">
      <w:pPr>
        <w:pStyle w:val="ListParagraph"/>
        <w:numPr>
          <w:ilvl w:val="0"/>
          <w:numId w:val="11"/>
        </w:numPr>
        <w:tabs>
          <w:tab w:val="clear" w:pos="431"/>
        </w:tabs>
        <w:suppressAutoHyphens w:val="0"/>
        <w:spacing w:after="160" w:line="259" w:lineRule="auto"/>
        <w:contextualSpacing/>
        <w:jc w:val="left"/>
      </w:pPr>
      <w:r>
        <w:t xml:space="preserve">Ako je primjenjivo, </w:t>
      </w:r>
      <w:bookmarkStart w:id="233" w:name="_Hlk531787102"/>
      <w:r>
        <w:t>nacionalni ciljevi u pogledu smanjenja ovisnosti o energiji uvezenoj iz trećih zemalja</w:t>
      </w:r>
    </w:p>
    <w:p w14:paraId="72FB5082" w14:textId="73E69B3A" w:rsidR="000B22EA" w:rsidRDefault="00495F18" w:rsidP="00D32B0B">
      <w:pPr>
        <w:suppressAutoHyphens w:val="0"/>
        <w:spacing w:after="160" w:line="259" w:lineRule="auto"/>
        <w:contextualSpacing/>
        <w:jc w:val="left"/>
      </w:pPr>
      <w:r>
        <w:t xml:space="preserve">U cilju smanjenja uvoza energenata iz trećih zemalja, potrebno je istražiti potencijalna ležišta </w:t>
      </w:r>
      <w:r w:rsidR="00C40F03">
        <w:t>ugljikovodika</w:t>
      </w:r>
      <w:r>
        <w:t xml:space="preserve"> u Slavoniji i Dinaridima te ležišta plina u južnom Jadranu.</w:t>
      </w:r>
    </w:p>
    <w:p w14:paraId="66FF857E" w14:textId="77777777" w:rsidR="00495F18" w:rsidRDefault="00495F18" w:rsidP="00276CE9">
      <w:pPr>
        <w:suppressAutoHyphens w:val="0"/>
        <w:spacing w:after="160" w:line="259" w:lineRule="auto"/>
        <w:contextualSpacing/>
        <w:jc w:val="left"/>
      </w:pPr>
    </w:p>
    <w:bookmarkEnd w:id="233"/>
    <w:p w14:paraId="17FF30D4" w14:textId="77777777" w:rsidR="00FF0CF3" w:rsidRDefault="00FF0CF3" w:rsidP="005822F8">
      <w:pPr>
        <w:pStyle w:val="ListParagraph"/>
        <w:numPr>
          <w:ilvl w:val="0"/>
          <w:numId w:val="11"/>
        </w:numPr>
        <w:tabs>
          <w:tab w:val="clear" w:pos="431"/>
        </w:tabs>
        <w:suppressAutoHyphens w:val="0"/>
        <w:spacing w:after="160" w:line="259" w:lineRule="auto"/>
        <w:contextualSpacing/>
        <w:jc w:val="left"/>
      </w:pPr>
      <w:r>
        <w:t xml:space="preserve">Nacionalni ciljevi u pogledu spremnosti na suočavanje s ograničenom opskrbom ili prekidom opskrbe iz određenog izvora energije (uključujući plin i električnu energiju) i, ako je primjenjivo, vremenski okvir u kojem će ti ciljevi biti ostvareni </w:t>
      </w:r>
    </w:p>
    <w:p w14:paraId="1723A5AE" w14:textId="0CBB5FFF" w:rsidR="00B01FEC" w:rsidRDefault="00B01FEC" w:rsidP="00D32B0B">
      <w:r>
        <w:t>Najvažniji cilj unutar dimenzije ene</w:t>
      </w:r>
      <w:r w:rsidR="00D43BFD">
        <w:t>r</w:t>
      </w:r>
      <w:r>
        <w:t xml:space="preserve">getska sigurnost je osigurati trajnu, sigurnu i kvalitetnu opskrbu svim energentima. Kako bi se ostvario taj cilj, potrebno je pokrenuti integralno i </w:t>
      </w:r>
      <w:r w:rsidR="005D0CDF">
        <w:t>sustavno</w:t>
      </w:r>
      <w:r>
        <w:t xml:space="preserve"> planiranje </w:t>
      </w:r>
      <w:r w:rsidR="000B22EA">
        <w:t>ops</w:t>
      </w:r>
      <w:r w:rsidR="00D43BFD">
        <w:t>k</w:t>
      </w:r>
      <w:r w:rsidR="000B22EA">
        <w:t>rbe svim energentima i oblicima energije.</w:t>
      </w:r>
    </w:p>
    <w:p w14:paraId="18961045" w14:textId="34014201" w:rsidR="00A626AB" w:rsidRDefault="00A626AB" w:rsidP="00FF70ED">
      <w:pPr>
        <w:suppressAutoHyphens w:val="0"/>
        <w:spacing w:after="160" w:line="259" w:lineRule="auto"/>
        <w:contextualSpacing/>
        <w:jc w:val="left"/>
        <w:rPr>
          <w:u w:val="single"/>
        </w:rPr>
      </w:pPr>
      <w:r>
        <w:rPr>
          <w:u w:val="single"/>
        </w:rPr>
        <w:t>Plinski sektor</w:t>
      </w:r>
    </w:p>
    <w:p w14:paraId="4E3C7D9D" w14:textId="77777777" w:rsidR="00A626AB" w:rsidRDefault="00A626AB" w:rsidP="00A626AB">
      <w:r>
        <w:t xml:space="preserve">Osnovni okvir za uređenje sigurnosti opskrbe prirodnim plinom u Republici Hrvatskoj propisuje Uredba br. 1938/2017 Europskog parlamenta i Europskog vijeća o mjerama zaštite sigurnosti opskrbe plinom i stavljanju izvan snage Uredbe (EU) br. 994/2010. </w:t>
      </w:r>
      <w:r w:rsidRPr="00FC00F5">
        <w:t xml:space="preserve">Ovom Uredbom nastoji se osigurati poduzimanje svih potrebnih mjera za zaštitu neprekinute opskrbe plinom, a posebno opskrbe zaštićenih kupaca u slučaju teških klimatskih uvjeta ili poremećaja u opskrbi plinom. </w:t>
      </w:r>
    </w:p>
    <w:p w14:paraId="01ABC30F" w14:textId="77777777" w:rsidR="00A626AB" w:rsidRDefault="00A626AB" w:rsidP="00A626AB">
      <w:r>
        <w:t>Uredba 1938/2017 je stupila na snagu 1. studenog 2017., a cilj Uredbe je povećanje solidarnosti i povjerenja među državama članicama i uspostava mjera potrebnih za ostvarenje tih ciljeva</w:t>
      </w:r>
      <w:r w:rsidRPr="00FC00F5">
        <w:t xml:space="preserve"> troškovno najučinkovitijim mjerama i na način kojim se neće narušiti tržišta plina.</w:t>
      </w:r>
      <w:r>
        <w:t xml:space="preserve"> Glavna poboljšanja u odnosu na prethodnu Uredbu 994/2010 su:</w:t>
      </w:r>
    </w:p>
    <w:p w14:paraId="3566D3D1" w14:textId="77777777" w:rsidR="00A626AB" w:rsidRDefault="00A626AB" w:rsidP="00A626AB">
      <w:pPr>
        <w:pStyle w:val="ListParagraph"/>
        <w:numPr>
          <w:ilvl w:val="0"/>
          <w:numId w:val="89"/>
        </w:numPr>
        <w:tabs>
          <w:tab w:val="clear" w:pos="431"/>
        </w:tabs>
        <w:suppressAutoHyphens w:val="0"/>
        <w:spacing w:after="160" w:line="259" w:lineRule="auto"/>
        <w:contextualSpacing/>
      </w:pPr>
      <w:r>
        <w:t>uvođenje mehanizma solidarnosti prema kojem će u slučaju ozbiljne krizne situacije susjedne države članice pomagati u osiguranju opskrbe kućanstava i ključnih javnih usluga,</w:t>
      </w:r>
    </w:p>
    <w:p w14:paraId="44D8C9B3" w14:textId="77777777" w:rsidR="00A626AB" w:rsidRDefault="00A626AB" w:rsidP="00A626AB">
      <w:pPr>
        <w:pStyle w:val="ListParagraph"/>
        <w:numPr>
          <w:ilvl w:val="0"/>
          <w:numId w:val="89"/>
        </w:numPr>
        <w:tabs>
          <w:tab w:val="clear" w:pos="431"/>
        </w:tabs>
        <w:suppressAutoHyphens w:val="0"/>
        <w:spacing w:after="160" w:line="259" w:lineRule="auto"/>
        <w:contextualSpacing/>
      </w:pPr>
      <w:r>
        <w:t xml:space="preserve">jačanje regionalne suradnje putem regionalnih skupina za rizik, te zajedničke procjene sigurnosnih rizika i usuglašenih zajedničkih preventivnih i kriznih mjera, te </w:t>
      </w:r>
    </w:p>
    <w:p w14:paraId="4BBEC187" w14:textId="77777777" w:rsidR="00A626AB" w:rsidRDefault="00A626AB" w:rsidP="00A626AB">
      <w:pPr>
        <w:pStyle w:val="ListParagraph"/>
        <w:numPr>
          <w:ilvl w:val="0"/>
          <w:numId w:val="89"/>
        </w:numPr>
        <w:tabs>
          <w:tab w:val="clear" w:pos="431"/>
        </w:tabs>
        <w:suppressAutoHyphens w:val="0"/>
        <w:spacing w:after="160" w:line="259" w:lineRule="auto"/>
        <w:contextualSpacing/>
      </w:pPr>
      <w:r>
        <w:t>veća transparentnost kroz uvođenje obveze priopćivanja nadležnom tijelu ugovora između opskrbljivača i kupca kojima je obuhvaćeno 28 % ili više godišnje potrošnje plina na nacionalnom tržištu.</w:t>
      </w:r>
    </w:p>
    <w:p w14:paraId="7013284A" w14:textId="77777777" w:rsidR="00A626AB" w:rsidRDefault="00A626AB" w:rsidP="00A626AB">
      <w:r>
        <w:t>U skladu s odredbama Zakona o tržištu plina, sudionici na tržištu plina odgovorni su za sigurnost opskrbe plinom u okviru svoje djelatnosti. Nadležno tijelo zaduženo za provedbu mjera iz Uredbe 1938/2017 je Ministarstvo nadležno za energetiku te je odgovorno za:</w:t>
      </w:r>
    </w:p>
    <w:p w14:paraId="29FD8D54" w14:textId="05DA307E" w:rsidR="00A626AB" w:rsidRDefault="00A626AB" w:rsidP="00276CE9">
      <w:pPr>
        <w:pStyle w:val="ListParagraph"/>
        <w:numPr>
          <w:ilvl w:val="0"/>
          <w:numId w:val="90"/>
        </w:numPr>
      </w:pPr>
      <w:r>
        <w:t>praćenje odnosa između ponude i potražnje na tržištu plina,</w:t>
      </w:r>
    </w:p>
    <w:p w14:paraId="7F239F76" w14:textId="23C935C9" w:rsidR="00A626AB" w:rsidRDefault="00A626AB" w:rsidP="00276CE9">
      <w:pPr>
        <w:pStyle w:val="ListParagraph"/>
        <w:numPr>
          <w:ilvl w:val="0"/>
          <w:numId w:val="90"/>
        </w:numPr>
      </w:pPr>
      <w:r>
        <w:t>izradu procjena buduće potrošnje i raspoložive ponude,</w:t>
      </w:r>
    </w:p>
    <w:p w14:paraId="14A96ACE" w14:textId="08205C58" w:rsidR="00A626AB" w:rsidRDefault="00A626AB" w:rsidP="00276CE9">
      <w:pPr>
        <w:pStyle w:val="ListParagraph"/>
        <w:numPr>
          <w:ilvl w:val="0"/>
          <w:numId w:val="90"/>
        </w:numPr>
      </w:pPr>
      <w:r>
        <w:t>planiranje izgradnje i razvoja dodatnih kapaciteta plinskog sustava i</w:t>
      </w:r>
    </w:p>
    <w:p w14:paraId="42731AE8" w14:textId="32CB2E43" w:rsidR="00A626AB" w:rsidRDefault="00A626AB" w:rsidP="00276CE9">
      <w:pPr>
        <w:pStyle w:val="ListParagraph"/>
        <w:numPr>
          <w:ilvl w:val="0"/>
          <w:numId w:val="90"/>
        </w:numPr>
      </w:pPr>
      <w:r>
        <w:t>predlaganje i poduzimanje mjera u slučaju proglašenja kriznog stanja.</w:t>
      </w:r>
    </w:p>
    <w:p w14:paraId="54DC075A" w14:textId="77777777" w:rsidR="00A626AB" w:rsidRDefault="00A626AB" w:rsidP="00A626AB">
      <w:r>
        <w:t>Jedinice područne (regionalne) samouprave odgovorne su za:</w:t>
      </w:r>
    </w:p>
    <w:p w14:paraId="1812F611" w14:textId="2495431E" w:rsidR="00A626AB" w:rsidRDefault="00A626AB" w:rsidP="00276CE9">
      <w:pPr>
        <w:pStyle w:val="ListParagraph"/>
        <w:numPr>
          <w:ilvl w:val="0"/>
          <w:numId w:val="91"/>
        </w:numPr>
      </w:pPr>
      <w:r>
        <w:t>praćenje odnosa između ponude i potražnje plina na svom području,</w:t>
      </w:r>
    </w:p>
    <w:p w14:paraId="2A76B302" w14:textId="6AFE050A" w:rsidR="00A626AB" w:rsidRDefault="00A626AB" w:rsidP="00276CE9">
      <w:pPr>
        <w:pStyle w:val="ListParagraph"/>
        <w:numPr>
          <w:ilvl w:val="0"/>
          <w:numId w:val="91"/>
        </w:numPr>
      </w:pPr>
      <w:r>
        <w:t>izradu procjena buduće potrošnje i raspoložive ponude,</w:t>
      </w:r>
    </w:p>
    <w:p w14:paraId="26BE1C7C" w14:textId="58D61CDF" w:rsidR="00A626AB" w:rsidRDefault="00A626AB" w:rsidP="00276CE9">
      <w:pPr>
        <w:pStyle w:val="ListParagraph"/>
        <w:numPr>
          <w:ilvl w:val="0"/>
          <w:numId w:val="91"/>
        </w:numPr>
      </w:pPr>
      <w:r>
        <w:t>planiranje izgradnje dodatnih kapaciteta i razvoj distribucijskog sustava na svom području te</w:t>
      </w:r>
    </w:p>
    <w:p w14:paraId="665782D5" w14:textId="12FE28CA" w:rsidR="00A626AB" w:rsidRDefault="00A626AB" w:rsidP="00276CE9">
      <w:pPr>
        <w:pStyle w:val="ListParagraph"/>
        <w:numPr>
          <w:ilvl w:val="0"/>
          <w:numId w:val="91"/>
        </w:numPr>
      </w:pPr>
      <w:r>
        <w:t>predlaganje i poduzimanje mjera u okviru svoje nadležnosti utvrđene zakonom.</w:t>
      </w:r>
    </w:p>
    <w:p w14:paraId="464311A6" w14:textId="77777777" w:rsidR="00A626AB" w:rsidRDefault="00A626AB" w:rsidP="00A626AB">
      <w:r>
        <w:t>Nadalje, Uredbom (EU) br. 1938/2017 utvrđena je obveza nadležnih institucija za izradu:</w:t>
      </w:r>
    </w:p>
    <w:p w14:paraId="1608F934" w14:textId="27AFCC00" w:rsidR="00A626AB" w:rsidRDefault="00A626AB" w:rsidP="00276CE9">
      <w:pPr>
        <w:pStyle w:val="ListParagraph"/>
        <w:numPr>
          <w:ilvl w:val="0"/>
          <w:numId w:val="92"/>
        </w:numPr>
      </w:pPr>
      <w:r>
        <w:t>plana prevencije koji sadrži mjere potrebne za uklanjanje i ublažavanje utvrđenih rizika i</w:t>
      </w:r>
    </w:p>
    <w:p w14:paraId="714D08F1" w14:textId="7B4CC652" w:rsidR="00A626AB" w:rsidRDefault="00A626AB" w:rsidP="00276CE9">
      <w:pPr>
        <w:pStyle w:val="ListParagraph"/>
        <w:numPr>
          <w:ilvl w:val="0"/>
          <w:numId w:val="92"/>
        </w:numPr>
      </w:pPr>
      <w:r>
        <w:t>interventnog plana koji sadrži mjere koje se poduzimaju radi uklanjanja, odnosno, ublažavanja utjecaja poremećaja u opskrbi plinom.</w:t>
      </w:r>
    </w:p>
    <w:p w14:paraId="335D0993" w14:textId="77777777" w:rsidR="00A626AB" w:rsidRDefault="00A626AB" w:rsidP="00A626AB">
      <w:r>
        <w:t xml:space="preserve">Vlada RH je, radi utvrđivanja plana prevencije koji sadrži mjere potrebne za uklanjanje i ublažavanje utvrđenih rizika, sukladno s procjenom rizika provedenom na temelju članka 9. Uredbe (EU) br. 994/2010 i utvrđivanja interventnog plana koji sadrži mjere koje se poduzimaju radi uklanjanja ili ublažavanja utjecaja poremećaja u opskrbi plinom sukladno članku 10. Uredbe (EU) br. 994/2010, donijela Plan intervencije o mjerama zaštite sigurnosti opskrbe plinom Republike Hrvatske (NN 78/2014), kojim su, između ostalog, definirane i obveze operatora sustava skladišta plina vezane uz sigurnost opskrbe (npr. </w:t>
      </w:r>
      <w:r w:rsidRPr="00580F86">
        <w:t>osigurati maksimalnu zapunjenost skladišta plina prije početka ogrjevne sezone</w:t>
      </w:r>
      <w:r>
        <w:t>)</w:t>
      </w:r>
      <w:r w:rsidRPr="00580F86">
        <w:t>.</w:t>
      </w:r>
    </w:p>
    <w:p w14:paraId="3E355C9E" w14:textId="77777777" w:rsidR="00A626AB" w:rsidRDefault="00A626AB" w:rsidP="00A626AB">
      <w:r>
        <w:t>U svrhu utvrđivanja kriterija za stjecanje statusa zaštićenog kupca i mjera zaštite s ciljem pouzdane opskrbe zaštićenih kupaca, Vlada RH je donijela Uredbu o kriterijima za stjecanje statusa zaštićenog kupca u uvjetima kriznih stanja u opskrbi plinom (NN 65/2015).</w:t>
      </w:r>
    </w:p>
    <w:p w14:paraId="202EFEC7" w14:textId="77777777" w:rsidR="00A626AB" w:rsidRDefault="00A626AB" w:rsidP="00A626AB">
      <w:r>
        <w:t>Planovi prevencije i interventni planovi izrađeni u skladu s Uredbom 994/2010 ostaju na snazi dok ne budu doneseni novi planovi prevencije i interventni planovi izrađeni u skladu s Uredbom 1938/2017.</w:t>
      </w:r>
    </w:p>
    <w:p w14:paraId="45F0E8EA" w14:textId="77777777" w:rsidR="00A626AB" w:rsidRDefault="00A626AB" w:rsidP="00A626AB">
      <w:r w:rsidRPr="00521A1F">
        <w:t>Radi očuvanja sigurnosti opskrbe prirodnim plinom interes Republike Hrvatske je osigurati realizaciju projekta terminala za UPP na otoku Krku sukladno Strategiji energetskog razvoja Republike Hrvatske, Strategiji skladištenja prirodnog plina Europske unije i Strategiji sigurne opskrbe energijom Europske unije.</w:t>
      </w:r>
      <w:r>
        <w:t xml:space="preserve"> Realizacija projekta terminala za UPP na otoku Krku osigurat će novi dobavni pravac prirodnog plina te će diversificirati putove i izvore opskrbe prirodnim plinom na tržištu Republike Hrvatske i Europske unije, a što će bitno utjecati na sigurnost opskrbe prirodnim plinom.</w:t>
      </w:r>
    </w:p>
    <w:p w14:paraId="462443EE" w14:textId="77777777" w:rsidR="00A626AB" w:rsidRDefault="00A626AB" w:rsidP="00A626AB">
      <w:r w:rsidRPr="006A796A">
        <w:t xml:space="preserve">Sukladno Uredbi (EU) </w:t>
      </w:r>
      <w:r>
        <w:t>1938/</w:t>
      </w:r>
      <w:r w:rsidRPr="006A796A">
        <w:t>2017</w:t>
      </w:r>
      <w:r>
        <w:t>, preventivne mjere za sigurnost opskrbe uključuju i mjere diversifikacije putova i izvora opskrbe prirodnim plinom., a realizacija projekta terminala za UPP na otoku Krku identificirana je kao glavna mjera diversifikacije putova i izvora opskrbe prirodnim plinom.</w:t>
      </w:r>
    </w:p>
    <w:p w14:paraId="784EE304" w14:textId="77777777" w:rsidR="00A626AB" w:rsidRDefault="00A626AB" w:rsidP="00A626AB">
      <w:r>
        <w:t xml:space="preserve">Radi osiguranja ove mjere, sukladno Zakonu o terminalu za ukapljeni prirodni plin (NN 57/2018) </w:t>
      </w:r>
      <w:r w:rsidRPr="006A796A">
        <w:t>Hrvatska energetska regulatorna agencija</w:t>
      </w:r>
      <w:r>
        <w:t xml:space="preserve"> može odlukom odrediti visinu i način prikupljanja naknade za sigurnost opskrbe prema zahtjevu operatora transportnog sustava, a nastavno na prijedlog operatora terminala za UPP. O</w:t>
      </w:r>
      <w:r w:rsidRPr="006A796A">
        <w:t>perator transportnog sustava prikuplja naknadu za sigurnost opskrbe te je isplaćuje u korist operatora terminala za UPP.</w:t>
      </w:r>
    </w:p>
    <w:p w14:paraId="55254196" w14:textId="77777777" w:rsidR="00A626AB" w:rsidRPr="00276CE9" w:rsidRDefault="00A626AB" w:rsidP="00FF70ED">
      <w:pPr>
        <w:suppressAutoHyphens w:val="0"/>
        <w:spacing w:after="160" w:line="259" w:lineRule="auto"/>
        <w:contextualSpacing/>
        <w:jc w:val="left"/>
      </w:pPr>
    </w:p>
    <w:p w14:paraId="789283C5" w14:textId="1FD3B06A" w:rsidR="00E34EC8" w:rsidRPr="00276CE9" w:rsidRDefault="00B33677" w:rsidP="00276CE9">
      <w:pPr>
        <w:suppressAutoHyphens w:val="0"/>
        <w:spacing w:after="160" w:line="259" w:lineRule="auto"/>
        <w:contextualSpacing/>
        <w:jc w:val="left"/>
        <w:rPr>
          <w:u w:val="single"/>
        </w:rPr>
      </w:pPr>
      <w:r w:rsidRPr="00276CE9">
        <w:rPr>
          <w:u w:val="single"/>
        </w:rPr>
        <w:t>Naftni sektor</w:t>
      </w:r>
    </w:p>
    <w:p w14:paraId="7FCE54BE" w14:textId="5755405A" w:rsidR="00BB54CB" w:rsidRDefault="00D87BF8" w:rsidP="001E678F">
      <w:pPr>
        <w:rPr>
          <w:rFonts w:cs="Arial"/>
        </w:rPr>
      </w:pPr>
      <w:r>
        <w:rPr>
          <w:rFonts w:cs="Arial"/>
        </w:rPr>
        <w:t>Uspostava i provođenje mjera za sigurnu i pouzdanu opskrbu naftom i naftnim derivatima</w:t>
      </w:r>
      <w:r w:rsidR="00C10F94">
        <w:rPr>
          <w:rFonts w:cs="Arial"/>
        </w:rPr>
        <w:t xml:space="preserve"> određena je Zakonom o tržištu nafte i naftnim derivatima (NN</w:t>
      </w:r>
      <w:r w:rsidR="00A917E2">
        <w:rPr>
          <w:rFonts w:cs="Arial"/>
        </w:rPr>
        <w:t xml:space="preserve"> 19/2014, </w:t>
      </w:r>
      <w:r w:rsidR="00C4264E">
        <w:rPr>
          <w:rFonts w:cs="Arial"/>
        </w:rPr>
        <w:t xml:space="preserve">73/2017). </w:t>
      </w:r>
      <w:r w:rsidR="00DB57A9">
        <w:rPr>
          <w:rFonts w:cs="Arial"/>
        </w:rPr>
        <w:t>Na osnovu spomenutog Zakona dones</w:t>
      </w:r>
      <w:r w:rsidR="00841035">
        <w:rPr>
          <w:rFonts w:cs="Arial"/>
        </w:rPr>
        <w:t>en je Plan intervencije u slučaju izvanrednog poremećaja opskrbe tržišta nafte i naftnim derivatima</w:t>
      </w:r>
      <w:r w:rsidR="004D3D9A">
        <w:rPr>
          <w:rFonts w:cs="Arial"/>
        </w:rPr>
        <w:t xml:space="preserve"> </w:t>
      </w:r>
      <w:r w:rsidR="00F50848">
        <w:rPr>
          <w:rFonts w:cs="Arial"/>
        </w:rPr>
        <w:t xml:space="preserve">(NN 111/2012). </w:t>
      </w:r>
      <w:r w:rsidR="004D473C">
        <w:rPr>
          <w:rFonts w:cs="Arial"/>
        </w:rPr>
        <w:t>Planom intervencije utvrđuju se:</w:t>
      </w:r>
    </w:p>
    <w:p w14:paraId="21FE70E8" w14:textId="2CB500C2" w:rsidR="004D473C" w:rsidRPr="0031468F" w:rsidRDefault="00FC6978" w:rsidP="00276CE9">
      <w:pPr>
        <w:pStyle w:val="ListParagraph"/>
        <w:numPr>
          <w:ilvl w:val="0"/>
          <w:numId w:val="21"/>
        </w:numPr>
        <w:rPr>
          <w:rFonts w:cs="Arial"/>
        </w:rPr>
      </w:pPr>
      <w:r>
        <w:rPr>
          <w:rFonts w:cs="Arial"/>
        </w:rPr>
        <w:t xml:space="preserve"> </w:t>
      </w:r>
      <w:r w:rsidR="009A2EB5" w:rsidRPr="00237B4D">
        <w:rPr>
          <w:rFonts w:cs="Arial"/>
        </w:rPr>
        <w:t xml:space="preserve">Postupci i kriteriji za utvrđivanje izvanrednog poremećaja </w:t>
      </w:r>
      <w:r w:rsidR="009450B2" w:rsidRPr="00237B4D">
        <w:rPr>
          <w:rFonts w:cs="Arial"/>
        </w:rPr>
        <w:t>opskrbe tržišta nafte i naftnih derivata</w:t>
      </w:r>
      <w:r w:rsidR="00237B4D" w:rsidRPr="00FC6978">
        <w:rPr>
          <w:rFonts w:cs="Arial"/>
        </w:rPr>
        <w:t>,</w:t>
      </w:r>
    </w:p>
    <w:p w14:paraId="17C62CA0" w14:textId="4DA7780A" w:rsidR="009450B2" w:rsidRPr="0031468F" w:rsidRDefault="00FC6978" w:rsidP="00276CE9">
      <w:pPr>
        <w:pStyle w:val="ListParagraph"/>
        <w:numPr>
          <w:ilvl w:val="0"/>
          <w:numId w:val="21"/>
        </w:numPr>
        <w:rPr>
          <w:rFonts w:cs="Arial"/>
        </w:rPr>
      </w:pPr>
      <w:r>
        <w:rPr>
          <w:rFonts w:cs="Arial"/>
        </w:rPr>
        <w:t xml:space="preserve"> </w:t>
      </w:r>
      <w:r w:rsidR="009450B2">
        <w:rPr>
          <w:rFonts w:cs="Arial"/>
        </w:rPr>
        <w:t xml:space="preserve">Nadležnosti i odgovornosti u slučaju </w:t>
      </w:r>
      <w:r w:rsidR="00237B4D">
        <w:rPr>
          <w:rFonts w:cs="Arial"/>
        </w:rPr>
        <w:t>poremećaja opskrbe,</w:t>
      </w:r>
    </w:p>
    <w:p w14:paraId="30E8433C" w14:textId="2F4975D7" w:rsidR="00237B4D" w:rsidRPr="0031468F" w:rsidRDefault="00237B4D" w:rsidP="00276CE9">
      <w:pPr>
        <w:pStyle w:val="ListParagraph"/>
        <w:numPr>
          <w:ilvl w:val="0"/>
          <w:numId w:val="21"/>
        </w:numPr>
        <w:rPr>
          <w:rFonts w:cs="Arial"/>
        </w:rPr>
      </w:pPr>
      <w:r>
        <w:rPr>
          <w:rFonts w:cs="Arial"/>
        </w:rPr>
        <w:t xml:space="preserve"> Postupci za normalizaciju opskrbe tržišta nafte</w:t>
      </w:r>
      <w:r w:rsidR="00FC6978">
        <w:rPr>
          <w:rFonts w:cs="Arial"/>
        </w:rPr>
        <w:t xml:space="preserve"> i naftnih derivata i</w:t>
      </w:r>
    </w:p>
    <w:p w14:paraId="4F5B3FA8" w14:textId="4122636C" w:rsidR="00FC6978" w:rsidRPr="0031468F" w:rsidRDefault="00FC6978" w:rsidP="00276CE9">
      <w:pPr>
        <w:pStyle w:val="ListParagraph"/>
        <w:numPr>
          <w:ilvl w:val="0"/>
          <w:numId w:val="21"/>
        </w:numPr>
        <w:rPr>
          <w:rFonts w:cs="Arial"/>
        </w:rPr>
      </w:pPr>
      <w:r>
        <w:rPr>
          <w:rFonts w:cs="Arial"/>
        </w:rPr>
        <w:t xml:space="preserve"> Postupci u slučaju međunarodne odluke o puštanju obveznih zaliha nafte i naftnih derivata na tržište.</w:t>
      </w:r>
    </w:p>
    <w:p w14:paraId="03662833" w14:textId="0B5E7BA7" w:rsidR="000C2C2E" w:rsidRPr="00896B83" w:rsidRDefault="003E4692" w:rsidP="00241507">
      <w:pPr>
        <w:rPr>
          <w:rFonts w:cs="Arial"/>
        </w:rPr>
      </w:pPr>
      <w:r w:rsidRPr="003E4692">
        <w:rPr>
          <w:rFonts w:cs="Arial"/>
        </w:rPr>
        <w:t xml:space="preserve">Osim formiranja i držanja obveznih zaliha, a s ciljem povećanja sigurnosti opskrbe, </w:t>
      </w:r>
      <w:r w:rsidR="00896B83">
        <w:rPr>
          <w:rFonts w:cs="Arial"/>
        </w:rPr>
        <w:t>cilj</w:t>
      </w:r>
      <w:r w:rsidRPr="003E4692">
        <w:rPr>
          <w:rFonts w:cs="Arial"/>
        </w:rPr>
        <w:t xml:space="preserve"> je kontinuirana analiza naftnog sektora i to kako sa strane opskrbe tržišta tako i sa strane postojeće i buduće potrošnje, a sve s ciljem pravovremene procjene even</w:t>
      </w:r>
      <w:r w:rsidRPr="00896B83">
        <w:rPr>
          <w:rFonts w:cs="Arial"/>
        </w:rPr>
        <w:t>tualnih rizika vezanih za sigurnost opskrbe. Također je potrebno raditi na razvoju metodologije i alata za procjenu sigurnosti opskrbe.</w:t>
      </w:r>
    </w:p>
    <w:p w14:paraId="587C53DE" w14:textId="77777777" w:rsidR="00B33677" w:rsidRDefault="00B33677" w:rsidP="00276CE9">
      <w:pPr>
        <w:suppressAutoHyphens w:val="0"/>
        <w:spacing w:after="160" w:line="259" w:lineRule="auto"/>
        <w:contextualSpacing/>
      </w:pPr>
    </w:p>
    <w:p w14:paraId="017F16B5" w14:textId="09BA4BDE" w:rsidR="005C19EB" w:rsidRDefault="00FF0CF3" w:rsidP="00276CE9">
      <w:pPr>
        <w:pStyle w:val="ListParagraph"/>
        <w:numPr>
          <w:ilvl w:val="0"/>
          <w:numId w:val="11"/>
        </w:numPr>
        <w:tabs>
          <w:tab w:val="clear" w:pos="431"/>
        </w:tabs>
        <w:suppressAutoHyphens w:val="0"/>
        <w:spacing w:after="160" w:line="259" w:lineRule="auto"/>
        <w:contextualSpacing/>
      </w:pPr>
      <w:r>
        <w:t>Ako je primjenjivo, nacionalni ciljevi u pogledu razvoja nacionalnih domaćih izvora energije</w:t>
      </w:r>
      <w:r w:rsidR="00461782">
        <w:t xml:space="preserve"> </w:t>
      </w:r>
    </w:p>
    <w:p w14:paraId="7DBCCEA2" w14:textId="4F50091F" w:rsidR="00CC28F0" w:rsidRDefault="00CC28F0" w:rsidP="00F2577A">
      <w:pPr>
        <w:suppressAutoHyphens w:val="0"/>
        <w:spacing w:after="160" w:line="259" w:lineRule="auto"/>
      </w:pPr>
    </w:p>
    <w:p w14:paraId="275DD86F" w14:textId="4E8CC3D6" w:rsidR="00CC28F0" w:rsidRPr="00462AD9" w:rsidRDefault="00CC28F0" w:rsidP="00CC28F0">
      <w:r w:rsidRPr="00462AD9">
        <w:t xml:space="preserve">Ukupna potrošnja energije do 2050. godine se smanjuje </w:t>
      </w:r>
      <w:r w:rsidR="00014559">
        <w:t xml:space="preserve">za </w:t>
      </w:r>
      <w:r w:rsidRPr="00462AD9">
        <w:t xml:space="preserve">14 % u odnosu na baznu godinu. </w:t>
      </w:r>
      <w:r w:rsidR="00014559">
        <w:t>V</w:t>
      </w:r>
      <w:r w:rsidRPr="00462AD9">
        <w:t xml:space="preserve">lastita opskrbljenost se najprije povećava na 56 % u 2030. godini, stagnira do 2040. godine te se zatim smanjuje prema kraju razdoblja. </w:t>
      </w:r>
    </w:p>
    <w:p w14:paraId="5644F42A" w14:textId="402D42CB" w:rsidR="00CC28F0" w:rsidRPr="00462AD9" w:rsidRDefault="00E07E61" w:rsidP="00CC28F0">
      <w:r w:rsidRPr="00462AD9">
        <w:rPr>
          <w:noProof/>
        </w:rPr>
        <w:drawing>
          <wp:inline distT="0" distB="0" distL="0" distR="0" wp14:anchorId="47D27563" wp14:editId="6FEE43C2">
            <wp:extent cx="5600700" cy="2781300"/>
            <wp:effectExtent l="0" t="0" r="0" b="0"/>
            <wp:docPr id="30" name="Picture 127646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a:ext>
                      </a:extLst>
                    </a:blip>
                    <a:srcRect l="1489" t="9990" r="1291" b="1615"/>
                    <a:stretch/>
                  </pic:blipFill>
                  <pic:spPr bwMode="auto">
                    <a:xfrm>
                      <a:off x="0" y="0"/>
                      <a:ext cx="560070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2E57C0EE" w14:textId="6385025A" w:rsidR="00CC28F0" w:rsidRPr="00462AD9" w:rsidRDefault="00CC28F0" w:rsidP="00CC28F0">
      <w:pPr>
        <w:pStyle w:val="Naslovslike"/>
      </w:pPr>
      <w:bookmarkStart w:id="234" w:name="_Toc528673014"/>
      <w:bookmarkStart w:id="235" w:name="_Toc531935288"/>
      <w:r w:rsidRPr="00E07E61">
        <w:t xml:space="preserve">Slika </w:t>
      </w:r>
      <w:fldSimple w:instr=" STYLEREF 1 \s ">
        <w:r w:rsidR="00856D97" w:rsidRPr="00E07E61">
          <w:rPr>
            <w:noProof/>
          </w:rPr>
          <w:t>2</w:t>
        </w:r>
      </w:fldSimple>
      <w:r w:rsidR="00856D97" w:rsidRPr="00E07E61">
        <w:noBreakHyphen/>
      </w:r>
      <w:fldSimple w:instr=" SEQ Slika \* ARABIC \s 1 ">
        <w:r w:rsidR="00856D97" w:rsidRPr="00E07E61">
          <w:rPr>
            <w:noProof/>
          </w:rPr>
          <w:t>7</w:t>
        </w:r>
      </w:fldSimple>
      <w:r w:rsidRPr="00E07E61">
        <w:t>. Vlastita opskrbljenost energijom</w:t>
      </w:r>
      <w:bookmarkEnd w:id="234"/>
      <w:bookmarkEnd w:id="235"/>
    </w:p>
    <w:p w14:paraId="779143D9" w14:textId="06005DC1" w:rsidR="00CC28F0" w:rsidRDefault="00D26F83" w:rsidP="00CC28F0">
      <w:r>
        <w:t>P</w:t>
      </w:r>
      <w:r w:rsidR="00CC28F0">
        <w:t>redviđa se snažan porast udjela promjenjivih OIE (vjetroelektrana i sunčane elektrane) te se u razdoblju do 2030. godine očekuju aktivnosti na povećanju fleks</w:t>
      </w:r>
      <w:r w:rsidR="00D43BFD">
        <w:t>i</w:t>
      </w:r>
      <w:r w:rsidR="00CC28F0">
        <w:t>bilnosti sustava koja će se osiguravati iz postojećih i planiranih akumulacijskih hidroelektrana, postojećih i planiranih reverzibilnih hidroelektrana, baterijskih sustava na razini sustava i na razini potrošnje, plinskih elektrana otvorenog ciklusa, organizacijom tržišta uravnoteženja (za dobavu usluga iz domaćih izvora i iz drugih sustava; uvođenje odgovornosti za uravnoteženje za sudionike tržišta i dr.), poboljšanjem predviđanja proizvodnje iz promjenjivih OIE, pojačanjem elemenata prijenosne mreže i razvojem sustava naprednih mreža i upravljanja sustavom.</w:t>
      </w:r>
    </w:p>
    <w:p w14:paraId="1AE4D06C" w14:textId="77777777" w:rsidR="00CC28F0" w:rsidRDefault="00CC28F0" w:rsidP="00CC28F0">
      <w:r>
        <w:t>Do sada izvršene analize upućuju da do razine integracije od oko 800 MW neće biti potrebni veći zahvati u prijenosnoj mreži u pogledu izgradnje novih vodova i TS (za veće razine integracije HOPS planira primijeniti princip „zonskog priključka“), no značajno se povećavaju zahtjevi na osiguravanje pomoćnih usluga sekundarne i/ili brze tercijarne regulacijske rezerve (regulacija snage i frekvencije).</w:t>
      </w:r>
    </w:p>
    <w:p w14:paraId="436770A5" w14:textId="5FC245C3" w:rsidR="00495F18" w:rsidRDefault="00495F18" w:rsidP="00276CE9">
      <w:pPr>
        <w:suppressAutoHyphens w:val="0"/>
        <w:spacing w:after="160" w:line="259" w:lineRule="auto"/>
        <w:rPr>
          <w:u w:val="single"/>
        </w:rPr>
      </w:pPr>
    </w:p>
    <w:p w14:paraId="1A4C4C75" w14:textId="3CB9EA89" w:rsidR="00375B8F" w:rsidRPr="00276CE9" w:rsidRDefault="00375B8F" w:rsidP="00276CE9">
      <w:pPr>
        <w:suppressAutoHyphens w:val="0"/>
        <w:spacing w:after="160" w:line="259" w:lineRule="auto"/>
        <w:rPr>
          <w:u w:val="single"/>
        </w:rPr>
      </w:pPr>
      <w:r w:rsidRPr="00276CE9">
        <w:rPr>
          <w:u w:val="single"/>
        </w:rPr>
        <w:t>Naftni sektor</w:t>
      </w:r>
    </w:p>
    <w:p w14:paraId="360B7AF3" w14:textId="37C063F6" w:rsidR="00BE0BA0" w:rsidRDefault="00156005" w:rsidP="00F223A2">
      <w:r>
        <w:t>I</w:t>
      </w:r>
      <w:r w:rsidR="00493F73">
        <w:t>straživanje</w:t>
      </w:r>
      <w:r w:rsidR="00735AC1">
        <w:t xml:space="preserve"> novih rezervi i </w:t>
      </w:r>
      <w:r w:rsidR="004C77D8">
        <w:t xml:space="preserve">time </w:t>
      </w:r>
      <w:r w:rsidR="00735AC1">
        <w:t>povećanje</w:t>
      </w:r>
      <w:r w:rsidR="00953EB9">
        <w:t xml:space="preserve"> </w:t>
      </w:r>
      <w:r w:rsidR="004C77D8">
        <w:t xml:space="preserve">proizvodnje ugljikovodika iz domaćih izvora </w:t>
      </w:r>
      <w:r w:rsidR="008B30DC">
        <w:t xml:space="preserve">jedan je od bitnih ciljeva </w:t>
      </w:r>
      <w:r w:rsidR="000C21BE">
        <w:t xml:space="preserve">povećanja domaće opskrbljenosti naftom i plinom. </w:t>
      </w:r>
      <w:r w:rsidR="006E4C22">
        <w:t>Na sli</w:t>
      </w:r>
      <w:r w:rsidR="00350951">
        <w:t>kama</w:t>
      </w:r>
      <w:r w:rsidR="006E4C22">
        <w:t xml:space="preserve"> u nastavku prikazana je postojeća proizvodnja </w:t>
      </w:r>
      <w:r w:rsidR="00243A46">
        <w:t>nafte</w:t>
      </w:r>
      <w:r w:rsidR="00E446ED">
        <w:t>,</w:t>
      </w:r>
      <w:r w:rsidR="00243A46">
        <w:t xml:space="preserve"> kondenzata</w:t>
      </w:r>
      <w:r w:rsidR="00E446ED">
        <w:t xml:space="preserve"> i prirodnog plina</w:t>
      </w:r>
      <w:r w:rsidR="00243A46">
        <w:t xml:space="preserve"> te su dane projekcije proizvodnje iz postojećih polja </w:t>
      </w:r>
      <w:r w:rsidR="00781C0F">
        <w:t>i</w:t>
      </w:r>
      <w:r w:rsidR="00243A46">
        <w:t xml:space="preserve"> </w:t>
      </w:r>
      <w:r w:rsidR="00F80C53">
        <w:t xml:space="preserve">nove proizvodnje </w:t>
      </w:r>
      <w:r w:rsidR="00DB65CA">
        <w:t xml:space="preserve">kao rezultat </w:t>
      </w:r>
      <w:r w:rsidR="00BE0BA0">
        <w:t>dodatnih ulaganja u istraživanje novih rezervi ugljikovodika</w:t>
      </w:r>
      <w:r w:rsidR="00495F18">
        <w:t xml:space="preserve"> </w:t>
      </w:r>
      <w:r w:rsidR="00495F18">
        <w:fldChar w:fldCharType="begin"/>
      </w:r>
      <w:r w:rsidR="00495F18">
        <w:instrText xml:space="preserve"> REF _Ref531599476 \r \h </w:instrText>
      </w:r>
      <w:r w:rsidR="00F223A2">
        <w:instrText xml:space="preserve"> \* MERGEFORMAT </w:instrText>
      </w:r>
      <w:r w:rsidR="00495F18">
        <w:fldChar w:fldCharType="separate"/>
      </w:r>
      <w:r w:rsidR="00E5423A">
        <w:t>1</w:t>
      </w:r>
      <w:r w:rsidR="00495F18">
        <w:fldChar w:fldCharType="end"/>
      </w:r>
      <w:r w:rsidR="00BE0BA0">
        <w:t>.</w:t>
      </w:r>
    </w:p>
    <w:p w14:paraId="386C025C" w14:textId="77777777" w:rsidR="00BE0BA0" w:rsidRDefault="00BE0BA0" w:rsidP="00276CE9">
      <w:pPr>
        <w:suppressAutoHyphens w:val="0"/>
        <w:spacing w:after="160" w:line="259" w:lineRule="auto"/>
        <w:contextualSpacing/>
      </w:pPr>
    </w:p>
    <w:p w14:paraId="4AD43695" w14:textId="77777777" w:rsidR="00BE0BA0" w:rsidRPr="00462AD9" w:rsidRDefault="00BE0BA0" w:rsidP="00BE0BA0">
      <w:pPr>
        <w:keepNext/>
        <w:jc w:val="center"/>
      </w:pPr>
      <w:r w:rsidRPr="001211AE">
        <w:rPr>
          <w:noProof/>
        </w:rPr>
        <w:drawing>
          <wp:inline distT="0" distB="0" distL="0" distR="0" wp14:anchorId="647A4DE7" wp14:editId="430B92C6">
            <wp:extent cx="5400000" cy="3045600"/>
            <wp:effectExtent l="0" t="0" r="0" b="2540"/>
            <wp:docPr id="1964968964" name="Picture 196496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045600"/>
                    </a:xfrm>
                    <a:prstGeom prst="rect">
                      <a:avLst/>
                    </a:prstGeom>
                    <a:noFill/>
                    <a:ln>
                      <a:noFill/>
                    </a:ln>
                  </pic:spPr>
                </pic:pic>
              </a:graphicData>
            </a:graphic>
          </wp:inline>
        </w:drawing>
      </w:r>
    </w:p>
    <w:p w14:paraId="4A3EC0E1" w14:textId="2AC7914F" w:rsidR="00BE0BA0" w:rsidRPr="00462AD9" w:rsidRDefault="00BE0BA0" w:rsidP="00BE0BA0">
      <w:pPr>
        <w:pStyle w:val="Caption"/>
      </w:pPr>
      <w:bookmarkStart w:id="236" w:name="_Toc528672871"/>
      <w:bookmarkStart w:id="237" w:name="_Toc531935289"/>
      <w:bookmarkStart w:id="238" w:name="_Hlk528311430"/>
      <w:r w:rsidRPr="00462AD9">
        <w:t xml:space="preserve">Slika </w:t>
      </w:r>
      <w:fldSimple w:instr=" STYLEREF 1 \s ">
        <w:r w:rsidR="00856D97">
          <w:rPr>
            <w:noProof/>
          </w:rPr>
          <w:t>2</w:t>
        </w:r>
      </w:fldSimple>
      <w:r w:rsidR="00856D97">
        <w:noBreakHyphen/>
      </w:r>
      <w:fldSimple w:instr=" SEQ Slika \* ARABIC \s 1 ">
        <w:r w:rsidR="00856D97">
          <w:rPr>
            <w:noProof/>
          </w:rPr>
          <w:t>8</w:t>
        </w:r>
      </w:fldSimple>
      <w:r w:rsidRPr="00462AD9">
        <w:t>. Projekcija proizvodnje nafte i kondenzata do 2050. godine</w:t>
      </w:r>
      <w:bookmarkEnd w:id="236"/>
      <w:bookmarkEnd w:id="237"/>
    </w:p>
    <w:bookmarkEnd w:id="238"/>
    <w:p w14:paraId="1676136F" w14:textId="77777777" w:rsidR="00BE0BA0" w:rsidRDefault="00BE0BA0" w:rsidP="00276CE9">
      <w:pPr>
        <w:suppressAutoHyphens w:val="0"/>
        <w:spacing w:after="160" w:line="259" w:lineRule="auto"/>
        <w:contextualSpacing/>
        <w:jc w:val="left"/>
      </w:pPr>
    </w:p>
    <w:p w14:paraId="59E8CC01" w14:textId="77777777" w:rsidR="00BE0BA0" w:rsidRPr="00462AD9" w:rsidRDefault="00BE0BA0" w:rsidP="00BE0BA0">
      <w:pPr>
        <w:keepNext/>
        <w:jc w:val="center"/>
      </w:pPr>
      <w:r w:rsidRPr="001211AE">
        <w:rPr>
          <w:noProof/>
        </w:rPr>
        <w:drawing>
          <wp:inline distT="0" distB="0" distL="0" distR="0" wp14:anchorId="0703CAA3" wp14:editId="37817774">
            <wp:extent cx="5400000" cy="2984400"/>
            <wp:effectExtent l="0" t="0" r="0" b="6985"/>
            <wp:docPr id="1964968965" name="Picture 196496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2984400"/>
                    </a:xfrm>
                    <a:prstGeom prst="rect">
                      <a:avLst/>
                    </a:prstGeom>
                    <a:noFill/>
                    <a:ln>
                      <a:noFill/>
                    </a:ln>
                  </pic:spPr>
                </pic:pic>
              </a:graphicData>
            </a:graphic>
          </wp:inline>
        </w:drawing>
      </w:r>
    </w:p>
    <w:p w14:paraId="52E71B01" w14:textId="4448A775" w:rsidR="00BE0BA0" w:rsidRPr="00462AD9" w:rsidRDefault="00BE0BA0" w:rsidP="00BE0BA0">
      <w:pPr>
        <w:pStyle w:val="Caption"/>
      </w:pPr>
      <w:bookmarkStart w:id="239" w:name="_Toc528672872"/>
      <w:bookmarkStart w:id="240" w:name="_Toc531935290"/>
      <w:bookmarkStart w:id="241" w:name="_Hlk528311434"/>
      <w:r w:rsidRPr="00462AD9">
        <w:t xml:space="preserve">Slika </w:t>
      </w:r>
      <w:fldSimple w:instr=" STYLEREF 1 \s ">
        <w:r w:rsidR="00856D97">
          <w:rPr>
            <w:noProof/>
          </w:rPr>
          <w:t>2</w:t>
        </w:r>
      </w:fldSimple>
      <w:r w:rsidR="00856D97">
        <w:noBreakHyphen/>
      </w:r>
      <w:fldSimple w:instr=" SEQ Slika \* ARABIC \s 1 ">
        <w:r w:rsidR="00856D97">
          <w:rPr>
            <w:noProof/>
          </w:rPr>
          <w:t>9</w:t>
        </w:r>
      </w:fldSimple>
      <w:r w:rsidRPr="00462AD9">
        <w:t>. Projekcija proizvodnje prirodnog plina do 2050. godine</w:t>
      </w:r>
      <w:bookmarkEnd w:id="239"/>
      <w:bookmarkEnd w:id="240"/>
    </w:p>
    <w:bookmarkEnd w:id="241"/>
    <w:p w14:paraId="3D6EED33" w14:textId="7ABCD879" w:rsidR="00F9090C" w:rsidRPr="00381452" w:rsidRDefault="00F9090C" w:rsidP="00F9090C">
      <w:pPr>
        <w:suppressAutoHyphens w:val="0"/>
        <w:spacing w:after="160" w:line="259" w:lineRule="auto"/>
        <w:contextualSpacing/>
        <w:jc w:val="left"/>
        <w:rPr>
          <w:u w:val="single"/>
        </w:rPr>
      </w:pPr>
      <w:r>
        <w:rPr>
          <w:u w:val="single"/>
        </w:rPr>
        <w:t>Elektroenergetski</w:t>
      </w:r>
      <w:r w:rsidRPr="00381452">
        <w:rPr>
          <w:u w:val="single"/>
        </w:rPr>
        <w:t xml:space="preserve"> sektor</w:t>
      </w:r>
    </w:p>
    <w:p w14:paraId="781D9045" w14:textId="5E78ED60" w:rsidR="00F0427D" w:rsidRDefault="00F0427D" w:rsidP="00276CE9">
      <w:r w:rsidRPr="00F857AA">
        <w:t>U skladu s člankom 32. Zakona o tržištu električne energije operator prijenosnog sustava obvezan je objaviti godišnje izvješće o sigurnosti opskrbe u prijenosnom sustavu za prethodnu godinu na temelju kojeg Ministarstvo izrađuje vlastito godišnje izvješće o stanju sigurnosti opskrbe električnom energijom i očekivanim potrebama za električnom energijom u Republici Hrvatskoj. Prema članku 29., stavak 22., Zakona o tržištu električne energije, operator prijenosnog sustava osobito je odgovoran za dostavljanje obrazloženog prijedloga nadležnom ministarstvu o potrebi izgradnje novih objekata za proizvodnju električne energije radi sigurnosti opskrbe.</w:t>
      </w:r>
      <w:r>
        <w:t xml:space="preserve"> </w:t>
      </w:r>
      <w:r w:rsidRPr="00F857AA">
        <w:t>Uz intenzivnu izgradnju obnovljivih izvora energije, specifična stanja na tržištu električne energije s relativno niskom prosječnom veleprodajnom cijenom, te uz izlazak iz pogona niza konvencionalnih elektrana u RH radi visokih troškova proizvodnje, kvarova i ekoloških ograničenja, aspekt dostatnosti proizvodnih kapaciteta u Hrvatskoj značajno se izmijenio u vrlo kratkom razdoblju od samo nekoliko posljednjih godina.</w:t>
      </w:r>
    </w:p>
    <w:p w14:paraId="379C9762" w14:textId="127DDE0C" w:rsidR="00F0427D" w:rsidRDefault="00D43BFD" w:rsidP="00276CE9">
      <w:r>
        <w:t>Kako</w:t>
      </w:r>
      <w:r w:rsidR="00F0427D" w:rsidRPr="00D9022F">
        <w:t xml:space="preserve"> se elektroenergetski sektor u Euro</w:t>
      </w:r>
      <w:r w:rsidR="00F0427D">
        <w:t>pi organizirao na tržišni način</w:t>
      </w:r>
      <w:r w:rsidR="00F0427D" w:rsidRPr="00D9022F">
        <w:t xml:space="preserve"> pitanje dostatnosti proizvodnih kapaciteta svodi</w:t>
      </w:r>
      <w:r w:rsidR="00F0427D">
        <w:t xml:space="preserve"> se </w:t>
      </w:r>
      <w:r w:rsidR="00F0427D" w:rsidRPr="00D9022F">
        <w:t>na pitanje dostatnosti sustava u cjelini (mogu li u EES ući dovoljne količine električne energije koje odgovaraju količinama koje iz njega izađu)</w:t>
      </w:r>
      <w:r w:rsidR="00F0427D">
        <w:t xml:space="preserve">. </w:t>
      </w:r>
      <w:r w:rsidR="00F0427D" w:rsidRPr="00D9022F">
        <w:t xml:space="preserve">U tržišnom okruženju i elektrane </w:t>
      </w:r>
      <w:r w:rsidR="00F0427D">
        <w:t>na teritoriju RH posluju na tržišnim načelima što je</w:t>
      </w:r>
      <w:r w:rsidR="00F0427D" w:rsidRPr="00D9022F">
        <w:t xml:space="preserve"> najvažniji uzrok snižene raspoloživosti termoelektra</w:t>
      </w:r>
      <w:r w:rsidR="00F0427D">
        <w:t>na u vlasništvu HEP-Proizvodnje.</w:t>
      </w:r>
      <w:r w:rsidR="00F0427D" w:rsidRPr="00D9022F">
        <w:t xml:space="preserve"> Od oko 1.900 MW</w:t>
      </w:r>
      <w:r w:rsidR="00F0427D" w:rsidRPr="00D9022F">
        <w:rPr>
          <w:vertAlign w:val="subscript"/>
        </w:rPr>
        <w:t>e</w:t>
      </w:r>
      <w:r w:rsidR="00F0427D" w:rsidRPr="00D9022F">
        <w:t xml:space="preserve"> instal</w:t>
      </w:r>
      <w:r w:rsidR="00F0427D">
        <w:t xml:space="preserve">irane snage u </w:t>
      </w:r>
      <w:r w:rsidR="00495F18">
        <w:t>termoelektranama (</w:t>
      </w:r>
      <w:r w:rsidR="00F0427D">
        <w:t>TE</w:t>
      </w:r>
      <w:r w:rsidR="00495F18">
        <w:t>)</w:t>
      </w:r>
      <w:r w:rsidR="00F0427D">
        <w:t xml:space="preserve"> na području RH</w:t>
      </w:r>
      <w:r w:rsidR="00F0427D" w:rsidRPr="00D9022F">
        <w:t xml:space="preserve"> </w:t>
      </w:r>
      <w:r w:rsidR="00F0427D">
        <w:t xml:space="preserve">krajem 2017. godine </w:t>
      </w:r>
      <w:r w:rsidR="00F0427D" w:rsidRPr="00D9022F">
        <w:t xml:space="preserve">nespremno </w:t>
      </w:r>
      <w:r w:rsidR="00F0427D">
        <w:t xml:space="preserve">je </w:t>
      </w:r>
      <w:r w:rsidR="00F0427D" w:rsidRPr="00D9022F">
        <w:t xml:space="preserve">za pogon </w:t>
      </w:r>
      <w:r w:rsidR="00F0427D">
        <w:t xml:space="preserve">bilo </w:t>
      </w:r>
      <w:r w:rsidR="00F0427D" w:rsidRPr="00D9022F">
        <w:t>oko polovice tog kapaciteta</w:t>
      </w:r>
      <w:r w:rsidR="00F0427D">
        <w:t>, što je stanje koje će se vjerojatno zadržati idućih godina</w:t>
      </w:r>
      <w:r w:rsidR="00F0427D" w:rsidRPr="00D9022F">
        <w:t>.</w:t>
      </w:r>
    </w:p>
    <w:p w14:paraId="1AEF5171" w14:textId="77777777" w:rsidR="00F0427D" w:rsidRPr="00D9022F" w:rsidRDefault="00F0427D" w:rsidP="00276CE9">
      <w:r w:rsidRPr="00D9022F">
        <w:t>Izuzev visoke neraspoloživosti TE koja se u idućem petogodištu vjerojatno neće značajno smanjiti, na sposobnost proizvodnje iz domaćih elektrana velik tradicionalni utjecaj ima i hidrološko stanje u promatranoj godini kada su domaće hidroelektrane sposobne proizvoditi između cca. 4,6 TWh i 8,1 TWh električne energije, te izostanak izgradnje novih konvencionalnih elektrana. Izgrad</w:t>
      </w:r>
      <w:r>
        <w:t>nja elektrana koje koriste OiE</w:t>
      </w:r>
      <w:r w:rsidRPr="00D9022F">
        <w:t xml:space="preserve"> jedine su vrste novih proizvod</w:t>
      </w:r>
      <w:r>
        <w:t>n</w:t>
      </w:r>
      <w:r w:rsidRPr="00D9022F">
        <w:t>ih postrojenja koj</w:t>
      </w:r>
      <w:r>
        <w:t>a</w:t>
      </w:r>
      <w:r w:rsidRPr="00D9022F">
        <w:t xml:space="preserve"> se posljednjih godina grade u RH</w:t>
      </w:r>
      <w:r>
        <w:t>, pri čemu se</w:t>
      </w:r>
      <w:r w:rsidRPr="00D9022F">
        <w:t xml:space="preserve"> </w:t>
      </w:r>
      <w:r>
        <w:t>p</w:t>
      </w:r>
      <w:r w:rsidRPr="00D9022F">
        <w:t>okazuje</w:t>
      </w:r>
      <w:r>
        <w:t xml:space="preserve"> </w:t>
      </w:r>
      <w:r w:rsidRPr="00D9022F">
        <w:t xml:space="preserve">da </w:t>
      </w:r>
      <w:r>
        <w:t xml:space="preserve">njihova </w:t>
      </w:r>
      <w:r w:rsidRPr="00D9022F">
        <w:t xml:space="preserve">ukupna proizvodnja u iznosu od oko 1,5 TWh godišnje (bez velikih HE) ne može, niti će u bližoj budućnosti moći, značajno smanjiti ovisnost hrvatskog EES o uvozu električne energije. </w:t>
      </w:r>
    </w:p>
    <w:p w14:paraId="6A141AC3" w14:textId="77777777" w:rsidR="00F0427D" w:rsidRPr="00D9022F" w:rsidRDefault="00F0427D" w:rsidP="00276CE9">
      <w:r w:rsidRPr="00276CE9">
        <w:t>Stvarna</w:t>
      </w:r>
      <w:r w:rsidRPr="00B54395">
        <w:t xml:space="preserve"> </w:t>
      </w:r>
      <w:r w:rsidRPr="00D9022F">
        <w:t>odgovornost za pokrivanje bilance EES RH, odnosno osiguravanj</w:t>
      </w:r>
      <w:r>
        <w:t>e</w:t>
      </w:r>
      <w:r w:rsidRPr="00D9022F">
        <w:t xml:space="preserve"> dostatnih količina električne energije, leži na nekoliko subjekata i to:</w:t>
      </w:r>
    </w:p>
    <w:p w14:paraId="2053AC51" w14:textId="0AA6A717" w:rsidR="00F0427D" w:rsidRPr="00D9022F" w:rsidRDefault="00F0427D" w:rsidP="00276CE9">
      <w:pPr>
        <w:pStyle w:val="ListParagraph"/>
        <w:numPr>
          <w:ilvl w:val="0"/>
          <w:numId w:val="11"/>
        </w:numPr>
      </w:pPr>
      <w:r w:rsidRPr="00D9022F">
        <w:t>Opskrbljivačima koji su dužni podmiriti svoje ugovorne obveze s kupcima, posebno HEP-Opskrbi kao najvećem komercijalnom opskrbljivaču i HEP Elektri kao univerzalnom i zajamčenom opskrbljivaču</w:t>
      </w:r>
      <w:r w:rsidR="0040414D">
        <w:t>,</w:t>
      </w:r>
    </w:p>
    <w:p w14:paraId="45067478" w14:textId="3664DBD9" w:rsidR="00F0427D" w:rsidRPr="00D9022F" w:rsidRDefault="00F0427D" w:rsidP="00276CE9">
      <w:pPr>
        <w:pStyle w:val="ListParagraph"/>
        <w:numPr>
          <w:ilvl w:val="0"/>
          <w:numId w:val="11"/>
        </w:numPr>
      </w:pPr>
      <w:r w:rsidRPr="00D9022F">
        <w:t>HEP-ODS-u za nabavu električne energije potrebne za pokrivanje gubitaka u distribucijskoj mreži</w:t>
      </w:r>
      <w:r w:rsidR="0040414D">
        <w:t>,</w:t>
      </w:r>
    </w:p>
    <w:p w14:paraId="23AEFFA7" w14:textId="77777777" w:rsidR="00F0427D" w:rsidRPr="00D9022F" w:rsidRDefault="00F0427D" w:rsidP="00276CE9">
      <w:pPr>
        <w:pStyle w:val="ListParagraph"/>
        <w:numPr>
          <w:ilvl w:val="0"/>
          <w:numId w:val="11"/>
        </w:numPr>
      </w:pPr>
      <w:r w:rsidRPr="00D9022F">
        <w:t>HOPS-u za nabavu električne energije potrebne za pokrivanje gubitaka u prijenosnoj mreži i tehnički dio poslova vezanih uz nabavu električne energije za uravnoteženje sustava.</w:t>
      </w:r>
    </w:p>
    <w:p w14:paraId="0B927E44" w14:textId="0178EAE3" w:rsidR="00F0427D" w:rsidRPr="00D9022F" w:rsidRDefault="00F0427D" w:rsidP="00276CE9">
      <w:r w:rsidRPr="00D9022F">
        <w:t xml:space="preserve">Najznačajnija stvarna odgovornost HOPS-a po pitanju sigurnosti opskrbe i dostatnosti sustava je održavanje visoke razine raspoloživosti prijenosne mreže, odnosno posebno interkonektivnih vodova, te </w:t>
      </w:r>
      <w:r>
        <w:t>održavanje/</w:t>
      </w:r>
      <w:r w:rsidRPr="00D9022F">
        <w:t>podizanje vrijednosti NTC</w:t>
      </w:r>
      <w:r>
        <w:t xml:space="preserve"> (dozvoljenih programiranih prekograničnih razmjena)</w:t>
      </w:r>
      <w:r w:rsidRPr="00D9022F">
        <w:t xml:space="preserve"> na pojedinim granicama kako bi se tehnički omogućio uvoz nedostajućih količina električne energije </w:t>
      </w:r>
      <w:r>
        <w:t>u EES RH, pri čemu je v</w:t>
      </w:r>
      <w:r w:rsidRPr="00D9022F">
        <w:t>ažno naglasiti da mogućnost uvoza energije u hrvatski EES ne ovisi samo o HOPS-u</w:t>
      </w:r>
      <w:r>
        <w:t>,</w:t>
      </w:r>
      <w:r w:rsidRPr="00D9022F">
        <w:t xml:space="preserve"> već i o drugim operatorima sustava.</w:t>
      </w:r>
      <w:r>
        <w:t xml:space="preserve"> Raspoloživi NTC</w:t>
      </w:r>
      <w:r w:rsidRPr="00D9022F">
        <w:t xml:space="preserve"> mogu </w:t>
      </w:r>
      <w:r>
        <w:t>koristiti svi tržišni sudionici, a</w:t>
      </w:r>
      <w:r w:rsidRPr="00D9022F">
        <w:t xml:space="preserve"> ne samo oni koji uvoze energiju u hrvatski EES.</w:t>
      </w:r>
    </w:p>
    <w:p w14:paraId="61FC5E67" w14:textId="0C0F2E03" w:rsidR="00F0427D" w:rsidRPr="00D9022F" w:rsidRDefault="00F0427D" w:rsidP="00276CE9">
      <w:r>
        <w:t xml:space="preserve">U cilju ocjene dostatnosti formirane su referentne elektroenergetske bilance EES u razdoblju 2018. – 2022. godine, te bilance snage za sate nastanka zimskog i ljetnog maksimuma opterećenja. </w:t>
      </w:r>
      <w:r w:rsidRPr="00D9022F">
        <w:t xml:space="preserve">Ocijenjeno je da će u referentnom scenariju biti potrebno uvoziti na godišnjoj razini električnu energiju iznosa od oko 7,4 </w:t>
      </w:r>
      <w:r>
        <w:t>TWh (pri normalnoj hidrološkoj godini)</w:t>
      </w:r>
      <w:r w:rsidRPr="00D9022F">
        <w:t xml:space="preserve">, a izuzetno će u slučaju nastanka jednog nepovoljnog događaja (bilo koji događaj koji dovodi do smanjenih mogućnosti domaće </w:t>
      </w:r>
      <w:r>
        <w:t>proizvodnje električne energije</w:t>
      </w:r>
      <w:r w:rsidRPr="00D9022F">
        <w:t xml:space="preserve"> ili do povećanih potreba za električnom energijom) uvoz porasti do 9,3 GWh. U satima nastanka zimskog i ljetnog maksimuma opterećenja uvoz se u referentnom scenariju predviđa na najveći iznos od 1.176 MWh/h (zima), odnosno do 1.638 MWh/h (ljeto), a u slučaju nastanka jednog nepovoljnog događaja te bi vrijednosti porasle do 1.561 MWh/h (zima) i 1.983 MWh/h (ljeto). U slučaju međusobnih kombinacija do tri nepovoljna događaja, odnosno u ekstremnim situacijama, uvoz bi mogao narasti do 11,6 TWh na godišnjoj razini, odnosno do 2.001 MWh/h (zima) i 2.388 MWh/h (ljeto) na satnim razinama.</w:t>
      </w:r>
    </w:p>
    <w:p w14:paraId="29BE7EB2" w14:textId="45ECE562" w:rsidR="00F0427D" w:rsidRPr="00D9022F" w:rsidRDefault="00D43BFD" w:rsidP="00276CE9">
      <w:r>
        <w:t xml:space="preserve">Kako </w:t>
      </w:r>
      <w:r w:rsidR="00F0427D" w:rsidRPr="00D9022F">
        <w:t>u zemljama bližeg i nešto daljeg okruženja ima dovoljno proizvodnih postrojenja prema podacima ENTSO-E, te s obzirom na postojeću zadovoljavajuću likvidnost burzi električne energije u okruženju, preliminarno se može ocijeniti da će nedostajuće količine električne energije biti nužno nabaviti u idućem razdoblju preko t</w:t>
      </w:r>
      <w:r w:rsidR="00F0427D">
        <w:t>ržišnih transakcija, pri čemu su</w:t>
      </w:r>
      <w:r w:rsidR="00F0427D" w:rsidRPr="00D9022F">
        <w:t xml:space="preserve"> postojeće vrijednosti NTC na granicama dovoljno visoke da podrže previđene razine uvoza,</w:t>
      </w:r>
      <w:r w:rsidR="0086329E">
        <w:t xml:space="preserve"> </w:t>
      </w:r>
      <w:r w:rsidR="00F0427D" w:rsidRPr="00D9022F">
        <w:t>te se zadržavanje NTC-a na visokim razinama nameće kao preduvjet za siguran pogon hrvatskog EES.</w:t>
      </w:r>
    </w:p>
    <w:p w14:paraId="60376F30" w14:textId="2C28B9EB" w:rsidR="00F0427D" w:rsidRPr="00F857AA" w:rsidRDefault="00F0427D" w:rsidP="00276CE9">
      <w:pPr>
        <w:rPr>
          <w:iCs/>
          <w:color w:val="44546A" w:themeColor="text2"/>
        </w:rPr>
      </w:pPr>
      <w:r w:rsidRPr="00D9022F">
        <w:t>Izuzetak od prethodno navedenog zaključka može nastati jedno u slučaju pojave iznimno</w:t>
      </w:r>
      <w:r w:rsidR="0086329E">
        <w:t xml:space="preserve"> </w:t>
      </w:r>
      <w:r w:rsidRPr="00D9022F">
        <w:t>velike krize na širem europskom području kada bi zbog istodobnog ugrožavanja dostatnosti EES u više zemalja bila ograničena mogućnost nabave električne energije iz uvoza. Takav se scenarij do sada nije dogodio</w:t>
      </w:r>
      <w:r>
        <w:t>,</w:t>
      </w:r>
      <w:r w:rsidRPr="00D9022F">
        <w:t xml:space="preserve"> ali određena, iako niska, vjerojatnost takvog događaja ili grupe simultanih nepovoljnih događaja ne smije se zanemariti. Prema dosadašnjem stanju na burzama električne energije moguće je očekivati povremena razdoblja izuzetno visokih cijena električne energije (&gt;100 €/MWh) bilo radi povećane potrošnje (na primjer u slučaju vrlo hladnih vremenskih prilika), bilo radi privremene neraspoloživosti proizvodnih postrojenja (kvarovi, havarije), odnosno njihovih smanjenih mogućnosti proizvodnje (mirno vrijeme bez sunca i vjetra, eventualna ograničenja u opskrbi plinom i slično).</w:t>
      </w:r>
    </w:p>
    <w:p w14:paraId="43B38B03" w14:textId="66219F2D" w:rsidR="00BE0BA0" w:rsidRDefault="00BE0BA0" w:rsidP="00276CE9">
      <w:pPr>
        <w:suppressAutoHyphens w:val="0"/>
        <w:spacing w:after="160" w:line="259" w:lineRule="auto"/>
        <w:contextualSpacing/>
        <w:jc w:val="left"/>
      </w:pPr>
    </w:p>
    <w:p w14:paraId="32E47184" w14:textId="460F4BCB" w:rsidR="00F9090C" w:rsidRDefault="00F0427D" w:rsidP="00276CE9">
      <w:pPr>
        <w:suppressAutoHyphens w:val="0"/>
        <w:spacing w:after="160" w:line="259" w:lineRule="auto"/>
        <w:contextualSpacing/>
      </w:pPr>
      <w:r>
        <w:t>Nacionalni ciljevi u pogledu sigurnosti opskrbe električnom energijom su ovdje definirani na sljedeći način:</w:t>
      </w:r>
    </w:p>
    <w:p w14:paraId="0D3A489F" w14:textId="77777777" w:rsidR="00F0427D" w:rsidRDefault="00F0427D" w:rsidP="00276CE9">
      <w:pPr>
        <w:suppressAutoHyphens w:val="0"/>
        <w:spacing w:after="160" w:line="259" w:lineRule="auto"/>
        <w:contextualSpacing/>
        <w:jc w:val="left"/>
      </w:pPr>
    </w:p>
    <w:p w14:paraId="6B22A24B" w14:textId="77777777" w:rsidR="0077103D" w:rsidRDefault="0077103D" w:rsidP="0077103D">
      <w:pPr>
        <w:pStyle w:val="ListParagraph"/>
        <w:numPr>
          <w:ilvl w:val="0"/>
          <w:numId w:val="82"/>
        </w:numPr>
        <w:suppressAutoHyphens w:val="0"/>
        <w:spacing w:after="160" w:line="259" w:lineRule="auto"/>
        <w:contextualSpacing/>
      </w:pPr>
      <w:r>
        <w:t>stvaranje povoljnog investicijskog okruženja za ulaganja u nova postrojenja za proizvodnju električne energije te revitalizaciju postojećih postrojenja, u cilju smanjenja ovisnosti o uvozu električne energije s tržišta i povećanju konkurentnosti elektrana smještenih na prostoru države,</w:t>
      </w:r>
    </w:p>
    <w:p w14:paraId="2AB90578" w14:textId="00A5CDD0" w:rsidR="0077103D" w:rsidRDefault="0077103D" w:rsidP="0077103D">
      <w:pPr>
        <w:pStyle w:val="ListParagraph"/>
        <w:numPr>
          <w:ilvl w:val="0"/>
          <w:numId w:val="82"/>
        </w:numPr>
        <w:suppressAutoHyphens w:val="0"/>
        <w:spacing w:after="160" w:line="259" w:lineRule="auto"/>
        <w:contextualSpacing/>
      </w:pPr>
      <w:r>
        <w:t>izgradnja različitih tipova elektrana s obzirom na karakteristike sustava u cjelini (temeljne, regulacijske-vršne, ostale), u cilju tehnički ispravnog funkcioniranja elektroenergetskog sustava u cjelini i osiguravanja dostatnih rezervi za uravnoteženje proizvodnje i potrošnje električne energije u svakom trenutku (kratkom razdoblju),</w:t>
      </w:r>
    </w:p>
    <w:p w14:paraId="17138791" w14:textId="5CD58FD4" w:rsidR="0077103D" w:rsidRDefault="0077103D" w:rsidP="0077103D">
      <w:pPr>
        <w:pStyle w:val="ListParagraph"/>
        <w:numPr>
          <w:ilvl w:val="0"/>
          <w:numId w:val="82"/>
        </w:numPr>
        <w:suppressAutoHyphens w:val="0"/>
        <w:spacing w:after="160" w:line="259" w:lineRule="auto"/>
        <w:contextualSpacing/>
      </w:pPr>
      <w:r>
        <w:t>diversifikacija elektrana prema vrstama korištenog primarnog energenta, u cilju izbjegavanja većih poremećaja u o</w:t>
      </w:r>
      <w:r w:rsidR="00D43BFD">
        <w:t>p</w:t>
      </w:r>
      <w:r>
        <w:t>skrbi kupaca za vrijeme razdoblja nedostupnosti pojedinih primarnih energenata,</w:t>
      </w:r>
    </w:p>
    <w:p w14:paraId="63447747" w14:textId="77777777" w:rsidR="0077103D" w:rsidRDefault="0077103D" w:rsidP="0077103D">
      <w:pPr>
        <w:pStyle w:val="ListParagraph"/>
        <w:numPr>
          <w:ilvl w:val="0"/>
          <w:numId w:val="82"/>
        </w:numPr>
        <w:suppressAutoHyphens w:val="0"/>
        <w:spacing w:after="160" w:line="259" w:lineRule="auto"/>
        <w:contextualSpacing/>
      </w:pPr>
      <w:r>
        <w:t>održavanje visoke raspoloživosti prijenosne mreže i prekograničnih vodova, u cilju osiguravanja uvoza električne energije s tržišta radi ekonomskih ili sigurnosnih razloga,</w:t>
      </w:r>
    </w:p>
    <w:p w14:paraId="54A0C212" w14:textId="77777777" w:rsidR="0077103D" w:rsidRDefault="0077103D" w:rsidP="0077103D">
      <w:pPr>
        <w:pStyle w:val="ListParagraph"/>
        <w:numPr>
          <w:ilvl w:val="0"/>
          <w:numId w:val="82"/>
        </w:numPr>
        <w:suppressAutoHyphens w:val="0"/>
        <w:spacing w:after="160" w:line="259" w:lineRule="auto"/>
        <w:contextualSpacing/>
      </w:pPr>
      <w:r>
        <w:t>održavanje visokih mogućnosti prekograničnih razmjena (daljnje povećanje NTC vrijednosti na svim granicama), iz prethodno opisanog razloga,</w:t>
      </w:r>
    </w:p>
    <w:p w14:paraId="3642203B" w14:textId="77777777" w:rsidR="0077103D" w:rsidRDefault="0077103D" w:rsidP="0077103D">
      <w:pPr>
        <w:pStyle w:val="ListParagraph"/>
        <w:numPr>
          <w:ilvl w:val="0"/>
          <w:numId w:val="82"/>
        </w:numPr>
        <w:suppressAutoHyphens w:val="0"/>
        <w:spacing w:after="160" w:line="259" w:lineRule="auto"/>
        <w:contextualSpacing/>
      </w:pPr>
      <w:r>
        <w:t>pravovremeno provođenje investicijskih planova operatora prijenosnog i distribucijskog sustava uz regulatorni nadzor, radi izbjegavanja poremećaja u opskrbi kupaca tijekom kvarova u mrežama,</w:t>
      </w:r>
    </w:p>
    <w:p w14:paraId="21DB3C4B" w14:textId="77777777" w:rsidR="0077103D" w:rsidRDefault="0077103D" w:rsidP="0077103D">
      <w:pPr>
        <w:pStyle w:val="ListParagraph"/>
        <w:numPr>
          <w:ilvl w:val="0"/>
          <w:numId w:val="82"/>
        </w:numPr>
        <w:suppressAutoHyphens w:val="0"/>
        <w:spacing w:after="160" w:line="259" w:lineRule="auto"/>
        <w:contextualSpacing/>
      </w:pPr>
      <w:r>
        <w:t>primjena mjera energetske efikasnosti radi smanjenja potrošnje električne energije, u cilju smanjenja potreba za električnom energijom, te</w:t>
      </w:r>
    </w:p>
    <w:p w14:paraId="72A4E04F" w14:textId="6006C0D3" w:rsidR="0077103D" w:rsidRDefault="0077103D" w:rsidP="0077103D">
      <w:pPr>
        <w:pStyle w:val="ListParagraph"/>
        <w:numPr>
          <w:ilvl w:val="0"/>
          <w:numId w:val="82"/>
        </w:numPr>
        <w:suppressAutoHyphens w:val="0"/>
        <w:spacing w:after="160" w:line="259" w:lineRule="auto"/>
        <w:contextualSpacing/>
      </w:pPr>
      <w:r>
        <w:t>izgradnja distribuiranih izvora električne energije s priključkom na niže-naponske razine u blizini potrošnje, u cilju daljnjih povećanja mogućnosti proizvodnje električne energije na teritoriju države i r</w:t>
      </w:r>
      <w:r w:rsidR="00D43BFD">
        <w:t>a</w:t>
      </w:r>
      <w:r>
        <w:t>sterećenja mreža.</w:t>
      </w:r>
    </w:p>
    <w:p w14:paraId="2007A8F4" w14:textId="348E1476" w:rsidR="00375B8F" w:rsidRDefault="00375B8F" w:rsidP="00276CE9">
      <w:pPr>
        <w:suppressAutoHyphens w:val="0"/>
        <w:spacing w:after="160" w:line="259" w:lineRule="auto"/>
        <w:contextualSpacing/>
        <w:jc w:val="left"/>
      </w:pPr>
    </w:p>
    <w:p w14:paraId="6A604301" w14:textId="77777777" w:rsidR="00FF0CF3" w:rsidRDefault="00FF0CF3" w:rsidP="00FF0CF3">
      <w:pPr>
        <w:pStyle w:val="Heading2"/>
      </w:pPr>
      <w:bookmarkStart w:id="242" w:name="_Toc531702957"/>
      <w:bookmarkStart w:id="243" w:name="_Toc531801541"/>
      <w:bookmarkStart w:id="244" w:name="_Toc531801670"/>
      <w:bookmarkStart w:id="245" w:name="_Toc531801796"/>
      <w:bookmarkStart w:id="246" w:name="_Toc531801924"/>
      <w:bookmarkStart w:id="247" w:name="_Toc531702958"/>
      <w:bookmarkStart w:id="248" w:name="_Toc531801542"/>
      <w:bookmarkStart w:id="249" w:name="_Toc531801671"/>
      <w:bookmarkStart w:id="250" w:name="_Toc531801797"/>
      <w:bookmarkStart w:id="251" w:name="_Toc531801925"/>
      <w:bookmarkStart w:id="252" w:name="_Toc531702959"/>
      <w:bookmarkStart w:id="253" w:name="_Toc531801543"/>
      <w:bookmarkStart w:id="254" w:name="_Toc531801672"/>
      <w:bookmarkStart w:id="255" w:name="_Toc531801798"/>
      <w:bookmarkStart w:id="256" w:name="_Toc531801926"/>
      <w:bookmarkStart w:id="257" w:name="_Toc531702960"/>
      <w:bookmarkStart w:id="258" w:name="_Toc531801544"/>
      <w:bookmarkStart w:id="259" w:name="_Toc531801673"/>
      <w:bookmarkStart w:id="260" w:name="_Toc531801799"/>
      <w:bookmarkStart w:id="261" w:name="_Toc531801927"/>
      <w:bookmarkStart w:id="262" w:name="_Toc531702961"/>
      <w:bookmarkStart w:id="263" w:name="_Toc531801545"/>
      <w:bookmarkStart w:id="264" w:name="_Toc531801674"/>
      <w:bookmarkStart w:id="265" w:name="_Toc531801800"/>
      <w:bookmarkStart w:id="266" w:name="_Toc531801928"/>
      <w:bookmarkStart w:id="267" w:name="_Toc531702962"/>
      <w:bookmarkStart w:id="268" w:name="_Toc531801546"/>
      <w:bookmarkStart w:id="269" w:name="_Toc531801675"/>
      <w:bookmarkStart w:id="270" w:name="_Toc531801801"/>
      <w:bookmarkStart w:id="271" w:name="_Toc531801929"/>
      <w:bookmarkStart w:id="272" w:name="_Toc531935143"/>
      <w:bookmarkStart w:id="273" w:name="_Toc531945093"/>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t>Dimenzija: unutarnje energetsko tržište</w:t>
      </w:r>
      <w:bookmarkEnd w:id="272"/>
      <w:bookmarkEnd w:id="273"/>
    </w:p>
    <w:p w14:paraId="04E7E4F2" w14:textId="45B2EAB1" w:rsidR="00126D4D" w:rsidRDefault="00892B7C" w:rsidP="00126D4D">
      <w:pPr>
        <w:pStyle w:val="Heading3"/>
      </w:pPr>
      <w:bookmarkStart w:id="274" w:name="_Toc531935144"/>
      <w:bookmarkStart w:id="275" w:name="_Toc531945094"/>
      <w:r>
        <w:t>Elektroenergetska međusobna povezanost</w:t>
      </w:r>
      <w:bookmarkEnd w:id="274"/>
      <w:bookmarkEnd w:id="275"/>
    </w:p>
    <w:p w14:paraId="08BD9B7B" w14:textId="7C35C93E" w:rsidR="004D362D" w:rsidRDefault="004D362D" w:rsidP="004D362D">
      <w:r>
        <w:t>U pogledu ciljeva EU vezani</w:t>
      </w:r>
      <w:r w:rsidR="00433EE2">
        <w:t>h</w:t>
      </w:r>
      <w:r>
        <w:t xml:space="preserve"> za željenu razinu interkonekcijske povezanosti od najmanje 15 % u odnosu na instaliranu snagu elektrana u promatranoj državi do 2030. godine prijenosni sustav na području RH već sad zadovoljava te višestruko premašuje taj cilj. Isto vrijedi i ukoliko se postojeći interkonekcijski kapaciteti uspoređuju s vršnim opterećenjem sustava odnosno s instaliranom snagom OiE na teritoriju RH.</w:t>
      </w:r>
    </w:p>
    <w:p w14:paraId="6D027E92" w14:textId="77777777" w:rsidR="004D362D" w:rsidRDefault="004D362D" w:rsidP="004D362D">
      <w:r>
        <w:t>U pogledu daljnjih povećanja prekograničnih kapaciteta do 2030. godine ne postavljaju se posebni zahtjevi.</w:t>
      </w:r>
    </w:p>
    <w:p w14:paraId="13BE8C6C" w14:textId="77777777" w:rsidR="004D362D" w:rsidRDefault="004D362D" w:rsidP="004D362D">
      <w:r>
        <w:t>U pogledu daljnjih povećanja mogućnosti razmjena postojećim prekograničnim kapacitetima cilj je kontinuirano povećanje NTC vrijednosti na granicama kroz otklanjanje zagušenja/ograničenja prvenstveno u internoj mreži.</w:t>
      </w:r>
    </w:p>
    <w:p w14:paraId="4A0B6082" w14:textId="77777777" w:rsidR="00FF0CF3" w:rsidRDefault="00FF0CF3" w:rsidP="00302043">
      <w:pPr>
        <w:pStyle w:val="Heading3"/>
      </w:pPr>
      <w:bookmarkStart w:id="276" w:name="_Toc531801550"/>
      <w:bookmarkStart w:id="277" w:name="_Toc531801677"/>
      <w:bookmarkStart w:id="278" w:name="_Toc531801805"/>
      <w:bookmarkStart w:id="279" w:name="_Toc531801933"/>
      <w:bookmarkStart w:id="280" w:name="_Toc531702966"/>
      <w:bookmarkStart w:id="281" w:name="_Toc531801551"/>
      <w:bookmarkStart w:id="282" w:name="_Toc531801678"/>
      <w:bookmarkStart w:id="283" w:name="_Toc531801806"/>
      <w:bookmarkStart w:id="284" w:name="_Toc531801934"/>
      <w:bookmarkStart w:id="285" w:name="_Toc531935145"/>
      <w:bookmarkStart w:id="286" w:name="_Toc531945095"/>
      <w:bookmarkEnd w:id="276"/>
      <w:bookmarkEnd w:id="277"/>
      <w:bookmarkEnd w:id="278"/>
      <w:bookmarkEnd w:id="279"/>
      <w:bookmarkEnd w:id="280"/>
      <w:bookmarkEnd w:id="281"/>
      <w:bookmarkEnd w:id="282"/>
      <w:bookmarkEnd w:id="283"/>
      <w:bookmarkEnd w:id="284"/>
      <w:r>
        <w:t>Infrastruktura za prijenos energije</w:t>
      </w:r>
      <w:bookmarkEnd w:id="285"/>
      <w:bookmarkEnd w:id="286"/>
    </w:p>
    <w:p w14:paraId="6963340E" w14:textId="77777777" w:rsidR="00FF0CF3" w:rsidRPr="003A2943" w:rsidRDefault="00FF0CF3" w:rsidP="00FF0CF3">
      <w:pPr>
        <w:rPr>
          <w:u w:val="single"/>
        </w:rPr>
      </w:pPr>
      <w:r w:rsidRPr="003A2943">
        <w:rPr>
          <w:u w:val="single"/>
        </w:rPr>
        <w:t>Ključni nacionalni ciljevi za infrastrukturu za prijenos električne energije</w:t>
      </w:r>
    </w:p>
    <w:p w14:paraId="1FEF710D" w14:textId="3CBD773B" w:rsidR="00FF0CF3" w:rsidRDefault="00B702D5" w:rsidP="00FF0CF3">
      <w:r>
        <w:t>Kroz izradu podloga za novu energetsku strategiju RH</w:t>
      </w:r>
      <w:r w:rsidR="00FF0CF3" w:rsidRPr="00340DB2">
        <w:t xml:space="preserve"> </w:t>
      </w:r>
      <w:r>
        <w:t>izvršena je prelim</w:t>
      </w:r>
      <w:r w:rsidR="00D5228D">
        <w:t>in</w:t>
      </w:r>
      <w:r>
        <w:t>arna procjena potrebnih</w:t>
      </w:r>
      <w:r w:rsidR="00FF0CF3" w:rsidRPr="00340DB2">
        <w:t xml:space="preserve"> ulaganja u prijenosnu mrežu (uključujući priključke novih konvencionalnih elektrana, vjetroelektrana i sunčanih elektrana, te razne ostale troškove identificirane u desetogodišnjem planu razvoja prijenosne mreže 2018.-2027.), </w:t>
      </w:r>
      <w:r>
        <w:t xml:space="preserve">u iznosu od 7,9 do </w:t>
      </w:r>
      <w:r w:rsidR="00FF0CF3" w:rsidRPr="00340DB2">
        <w:t xml:space="preserve">8,2 milijardi kuna </w:t>
      </w:r>
      <w:r>
        <w:t>(</w:t>
      </w:r>
      <w:r w:rsidR="00FF0CF3" w:rsidRPr="00340DB2">
        <w:t xml:space="preserve">uz pretpostavku jednakih godišnjih ulaganja to bi značilo investicijski trošak od </w:t>
      </w:r>
      <w:r>
        <w:t xml:space="preserve">666 do </w:t>
      </w:r>
      <w:r w:rsidR="00FF0CF3" w:rsidRPr="00340DB2">
        <w:t>686 milijuna kuna/godišnje</w:t>
      </w:r>
      <w:r>
        <w:t>)</w:t>
      </w:r>
      <w:r w:rsidR="00FF0CF3" w:rsidRPr="00340DB2">
        <w:t>. Financijska sredstva potrebna za razvoj/revitalizaciju prijenosne mreže osigurala bi se od strane investitora u izgradnju novih elektrana koji u potpunosti snose troškove priključka te sudjeluju u stvaranju tehničkih uvjeta u mreži, a veći dio prikupio bi se kroz naknadu za prijenos električne energije.</w:t>
      </w:r>
    </w:p>
    <w:p w14:paraId="3FD0C363" w14:textId="48C67CB7" w:rsidR="00FF0CF3" w:rsidRDefault="00FF0CF3" w:rsidP="00FF0CF3">
      <w:r w:rsidRPr="00F24A95">
        <w:t xml:space="preserve">Osim financijskih sredstava potrebnih za pokrivanje troškova izgradnje prijenosne mreže potrebno je osigurati i financijska sredstva za uravnoteženje sustava (kroz mehanizam uravnoteženja i dijelom kroz naknadu za prijenos električne energije), odnosno za nabavu dijela pomoćnih usluga sustava (prvenstveno regulaciju frekvencije i snage), a koja se preliminarno mogu procijeniti na iznos do </w:t>
      </w:r>
      <w:r w:rsidR="00B702D5">
        <w:t xml:space="preserve">375 - </w:t>
      </w:r>
      <w:r w:rsidRPr="00F24A95">
        <w:t>425 milijuna kuna/godišnje</w:t>
      </w:r>
      <w:r w:rsidR="00B702D5">
        <w:t>, te financijska sredstva potrebna za redispečing proizvodnih postrojenja radi otklanjanja povremenih ograničenja u prijenosnoj mreži.</w:t>
      </w:r>
    </w:p>
    <w:p w14:paraId="5B7B438C" w14:textId="77777777" w:rsidR="00B004B4" w:rsidRDefault="00B004B4" w:rsidP="00B004B4">
      <w:r>
        <w:t>Osnovni ciljevi za infrastrukturu za prijenos električne energije su sljedeći:</w:t>
      </w:r>
    </w:p>
    <w:p w14:paraId="22DB3B6F" w14:textId="77777777" w:rsidR="00B004B4" w:rsidRDefault="00B004B4" w:rsidP="00B004B4">
      <w:pPr>
        <w:pStyle w:val="ListParagraph"/>
        <w:numPr>
          <w:ilvl w:val="0"/>
          <w:numId w:val="28"/>
        </w:numPr>
        <w:tabs>
          <w:tab w:val="clear" w:pos="431"/>
          <w:tab w:val="left" w:pos="709"/>
        </w:tabs>
      </w:pPr>
      <w:r>
        <w:t>održavanje visoke pouzdanosti prijenosnog sustava i sigurnosti opskrbe kupaca električnom energijom propisane kvalitete,</w:t>
      </w:r>
    </w:p>
    <w:p w14:paraId="4F83E88A" w14:textId="77777777" w:rsidR="00B004B4" w:rsidRDefault="00B004B4" w:rsidP="00B004B4">
      <w:pPr>
        <w:pStyle w:val="ListParagraph"/>
        <w:numPr>
          <w:ilvl w:val="0"/>
          <w:numId w:val="28"/>
        </w:numPr>
        <w:tabs>
          <w:tab w:val="clear" w:pos="431"/>
          <w:tab w:val="left" w:pos="709"/>
        </w:tabs>
      </w:pPr>
      <w:r>
        <w:t>ubrzana intergracija varijabilnih OiE u elektroenergetski sustav, te veća dostupnost regulacijskih rezervi radi uravnoteženja njihove proizvodnje,</w:t>
      </w:r>
    </w:p>
    <w:p w14:paraId="127CE076" w14:textId="77777777" w:rsidR="00B004B4" w:rsidRDefault="00B004B4" w:rsidP="00B004B4">
      <w:pPr>
        <w:pStyle w:val="ListParagraph"/>
        <w:numPr>
          <w:ilvl w:val="0"/>
          <w:numId w:val="28"/>
        </w:numPr>
        <w:tabs>
          <w:tab w:val="clear" w:pos="431"/>
          <w:tab w:val="left" w:pos="709"/>
        </w:tabs>
      </w:pPr>
      <w:r>
        <w:t>pravovremena realizacija investicijskih planova, posebno kapitalnih investicija koje omogućavaju integraciju OiE u EES,</w:t>
      </w:r>
    </w:p>
    <w:p w14:paraId="5BBBB8AD" w14:textId="7DDB27A0" w:rsidR="00B004B4" w:rsidRDefault="00B004B4" w:rsidP="00B004B4">
      <w:pPr>
        <w:pStyle w:val="ListParagraph"/>
        <w:numPr>
          <w:ilvl w:val="0"/>
          <w:numId w:val="28"/>
        </w:numPr>
        <w:tabs>
          <w:tab w:val="clear" w:pos="431"/>
          <w:tab w:val="left" w:pos="709"/>
        </w:tabs>
      </w:pPr>
      <w:r>
        <w:t xml:space="preserve">podržavanje tržišnih transakcija na teritoriju države i u njenom okruženju </w:t>
      </w:r>
      <w:r w:rsidR="00D43BFD">
        <w:t xml:space="preserve">tako </w:t>
      </w:r>
      <w:r>
        <w:t>da prijenosna mreža ne predstavlja ograničenje u nadmetanju,</w:t>
      </w:r>
    </w:p>
    <w:p w14:paraId="4BA8AC53" w14:textId="77777777" w:rsidR="00B004B4" w:rsidRDefault="00B004B4" w:rsidP="00B004B4">
      <w:pPr>
        <w:pStyle w:val="ListParagraph"/>
        <w:numPr>
          <w:ilvl w:val="0"/>
          <w:numId w:val="28"/>
        </w:numPr>
        <w:tabs>
          <w:tab w:val="clear" w:pos="431"/>
          <w:tab w:val="left" w:pos="709"/>
        </w:tabs>
      </w:pPr>
      <w:r>
        <w:t>revitalizacija i zamjena starijih/dotrajalih jedinica mreže,</w:t>
      </w:r>
    </w:p>
    <w:p w14:paraId="20E7C013" w14:textId="77777777" w:rsidR="00B004B4" w:rsidRDefault="00B004B4" w:rsidP="00B004B4">
      <w:pPr>
        <w:pStyle w:val="ListParagraph"/>
        <w:numPr>
          <w:ilvl w:val="0"/>
          <w:numId w:val="28"/>
        </w:numPr>
        <w:tabs>
          <w:tab w:val="clear" w:pos="431"/>
          <w:tab w:val="left" w:pos="709"/>
        </w:tabs>
      </w:pPr>
      <w:r>
        <w:t>povećanje prijenosnih moći pojedinih vodova predviđenih za revitalizaciju korištenjem HTLS vodiča, te smanjenje gubitaka u prijenosu električne energije,</w:t>
      </w:r>
    </w:p>
    <w:p w14:paraId="75C05D29" w14:textId="3B7E3F5C" w:rsidR="00B004B4" w:rsidRDefault="00B004B4" w:rsidP="00B004B4">
      <w:pPr>
        <w:pStyle w:val="ListParagraph"/>
        <w:numPr>
          <w:ilvl w:val="0"/>
          <w:numId w:val="28"/>
        </w:numPr>
        <w:tabs>
          <w:tab w:val="clear" w:pos="431"/>
          <w:tab w:val="left" w:pos="709"/>
        </w:tabs>
      </w:pPr>
      <w:r>
        <w:t xml:space="preserve">primjene novih tehnologija u prijenosu, </w:t>
      </w:r>
      <w:r w:rsidR="00D43BFD">
        <w:t>ako</w:t>
      </w:r>
      <w:r>
        <w:t xml:space="preserve"> je ista tehno-ekonomski opravdana. </w:t>
      </w:r>
    </w:p>
    <w:p w14:paraId="46E47845" w14:textId="77777777" w:rsidR="00FF0CF3" w:rsidRDefault="00FF0CF3" w:rsidP="00FF0CF3"/>
    <w:p w14:paraId="45E6B799" w14:textId="77777777" w:rsidR="00FF0CF3" w:rsidRPr="003A2943" w:rsidRDefault="00FF0CF3" w:rsidP="00FF0CF3">
      <w:pPr>
        <w:rPr>
          <w:u w:val="single"/>
        </w:rPr>
      </w:pPr>
      <w:r w:rsidRPr="003A2943">
        <w:rPr>
          <w:u w:val="single"/>
        </w:rPr>
        <w:t>Ključni nacionalni ciljevi za infrastrukturu za prijenos plina</w:t>
      </w:r>
    </w:p>
    <w:p w14:paraId="572A83E9" w14:textId="7B7EDF03" w:rsidR="00677E9A" w:rsidRDefault="00677E9A" w:rsidP="00677E9A">
      <w:r>
        <w:t>Očekuje se razvoj sustava za skladištenje plina, prije svega u funkciji domaće potrošnje prirodnog plina, ali i u funkciji novih dobavnih projekata. Razvoj sustava za skladištenje plina obuhvaća dogradnju postojećeg podzemnog skladišta plina Okoli (</w:t>
      </w:r>
      <w:r w:rsidR="00A761C4">
        <w:t>u</w:t>
      </w:r>
      <w:r>
        <w:t xml:space="preserve"> tijeku), izgradnju i puštanje u rad novog (vršnog) podzemnog skladišta plina u Grubišnom Polju (planirano u 2022. godini) te potencijalna izgradnja novog sezonskog skladišta plina sukladno mogućnostima i potrebama, a u skladu sa Strategijom energetskog razvoja.</w:t>
      </w:r>
    </w:p>
    <w:p w14:paraId="238EF97F" w14:textId="24FFCE12" w:rsidR="00A626AB" w:rsidRDefault="00A626AB" w:rsidP="00A626AB">
      <w:r>
        <w:t>E</w:t>
      </w:r>
      <w:r w:rsidRPr="00AD5AC8">
        <w:t>nergetski skladišni prostori i objekti za prihvat, skladištenje i uplinjavanje ili dekompresiju ukapljenog prirodnog plina (</w:t>
      </w:r>
      <w:r>
        <w:t>UPP</w:t>
      </w:r>
      <w:r w:rsidRPr="00AD5AC8">
        <w:t xml:space="preserve">) i </w:t>
      </w:r>
      <w:r>
        <w:t>stlačenog</w:t>
      </w:r>
      <w:r w:rsidRPr="00AD5AC8">
        <w:t xml:space="preserve"> prirodnog plina (</w:t>
      </w:r>
      <w:r>
        <w:t>SPP</w:t>
      </w:r>
      <w:r w:rsidRPr="00AD5AC8">
        <w:t>) imaju sve značajniju ulogu u europskoj energetskoj infrastrukturi. Proširenje takvih infrastrukturnih objekata sastavni</w:t>
      </w:r>
      <w:r>
        <w:t xml:space="preserve"> je</w:t>
      </w:r>
      <w:r w:rsidRPr="00AD5AC8">
        <w:t xml:space="preserve"> dio </w:t>
      </w:r>
      <w:r>
        <w:t>funkcionalne</w:t>
      </w:r>
      <w:r w:rsidRPr="00AD5AC8">
        <w:t xml:space="preserve"> mrežne infrastrukture.</w:t>
      </w:r>
    </w:p>
    <w:p w14:paraId="3F06314A" w14:textId="77777777" w:rsidR="00A626AB" w:rsidRDefault="00A626AB" w:rsidP="00A626AB">
      <w:r>
        <w:t>E</w:t>
      </w:r>
      <w:r w:rsidRPr="00A304FF">
        <w:t>nergetsk</w:t>
      </w:r>
      <w:r>
        <w:t>a</w:t>
      </w:r>
      <w:r w:rsidRPr="00A304FF">
        <w:t xml:space="preserve"> infrastruktur</w:t>
      </w:r>
      <w:r>
        <w:t>a</w:t>
      </w:r>
      <w:r w:rsidRPr="00A304FF">
        <w:t xml:space="preserve"> </w:t>
      </w:r>
      <w:r>
        <w:t xml:space="preserve">za plin </w:t>
      </w:r>
      <w:r w:rsidRPr="00A304FF">
        <w:t>koj</w:t>
      </w:r>
      <w:r>
        <w:t>u</w:t>
      </w:r>
      <w:r w:rsidRPr="00A304FF">
        <w:t xml:space="preserve"> treba iz</w:t>
      </w:r>
      <w:r>
        <w:t>g</w:t>
      </w:r>
      <w:r w:rsidRPr="00A304FF">
        <w:t xml:space="preserve">raditi </w:t>
      </w:r>
      <w:r>
        <w:t>u cilju</w:t>
      </w:r>
      <w:r w:rsidRPr="00A304FF">
        <w:t xml:space="preserve"> provedbe prioriteta </w:t>
      </w:r>
      <w:r>
        <w:t xml:space="preserve">iz područja </w:t>
      </w:r>
      <w:r w:rsidRPr="00A304FF">
        <w:t>energetske infrastrukture</w:t>
      </w:r>
      <w:r>
        <w:t xml:space="preserve"> od zajedničkog interesa su:</w:t>
      </w:r>
    </w:p>
    <w:p w14:paraId="6B9DA78A" w14:textId="77777777" w:rsidR="00A626AB" w:rsidRDefault="00A626AB" w:rsidP="00A626AB">
      <w:pPr>
        <w:pStyle w:val="ListParagraph"/>
        <w:numPr>
          <w:ilvl w:val="0"/>
          <w:numId w:val="89"/>
        </w:numPr>
        <w:tabs>
          <w:tab w:val="clear" w:pos="431"/>
        </w:tabs>
        <w:suppressAutoHyphens w:val="0"/>
        <w:spacing w:after="160" w:line="259" w:lineRule="auto"/>
        <w:contextualSpacing/>
      </w:pPr>
      <w:r>
        <w:t>plinovodi za transport prirodnog plina i bioplina koji su dio mreže koja uglavnom sadrži visokotlačne plinovode, isključujući visokotlačne plinovode koji se koriste za potrebe proizvodnje ili lokalne distribucije prirodnog plina;</w:t>
      </w:r>
    </w:p>
    <w:p w14:paraId="1A315A29" w14:textId="77777777" w:rsidR="00A626AB" w:rsidRDefault="00A626AB" w:rsidP="00A626AB">
      <w:pPr>
        <w:pStyle w:val="ListParagraph"/>
        <w:numPr>
          <w:ilvl w:val="0"/>
          <w:numId w:val="89"/>
        </w:numPr>
        <w:tabs>
          <w:tab w:val="clear" w:pos="431"/>
        </w:tabs>
        <w:suppressAutoHyphens w:val="0"/>
        <w:spacing w:after="160" w:line="259" w:lineRule="auto"/>
        <w:contextualSpacing/>
      </w:pPr>
      <w:r>
        <w:t>podzemna skladišta plina;</w:t>
      </w:r>
    </w:p>
    <w:p w14:paraId="725CA8A3" w14:textId="77777777" w:rsidR="00A626AB" w:rsidRDefault="00A626AB" w:rsidP="00A626AB">
      <w:pPr>
        <w:pStyle w:val="ListParagraph"/>
        <w:numPr>
          <w:ilvl w:val="0"/>
          <w:numId w:val="89"/>
        </w:numPr>
        <w:tabs>
          <w:tab w:val="clear" w:pos="431"/>
        </w:tabs>
        <w:suppressAutoHyphens w:val="0"/>
        <w:spacing w:after="160" w:line="259" w:lineRule="auto"/>
        <w:contextualSpacing/>
      </w:pPr>
      <w:r>
        <w:t>objekti za prihvat, skladištenje i uplinjavanje ili dekompresiju ukapljenog prirodnog plina (UPP) i stlačenog prirodnog plina (SPP);</w:t>
      </w:r>
    </w:p>
    <w:p w14:paraId="67BE7BEF" w14:textId="77777777" w:rsidR="00A626AB" w:rsidRDefault="00A626AB" w:rsidP="00A626AB">
      <w:pPr>
        <w:pStyle w:val="ListParagraph"/>
        <w:numPr>
          <w:ilvl w:val="0"/>
          <w:numId w:val="89"/>
        </w:numPr>
        <w:tabs>
          <w:tab w:val="clear" w:pos="431"/>
        </w:tabs>
        <w:suppressAutoHyphens w:val="0"/>
        <w:spacing w:after="160" w:line="259" w:lineRule="auto"/>
        <w:contextualSpacing/>
      </w:pPr>
      <w:r>
        <w:t>sva oprema važna za zaštićen, siguran i učinkovit rad sustava ili omogućavanje dvosmjernog kapaciteta, uključujući kompresorske stanice.</w:t>
      </w:r>
    </w:p>
    <w:p w14:paraId="11A57072" w14:textId="168A68F9" w:rsidR="0060576D" w:rsidRPr="0060576D" w:rsidRDefault="00A626AB" w:rsidP="0060576D">
      <w:r>
        <w:t>U skladu s Uredbom (EU) br. 347/2013, popis projekata od zajedničkog interesa Unije utvrđuje se svake dvije godine. Novi popis projekata od zajedničkog interesa, utvrđen Prilogom VII Uredbe (EU) br. 347/2013 od 23. studenog 2017., uključuje sljedeće grupe projekata od zajedničkog interesa na teritoriju RH</w:t>
      </w:r>
      <w:r w:rsidR="006F6244">
        <w:t xml:space="preserve"> (</w:t>
      </w:r>
      <w:r w:rsidR="006F6244">
        <w:fldChar w:fldCharType="begin"/>
      </w:r>
      <w:r w:rsidR="006F6244">
        <w:instrText xml:space="preserve"> REF _Ref531867499 \h </w:instrText>
      </w:r>
      <w:r w:rsidR="006F6244">
        <w:fldChar w:fldCharType="separate"/>
      </w:r>
      <w:r w:rsidR="00E5423A">
        <w:t xml:space="preserve">Tablica </w:t>
      </w:r>
      <w:r w:rsidR="00E5423A">
        <w:rPr>
          <w:noProof/>
        </w:rPr>
        <w:t>2</w:t>
      </w:r>
      <w:r w:rsidR="00E5423A">
        <w:noBreakHyphen/>
      </w:r>
      <w:r w:rsidR="00E5423A">
        <w:rPr>
          <w:noProof/>
        </w:rPr>
        <w:t>15</w:t>
      </w:r>
      <w:r w:rsidR="006F6244">
        <w:fldChar w:fldCharType="end"/>
      </w:r>
      <w:r w:rsidR="006F6244">
        <w:t>).</w:t>
      </w:r>
    </w:p>
    <w:p w14:paraId="71B29EDE" w14:textId="39CB47DA" w:rsidR="006F6244" w:rsidRDefault="006F6244" w:rsidP="00CF2D4C">
      <w:pPr>
        <w:pStyle w:val="Caption"/>
      </w:pPr>
      <w:bookmarkStart w:id="287" w:name="_Ref531867499"/>
      <w:bookmarkStart w:id="288" w:name="_Toc531935347"/>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2</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15</w:t>
      </w:r>
      <w:r w:rsidR="00B22048">
        <w:rPr>
          <w:noProof/>
        </w:rPr>
        <w:fldChar w:fldCharType="end"/>
      </w:r>
      <w:bookmarkEnd w:id="287"/>
      <w:r>
        <w:tab/>
        <w:t>Projekti od zajedn</w:t>
      </w:r>
      <w:r w:rsidR="00B516DF">
        <w:t>i</w:t>
      </w:r>
      <w:r>
        <w:t>čkog interesa na teritoriju RH</w:t>
      </w:r>
      <w:bookmarkEnd w:id="288"/>
    </w:p>
    <w:tbl>
      <w:tblPr>
        <w:tblW w:w="500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89"/>
        <w:gridCol w:w="8467"/>
      </w:tblGrid>
      <w:tr w:rsidR="00A626AB" w:rsidRPr="00407D88" w14:paraId="5FF4A90B" w14:textId="77777777" w:rsidTr="005742C0">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45F89931" w14:textId="77777777" w:rsidR="00A626AB" w:rsidRPr="00407D88" w:rsidRDefault="00A626AB" w:rsidP="005742C0">
            <w:pPr>
              <w:spacing w:before="60" w:after="60" w:line="240" w:lineRule="auto"/>
              <w:rPr>
                <w:rFonts w:cstheme="minorHAnsi"/>
                <w:color w:val="000000"/>
                <w:sz w:val="20"/>
                <w:szCs w:val="20"/>
              </w:rPr>
            </w:pPr>
            <w:r w:rsidRPr="00407D88">
              <w:rPr>
                <w:rFonts w:cstheme="minorHAnsi"/>
                <w:color w:val="000000"/>
                <w:sz w:val="20"/>
                <w:szCs w:val="2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6D19D5D9" w14:textId="77777777" w:rsidR="00A626AB" w:rsidRDefault="00A626AB" w:rsidP="005742C0">
            <w:pPr>
              <w:spacing w:before="60" w:after="60" w:line="240" w:lineRule="auto"/>
              <w:rPr>
                <w:rFonts w:cstheme="minorHAnsi"/>
                <w:color w:val="000000"/>
                <w:sz w:val="20"/>
                <w:szCs w:val="20"/>
              </w:rPr>
            </w:pPr>
            <w:r w:rsidRPr="00407D88">
              <w:rPr>
                <w:rFonts w:cstheme="minorHAnsi"/>
                <w:color w:val="000000"/>
                <w:sz w:val="20"/>
                <w:szCs w:val="20"/>
              </w:rPr>
              <w:t xml:space="preserve">Klaster Krk: terminal za </w:t>
            </w:r>
            <w:r>
              <w:rPr>
                <w:rFonts w:cstheme="minorHAnsi"/>
                <w:color w:val="000000"/>
                <w:sz w:val="20"/>
                <w:szCs w:val="20"/>
              </w:rPr>
              <w:t>UPP</w:t>
            </w:r>
            <w:r w:rsidRPr="00407D88">
              <w:rPr>
                <w:rFonts w:cstheme="minorHAnsi"/>
                <w:color w:val="000000"/>
                <w:sz w:val="20"/>
                <w:szCs w:val="20"/>
              </w:rPr>
              <w:t xml:space="preserve"> sa spojnim i evakuacijskim plinovodima prema Mađarskoj i šire, uključujući sljedeće projekte od zajedničkog interesa:</w:t>
            </w:r>
          </w:p>
          <w:p w14:paraId="132DD900" w14:textId="77777777" w:rsidR="00A626AB" w:rsidRDefault="00A626AB" w:rsidP="005742C0">
            <w:pPr>
              <w:spacing w:before="60" w:after="60" w:line="240" w:lineRule="auto"/>
              <w:rPr>
                <w:rFonts w:cstheme="minorHAnsi"/>
                <w:color w:val="000000"/>
                <w:sz w:val="20"/>
                <w:szCs w:val="20"/>
              </w:rPr>
            </w:pPr>
            <w:r w:rsidRPr="00912FA7">
              <w:rPr>
                <w:rFonts w:cstheme="minorHAnsi"/>
                <w:color w:val="000000"/>
                <w:sz w:val="20"/>
                <w:szCs w:val="20"/>
              </w:rPr>
              <w:t>6.5.1.</w:t>
            </w:r>
            <w:r w:rsidRPr="00912FA7">
              <w:rPr>
                <w:rFonts w:cstheme="minorHAnsi"/>
                <w:color w:val="000000"/>
                <w:sz w:val="20"/>
                <w:szCs w:val="20"/>
              </w:rPr>
              <w:tab/>
              <w:t>Razvoj terminala za UPP na Krku (HR) do 2,6 bcm/a – Faza I. i spojni plinovod Omišalj – Zlobin (HR)</w:t>
            </w:r>
          </w:p>
          <w:p w14:paraId="60EA8F84" w14:textId="77777777" w:rsidR="00A626AB" w:rsidRPr="00912FA7" w:rsidRDefault="00A626AB" w:rsidP="005742C0">
            <w:pPr>
              <w:spacing w:before="60" w:after="60" w:line="240" w:lineRule="auto"/>
              <w:rPr>
                <w:rFonts w:cstheme="minorHAnsi"/>
                <w:color w:val="000000"/>
                <w:sz w:val="20"/>
                <w:szCs w:val="20"/>
              </w:rPr>
            </w:pPr>
            <w:r w:rsidRPr="00912FA7">
              <w:rPr>
                <w:rFonts w:cstheme="minorHAnsi"/>
                <w:color w:val="000000"/>
                <w:sz w:val="20"/>
                <w:szCs w:val="20"/>
              </w:rPr>
              <w:t xml:space="preserve">6.5.5. </w:t>
            </w:r>
            <w:r w:rsidRPr="00912FA7">
              <w:rPr>
                <w:rFonts w:cstheme="minorHAnsi"/>
                <w:color w:val="000000"/>
                <w:sz w:val="20"/>
                <w:szCs w:val="20"/>
              </w:rPr>
              <w:tab/>
              <w:t>Kompresorska stanica 1 na hrvatskom sustavu za prijenos plina</w:t>
            </w:r>
          </w:p>
          <w:p w14:paraId="2190B5D6" w14:textId="77777777" w:rsidR="00A626AB" w:rsidRPr="005C3A78" w:rsidRDefault="00A626AB" w:rsidP="005742C0">
            <w:pPr>
              <w:spacing w:before="60" w:after="60" w:line="240" w:lineRule="auto"/>
              <w:rPr>
                <w:rFonts w:cstheme="minorHAnsi"/>
                <w:color w:val="000000"/>
                <w:sz w:val="20"/>
                <w:szCs w:val="20"/>
              </w:rPr>
            </w:pPr>
            <w:r w:rsidRPr="00912FA7">
              <w:rPr>
                <w:rFonts w:cstheme="minorHAnsi"/>
                <w:color w:val="000000"/>
                <w:sz w:val="20"/>
                <w:szCs w:val="20"/>
              </w:rPr>
              <w:t>6.5.6.</w:t>
            </w:r>
            <w:r w:rsidRPr="00912FA7">
              <w:rPr>
                <w:rFonts w:cstheme="minorHAnsi"/>
                <w:color w:val="000000"/>
                <w:sz w:val="20"/>
                <w:szCs w:val="20"/>
              </w:rPr>
              <w:tab/>
              <w:t>Proširenje terminala za UPP na Krku iznad 2,6 bcm/a – Faza II. i evakuacijski plinovodi Zlobin – Bosiljevo – Sisak – Kozarac – Slobodnica (HR)</w:t>
            </w:r>
          </w:p>
          <w:p w14:paraId="479CA863" w14:textId="77777777" w:rsidR="00A626AB" w:rsidRPr="00407D88" w:rsidRDefault="00A626AB" w:rsidP="005742C0">
            <w:pPr>
              <w:spacing w:after="0" w:line="240" w:lineRule="auto"/>
              <w:rPr>
                <w:rFonts w:cstheme="minorHAnsi"/>
                <w:color w:val="000000"/>
                <w:sz w:val="20"/>
                <w:szCs w:val="20"/>
              </w:rPr>
            </w:pPr>
          </w:p>
        </w:tc>
      </w:tr>
      <w:tr w:rsidR="00A626AB" w:rsidRPr="00407D88" w14:paraId="6065979B" w14:textId="77777777" w:rsidTr="005742C0">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4805E4FC" w14:textId="77777777" w:rsidR="00A626AB" w:rsidRPr="00407D88" w:rsidRDefault="00A626AB" w:rsidP="005742C0">
            <w:pPr>
              <w:spacing w:before="60" w:after="60" w:line="240" w:lineRule="auto"/>
              <w:rPr>
                <w:rFonts w:cstheme="minorHAnsi"/>
                <w:color w:val="000000"/>
                <w:sz w:val="20"/>
                <w:szCs w:val="20"/>
              </w:rPr>
            </w:pPr>
            <w:r w:rsidRPr="00407D88">
              <w:rPr>
                <w:rFonts w:cstheme="minorHAnsi"/>
                <w:color w:val="000000"/>
                <w:sz w:val="20"/>
                <w:szCs w:val="20"/>
              </w:rPr>
              <w:t>6.26.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tbl>
            <w:tblPr>
              <w:tblW w:w="5000" w:type="pct"/>
              <w:tblCellSpacing w:w="0" w:type="dxa"/>
              <w:tblCellMar>
                <w:left w:w="0" w:type="dxa"/>
                <w:right w:w="0" w:type="dxa"/>
              </w:tblCellMar>
              <w:tblLook w:val="04A0" w:firstRow="1" w:lastRow="0" w:firstColumn="1" w:lastColumn="0" w:noHBand="0" w:noVBand="1"/>
            </w:tblPr>
            <w:tblGrid>
              <w:gridCol w:w="770"/>
              <w:gridCol w:w="7553"/>
            </w:tblGrid>
            <w:tr w:rsidR="00A626AB" w:rsidRPr="00407D88" w14:paraId="0BD351ED" w14:textId="77777777" w:rsidTr="005742C0">
              <w:trPr>
                <w:tblCellSpacing w:w="0" w:type="dxa"/>
              </w:trPr>
              <w:tc>
                <w:tcPr>
                  <w:tcW w:w="0" w:type="auto"/>
                  <w:hideMark/>
                </w:tcPr>
                <w:p w14:paraId="252E7728" w14:textId="77777777" w:rsidR="00A626AB" w:rsidRPr="00407D88" w:rsidRDefault="00A626AB" w:rsidP="005742C0">
                  <w:pPr>
                    <w:spacing w:before="120" w:after="0" w:line="240" w:lineRule="auto"/>
                    <w:rPr>
                      <w:rFonts w:cstheme="minorHAnsi"/>
                      <w:sz w:val="20"/>
                      <w:szCs w:val="20"/>
                    </w:rPr>
                  </w:pPr>
                  <w:r w:rsidRPr="00407D88">
                    <w:rPr>
                      <w:rFonts w:cstheme="minorHAnsi"/>
                      <w:sz w:val="20"/>
                      <w:szCs w:val="20"/>
                    </w:rPr>
                    <w:t>6.26.1.</w:t>
                  </w:r>
                </w:p>
              </w:tc>
              <w:tc>
                <w:tcPr>
                  <w:tcW w:w="0" w:type="auto"/>
                  <w:hideMark/>
                </w:tcPr>
                <w:p w14:paraId="029E0AAF" w14:textId="77777777" w:rsidR="00A626AB" w:rsidRDefault="00A626AB" w:rsidP="005742C0">
                  <w:pPr>
                    <w:spacing w:before="120" w:after="0" w:line="240" w:lineRule="auto"/>
                    <w:rPr>
                      <w:rFonts w:cstheme="minorHAnsi"/>
                      <w:sz w:val="20"/>
                      <w:szCs w:val="20"/>
                    </w:rPr>
                  </w:pPr>
                  <w:r w:rsidRPr="00407D88">
                    <w:rPr>
                      <w:rFonts w:cstheme="minorHAnsi"/>
                      <w:sz w:val="20"/>
                      <w:szCs w:val="20"/>
                    </w:rPr>
                    <w:t>Klaster Hrvatska – Slovenija – Austrija u Rogatecu, uključujući:</w:t>
                  </w:r>
                </w:p>
                <w:p w14:paraId="040C8430" w14:textId="77777777" w:rsidR="00A626AB" w:rsidRPr="00F2736E" w:rsidRDefault="00A626AB" w:rsidP="005742C0">
                  <w:pPr>
                    <w:spacing w:before="120" w:after="0" w:line="240" w:lineRule="auto"/>
                    <w:rPr>
                      <w:rFonts w:cstheme="minorHAnsi"/>
                      <w:sz w:val="20"/>
                      <w:szCs w:val="20"/>
                    </w:rPr>
                  </w:pPr>
                  <w:r>
                    <w:rPr>
                      <w:rFonts w:cstheme="minorHAnsi"/>
                      <w:sz w:val="20"/>
                      <w:szCs w:val="20"/>
                    </w:rPr>
                    <w:t xml:space="preserve">- </w:t>
                  </w:r>
                  <w:r w:rsidRPr="00F2736E">
                    <w:rPr>
                      <w:rFonts w:cstheme="minorHAnsi"/>
                      <w:sz w:val="20"/>
                      <w:szCs w:val="20"/>
                    </w:rPr>
                    <w:t>interkonekciju Hrvatska – Slovenija (Lučko – Zabok – Rogatec)</w:t>
                  </w:r>
                </w:p>
                <w:p w14:paraId="6F37EA26" w14:textId="77777777" w:rsidR="00A626AB" w:rsidRPr="00912FA7" w:rsidRDefault="00A626AB" w:rsidP="005742C0">
                  <w:pPr>
                    <w:spacing w:before="120" w:after="0" w:line="240" w:lineRule="auto"/>
                    <w:rPr>
                      <w:rFonts w:cstheme="minorHAnsi"/>
                      <w:sz w:val="20"/>
                      <w:szCs w:val="20"/>
                    </w:rPr>
                  </w:pPr>
                  <w:r>
                    <w:rPr>
                      <w:rFonts w:cstheme="minorHAnsi"/>
                      <w:sz w:val="20"/>
                      <w:szCs w:val="20"/>
                    </w:rPr>
                    <w:t xml:space="preserve">- </w:t>
                  </w:r>
                  <w:r w:rsidRPr="00912FA7">
                    <w:rPr>
                      <w:rFonts w:cstheme="minorHAnsi"/>
                      <w:sz w:val="20"/>
                      <w:szCs w:val="20"/>
                    </w:rPr>
                    <w:t>kompresorske stanice 2 i 3 na hrvatskom sustavu za prijenos plina</w:t>
                  </w:r>
                </w:p>
                <w:p w14:paraId="631DDDD0" w14:textId="0AB6AF3A" w:rsidR="00A626AB" w:rsidRPr="00407D88" w:rsidRDefault="00A626AB" w:rsidP="00CF2D4C">
                  <w:pPr>
                    <w:spacing w:before="120" w:after="0" w:line="240" w:lineRule="auto"/>
                    <w:rPr>
                      <w:rFonts w:cstheme="minorHAnsi"/>
                      <w:sz w:val="20"/>
                      <w:szCs w:val="20"/>
                    </w:rPr>
                  </w:pPr>
                  <w:r>
                    <w:rPr>
                      <w:rFonts w:cstheme="minorHAnsi"/>
                      <w:sz w:val="20"/>
                      <w:szCs w:val="20"/>
                    </w:rPr>
                    <w:t xml:space="preserve">- </w:t>
                  </w:r>
                  <w:r w:rsidRPr="00912FA7">
                    <w:rPr>
                      <w:rFonts w:cstheme="minorHAnsi"/>
                      <w:sz w:val="20"/>
                      <w:szCs w:val="20"/>
                    </w:rPr>
                    <w:t>nadogradnju interkonekcije Rogatec</w:t>
                  </w:r>
                </w:p>
              </w:tc>
            </w:tr>
          </w:tbl>
          <w:p w14:paraId="44FAB103" w14:textId="77777777" w:rsidR="00A626AB" w:rsidRPr="00407D88" w:rsidRDefault="00A626AB" w:rsidP="005742C0">
            <w:pPr>
              <w:spacing w:after="0" w:line="240" w:lineRule="auto"/>
              <w:rPr>
                <w:rFonts w:cstheme="minorHAnsi"/>
                <w:color w:val="000000"/>
                <w:sz w:val="20"/>
                <w:szCs w:val="20"/>
              </w:rPr>
            </w:pPr>
          </w:p>
        </w:tc>
      </w:tr>
    </w:tbl>
    <w:p w14:paraId="0F8DB6C2" w14:textId="77777777" w:rsidR="00FF0CF3" w:rsidRDefault="00FF0CF3" w:rsidP="00FF0CF3"/>
    <w:p w14:paraId="4EEFBA46" w14:textId="5EA4E79E" w:rsidR="00FF0CF3" w:rsidRDefault="00FF0CF3" w:rsidP="00302043">
      <w:pPr>
        <w:pStyle w:val="Heading3"/>
      </w:pPr>
      <w:bookmarkStart w:id="289" w:name="_Toc531801553"/>
      <w:bookmarkStart w:id="290" w:name="_Toc531801680"/>
      <w:bookmarkStart w:id="291" w:name="_Toc531801808"/>
      <w:bookmarkStart w:id="292" w:name="_Toc531801936"/>
      <w:bookmarkStart w:id="293" w:name="_Toc531935146"/>
      <w:bookmarkStart w:id="294" w:name="_Toc531945096"/>
      <w:bookmarkEnd w:id="289"/>
      <w:bookmarkEnd w:id="290"/>
      <w:bookmarkEnd w:id="291"/>
      <w:bookmarkEnd w:id="292"/>
      <w:r>
        <w:t>Integracija tržišta</w:t>
      </w:r>
      <w:bookmarkEnd w:id="293"/>
      <w:bookmarkEnd w:id="294"/>
    </w:p>
    <w:p w14:paraId="5DC9F136" w14:textId="43848DBC" w:rsidR="00FF0CF3" w:rsidRPr="00276CE9" w:rsidRDefault="00FF0CF3" w:rsidP="005822F8">
      <w:pPr>
        <w:pStyle w:val="ListParagraph"/>
        <w:numPr>
          <w:ilvl w:val="0"/>
          <w:numId w:val="26"/>
        </w:numPr>
        <w:tabs>
          <w:tab w:val="clear" w:pos="431"/>
        </w:tabs>
        <w:suppressAutoHyphens w:val="0"/>
        <w:spacing w:after="160" w:line="259" w:lineRule="auto"/>
        <w:contextualSpacing/>
        <w:jc w:val="left"/>
        <w:rPr>
          <w:rFonts w:cs="Times New Roman"/>
          <w:lang w:eastAsia="hr-HR"/>
        </w:rPr>
      </w:pPr>
      <w:r w:rsidRPr="00276CE9">
        <w:rPr>
          <w:rFonts w:cs="Times New Roman"/>
          <w:lang w:eastAsia="hr-HR"/>
        </w:rPr>
        <w:t>Ako je primjenjivo, nacionalni ciljevi povezani s drugim aspektima unutarnjeg energetskog tržišta, poput integracije tržišta i uparivanja, uključujući vremenski okvir tijekom kojeg ciljevi trebaju biti ostvareni</w:t>
      </w:r>
    </w:p>
    <w:p w14:paraId="4F3E3D56" w14:textId="423628F7" w:rsidR="00AB12AC" w:rsidRDefault="00AB12AC" w:rsidP="004D0BA4">
      <w:pPr>
        <w:suppressAutoHyphens w:val="0"/>
        <w:spacing w:after="160" w:line="259" w:lineRule="auto"/>
        <w:contextualSpacing/>
        <w:jc w:val="left"/>
      </w:pPr>
    </w:p>
    <w:p w14:paraId="2D5D15AA" w14:textId="77777777" w:rsidR="004D0BA4" w:rsidRDefault="004D0BA4" w:rsidP="004D0BA4">
      <w:r>
        <w:t xml:space="preserve">U Hrvatskoj postoji burza električne energije CROPEX na kojoj je moguće trgovati dan unaprijed i unutar-dnevno. U prosincu 2015. godine CROPEX je postao NEMO (engl. </w:t>
      </w:r>
      <w:r w:rsidRPr="6D613465">
        <w:rPr>
          <w:i/>
          <w:iCs/>
        </w:rPr>
        <w:t>Nominated Electricity Market Operator</w:t>
      </w:r>
      <w:r>
        <w:t xml:space="preserve">), odnosno burza s pravom i odgovornošću sudjelovanja u provedbi povezivanja dan unaprijed i unutardnevnog tržišta električne energije na razini Europske unije. Povezivanje Hrvatske s EU tržištem na dan unaprijed razini trebalo bi se realizirati preko IBWT (engl. </w:t>
      </w:r>
      <w:r w:rsidRPr="6D613465">
        <w:rPr>
          <w:i/>
          <w:iCs/>
        </w:rPr>
        <w:t>Italian Borders Working Table</w:t>
      </w:r>
      <w:r>
        <w:t xml:space="preserve">) projekta, a na unutardnevnoj razini preko EU XBID (engl. </w:t>
      </w:r>
      <w:r w:rsidRPr="6D613465">
        <w:rPr>
          <w:i/>
          <w:iCs/>
        </w:rPr>
        <w:t>Cross Border Intra Day</w:t>
      </w:r>
      <w:r>
        <w:t>) projekta. Osim povezivanja s EU tržištem, pokrenuta je suradnja između CROPEX-a i operatora prijenosnog sustava iz Bosne i Hercegovine (NOS BiH) o provedbi prekograničnog povezivanja dan unaprijed tržišta Hrvatske i Bosne i Hercegovine. Nadalje, postoji mogućnost povezivanja dan unaprijed tržišta na granici s Mađarskom (4M MC), ali i određene inicijative za razvoj regionalne burze na području jugoistočne Europe po modelu burze Nord Pool.</w:t>
      </w:r>
    </w:p>
    <w:p w14:paraId="68398CB3" w14:textId="77777777" w:rsidR="00F3374E" w:rsidRDefault="004D0BA4" w:rsidP="00F3374E">
      <w:r>
        <w:t xml:space="preserve">Od 19. lipnja 2018. godine </w:t>
      </w:r>
      <w:r w:rsidRPr="00450BF8">
        <w:t>hrvatsko dan</w:t>
      </w:r>
      <w:r>
        <w:t>-</w:t>
      </w:r>
      <w:r w:rsidRPr="00450BF8">
        <w:t>unaprijed tržišt</w:t>
      </w:r>
      <w:r>
        <w:t>e</w:t>
      </w:r>
      <w:r w:rsidRPr="00450BF8">
        <w:t xml:space="preserve"> </w:t>
      </w:r>
      <w:r>
        <w:t xml:space="preserve">povezano je </w:t>
      </w:r>
      <w:r w:rsidRPr="00450BF8">
        <w:t xml:space="preserve">s MRC </w:t>
      </w:r>
      <w:r>
        <w:t xml:space="preserve">(Multi-Regional Coupling) </w:t>
      </w:r>
      <w:r w:rsidRPr="00450BF8">
        <w:t>dan</w:t>
      </w:r>
      <w:r>
        <w:t>-</w:t>
      </w:r>
      <w:r w:rsidRPr="00450BF8">
        <w:t>unaprijed tržištem</w:t>
      </w:r>
      <w:r>
        <w:t>,</w:t>
      </w:r>
      <w:r w:rsidRPr="00450BF8">
        <w:t xml:space="preserve"> odnosno s jedinstvenim europskim dan</w:t>
      </w:r>
      <w:r>
        <w:t>-</w:t>
      </w:r>
      <w:r w:rsidRPr="00450BF8">
        <w:t>unaprijed tržištem preko hrvatsko-slovenske granice.</w:t>
      </w:r>
      <w:r>
        <w:t xml:space="preserve"> D</w:t>
      </w:r>
      <w:r w:rsidRPr="00CD402D">
        <w:t>nevni prekogranični kapacitet za hrvatsko-slovensku granicu neizravno se dodjelj</w:t>
      </w:r>
      <w:r>
        <w:t xml:space="preserve">uje </w:t>
      </w:r>
      <w:r w:rsidRPr="00CD402D">
        <w:t xml:space="preserve">isključivo kroz EU PCR burzovno rješenje (Price Coupling of Regions) za dan unaprijed tržišta čime </w:t>
      </w:r>
      <w:r>
        <w:t>je</w:t>
      </w:r>
      <w:r w:rsidRPr="00CD402D">
        <w:t xml:space="preserve"> navedena granica </w:t>
      </w:r>
      <w:r>
        <w:t>postala</w:t>
      </w:r>
      <w:r w:rsidRPr="00CD402D">
        <w:t xml:space="preserve"> dio povezanog EU MRC (Multi-Regional Coupling) dan unaprijed tržišta.</w:t>
      </w:r>
      <w:r>
        <w:t xml:space="preserve"> </w:t>
      </w:r>
      <w:r w:rsidR="00F3374E">
        <w:t xml:space="preserve">U 2019. godini očekuje se druga faza proširenje XBID unutardnevnog tržišta koja obuhvaća </w:t>
      </w:r>
      <w:r w:rsidR="00F3374E" w:rsidRPr="00CD402D">
        <w:t xml:space="preserve">uključene sljedeće zemlje: Bugarska, Hrvatska, Češka, Mađarska, Poljska, Rumunjska i Slovenija, zajedno s već operativnim zemljama s kojima graniče. Granice koje će sudjelovati u drugom </w:t>
      </w:r>
      <w:r w:rsidR="00F3374E">
        <w:t>fazi</w:t>
      </w:r>
      <w:r w:rsidR="00F3374E" w:rsidRPr="00CD402D">
        <w:t xml:space="preserve"> bit će potvrđene u proljeće 2019. godine</w:t>
      </w:r>
      <w:r w:rsidR="00F3374E">
        <w:t>. Hrvatske institucije sudjeluju i podupiru procese u okviru Energetske zajednice koji se odnose na povezivanje tržišta na području WB6 zemalja. Projektom povezivanja dan-unaprijed tržišta na području WB6 zemalja očekuje se potpuna integracija tržišta u regiji u razdoblju do 2025. godine.</w:t>
      </w:r>
    </w:p>
    <w:p w14:paraId="3294B1F1" w14:textId="77777777" w:rsidR="00AB12AC" w:rsidRPr="00276CE9" w:rsidRDefault="00AB12AC" w:rsidP="00276CE9">
      <w:pPr>
        <w:suppressAutoHyphens w:val="0"/>
        <w:spacing w:after="160" w:line="259" w:lineRule="auto"/>
        <w:contextualSpacing/>
        <w:jc w:val="left"/>
      </w:pPr>
    </w:p>
    <w:p w14:paraId="27378008" w14:textId="77777777" w:rsidR="00FF0CF3" w:rsidRPr="00276CE9" w:rsidRDefault="00FF0CF3" w:rsidP="005822F8">
      <w:pPr>
        <w:pStyle w:val="ListParagraph"/>
        <w:numPr>
          <w:ilvl w:val="0"/>
          <w:numId w:val="26"/>
        </w:numPr>
        <w:tabs>
          <w:tab w:val="clear" w:pos="431"/>
        </w:tabs>
        <w:suppressAutoHyphens w:val="0"/>
        <w:spacing w:after="160" w:line="259" w:lineRule="auto"/>
        <w:contextualSpacing/>
        <w:jc w:val="left"/>
        <w:rPr>
          <w:rFonts w:cs="Times New Roman"/>
          <w:lang w:eastAsia="hr-HR"/>
        </w:rPr>
      </w:pPr>
      <w:r w:rsidRPr="00276CE9">
        <w:rPr>
          <w:rFonts w:cs="Times New Roman"/>
          <w:lang w:eastAsia="hr-HR"/>
        </w:rPr>
        <w:t>Ako je primjenjivo, nacionalni ciljevi u pogledu osiguranja adekvatnosti elektroenergetskog sustava, kao i u pogledu fleksibilnosti elektroenergetskog sustava s obzirom na proizvodnju energije iz obnovljivih izvora, uključujući vremenski okvir tijekom kojeg ciljevi trebaju biti ostvareni</w:t>
      </w:r>
    </w:p>
    <w:p w14:paraId="689EA0B4" w14:textId="24B7714D" w:rsidR="00B702D5" w:rsidRDefault="004854DB" w:rsidP="00FF70ED">
      <w:pPr>
        <w:suppressAutoHyphens w:val="0"/>
        <w:spacing w:after="160" w:line="259" w:lineRule="auto"/>
        <w:contextualSpacing/>
      </w:pPr>
      <w:r>
        <w:t>U pogledu buduće a</w:t>
      </w:r>
      <w:r w:rsidR="00B702D5">
        <w:t>dekvatnost</w:t>
      </w:r>
      <w:r>
        <w:t>i</w:t>
      </w:r>
      <w:r w:rsidR="00B702D5">
        <w:t xml:space="preserve"> elektroenergetskog sustava</w:t>
      </w:r>
      <w:r>
        <w:t xml:space="preserve">, potrebno je voditi računa o očekivanim promjenama u EES-u. </w:t>
      </w:r>
      <w:r w:rsidR="00B702D5">
        <w:t xml:space="preserve">Prema projekcijama </w:t>
      </w:r>
      <w:r>
        <w:t>udjela obnovljivih izvora energije iz poglavlja 2.1.2., potrebno je osigurati</w:t>
      </w:r>
      <w:r w:rsidR="00D744C1">
        <w:t xml:space="preserve"> odgovarajuća ulaganja u prijenosnu mrežu i sustav vođenja, te dostatne (raspoložive) mogućnosti uravnoteženja sustava, kako bi se osigurala zadovoljavajuća adekvatnost elektroenergetskog sustava, te podržala očekivana fleksibilnost njegovog pogona. </w:t>
      </w:r>
      <w:r>
        <w:t>Ciljevi su već navedeni u poglavlju 3.3.</w:t>
      </w:r>
    </w:p>
    <w:p w14:paraId="000AFB19" w14:textId="77777777" w:rsidR="004854DB" w:rsidRDefault="004854DB" w:rsidP="00FF70ED">
      <w:pPr>
        <w:suppressAutoHyphens w:val="0"/>
        <w:spacing w:after="160" w:line="259" w:lineRule="auto"/>
        <w:contextualSpacing/>
      </w:pPr>
    </w:p>
    <w:p w14:paraId="3C9FF517" w14:textId="7551734E" w:rsidR="004854DB" w:rsidRDefault="004854DB" w:rsidP="00F2577A">
      <w:pPr>
        <w:suppressAutoHyphens w:val="0"/>
        <w:spacing w:after="160" w:line="259" w:lineRule="auto"/>
        <w:contextualSpacing/>
      </w:pPr>
      <w:r>
        <w:t xml:space="preserve">Također, </w:t>
      </w:r>
      <w:r w:rsidRPr="004854DB">
        <w:t>fleksibilnost</w:t>
      </w:r>
      <w:r>
        <w:t>i</w:t>
      </w:r>
      <w:r w:rsidRPr="004854DB">
        <w:t xml:space="preserve"> elektroenergetskog sustava</w:t>
      </w:r>
      <w:r>
        <w:t xml:space="preserve"> doprinijet će i</w:t>
      </w:r>
      <w:r w:rsidRPr="004854DB">
        <w:t xml:space="preserve"> aktivn</w:t>
      </w:r>
      <w:r>
        <w:t>o</w:t>
      </w:r>
      <w:r w:rsidRPr="004854DB">
        <w:t xml:space="preserve"> sudjelovanje kra</w:t>
      </w:r>
      <w:r w:rsidR="00D43BFD">
        <w:t>j</w:t>
      </w:r>
      <w:r w:rsidRPr="004854DB">
        <w:t>njih kupaca u pružanju usluga operatorima sustava</w:t>
      </w:r>
      <w:r w:rsidR="009B0F1E">
        <w:t>.</w:t>
      </w:r>
    </w:p>
    <w:p w14:paraId="0B1F81B7" w14:textId="77777777" w:rsidR="009B0F1E" w:rsidRDefault="009B0F1E" w:rsidP="00276CE9">
      <w:pPr>
        <w:suppressAutoHyphens w:val="0"/>
        <w:spacing w:after="160" w:line="259" w:lineRule="auto"/>
        <w:contextualSpacing/>
      </w:pPr>
    </w:p>
    <w:p w14:paraId="1F9B9BD3" w14:textId="69A8B8B4" w:rsidR="00D81C09" w:rsidRDefault="00D81C09" w:rsidP="00D81C09">
      <w:r>
        <w:t>Uspostavom EKO bilančne grupe HROTE će biti obvezan snositi troškove energije uravnoteženja prema operatoru prijenosnog sustava, zbog odstupanja satnih planova proizvodnje EE od realiziranih satnih isporuka EE EKO bilančne grupe. Troškove energije uravnoteženja EKO bilančne grupe, prema odredbama Zakona o OIEiVUK, HROTE će snositi iz novčanih sredstava prikupljenih u sustavu poticanja proizvodnje električne energije iz obnovljivih izvora energije i kogeneracije, osim dijela troškova koji se podmiruju iz mjesečne naknade koju će plaćati članovi EKO bilančne grupe.</w:t>
      </w:r>
    </w:p>
    <w:p w14:paraId="2FB5BDE7" w14:textId="1D6CE890" w:rsidR="00D81C09" w:rsidRDefault="00D81C09" w:rsidP="00D81C09">
      <w:r>
        <w:t>Visina troškova energije uravnoteženja EKO bilančne grupe ovisi o odstupanju satnih planova proizvodnje EE od realiziranih satnih isporuka EE EKO bilančne grupe, a obračunava se u skladu s</w:t>
      </w:r>
      <w:r w:rsidR="0086329E">
        <w:t xml:space="preserve"> </w:t>
      </w:r>
      <w:r>
        <w:t>Metodologijom za određivanje cijena za obračun električne energije uravnoteženja subjektima odgovornim za odstupanje koju donosi Hrvatska energetska regulatorna agencija.</w:t>
      </w:r>
    </w:p>
    <w:p w14:paraId="7C87958D" w14:textId="7622A165" w:rsidR="00B702D5" w:rsidRDefault="00D81C09" w:rsidP="00276CE9">
      <w:r w:rsidRPr="00276CE9">
        <w:t>Potpuna uspostava EKO bilančne grupe, koja je bila predviđena s 1.1.2017. godine, Uredbom o izmjenama Zakona o obnovljivim izvorima energije i visokoučinkovitoj kogeneraciji (NN 123/2016) te Uredbom o izmjenama Zakona o obnovljivim izvorima energije i visokoučinkovitoj kogeneraciji (NN 131/2017) odgođena je za najkasnije do 1. siječnja 2019. od kada će HROTE planirati proizvodnju električne energije za EKO bilančnu grupu te prodavati električnu energiju iz EKO bilančne grupe na tržištu. S početkom rada EKO bilančne grupe, prestaje obveza opskrbljivača električnom energijom za preuzimanjem električne energije,</w:t>
      </w:r>
      <w:r w:rsidR="0086329E">
        <w:t xml:space="preserve"> </w:t>
      </w:r>
      <w:r w:rsidRPr="00276CE9">
        <w:t>koju HROTE otkupljuje od povlaštenih proizvođača. Prodaja električne energije provodit će se na razvidan i nepristran način u skladu s Pravilima prodaje električne energije koja donosi HROTE uz prethodno mišljenje Hrvatske energetske regulatorne agencije i prethodnu suglasnost Ministarstva zaštite okoliša i energetike.</w:t>
      </w:r>
    </w:p>
    <w:p w14:paraId="3BF653B6" w14:textId="77777777" w:rsidR="00B702D5" w:rsidRDefault="00B702D5" w:rsidP="00276CE9">
      <w:pPr>
        <w:suppressAutoHyphens w:val="0"/>
        <w:spacing w:after="160" w:line="259" w:lineRule="auto"/>
        <w:contextualSpacing/>
        <w:jc w:val="left"/>
      </w:pPr>
    </w:p>
    <w:p w14:paraId="17377D76" w14:textId="77777777" w:rsidR="00FF0CF3" w:rsidRPr="00276CE9" w:rsidRDefault="00FF0CF3" w:rsidP="005822F8">
      <w:pPr>
        <w:pStyle w:val="ListParagraph"/>
        <w:numPr>
          <w:ilvl w:val="0"/>
          <w:numId w:val="26"/>
        </w:numPr>
        <w:tabs>
          <w:tab w:val="clear" w:pos="431"/>
        </w:tabs>
        <w:suppressAutoHyphens w:val="0"/>
        <w:spacing w:after="160" w:line="259" w:lineRule="auto"/>
        <w:contextualSpacing/>
        <w:jc w:val="left"/>
        <w:rPr>
          <w:color w:val="A6A6A6" w:themeColor="background1" w:themeShade="A6"/>
        </w:rPr>
      </w:pPr>
      <w:r w:rsidRPr="00276CE9">
        <w:rPr>
          <w:color w:val="A6A6A6" w:themeColor="background1" w:themeShade="A6"/>
        </w:rPr>
        <w:t>Ako je primjenjivo, nacionalni ciljevi za zaštitu potrošača energije i poboljšanje konkurentnosti na maloprodajnom tržištu elektroenergetskog sektora</w:t>
      </w:r>
    </w:p>
    <w:p w14:paraId="10BA20EE" w14:textId="77777777" w:rsidR="00066B43" w:rsidRDefault="00066B43" w:rsidP="00066B43">
      <w:r>
        <w:t>Stopa promjene opskrbljivača krajnjih kupaca električne energije jedan je od ključnih pokazatelja razvoja maloprodajnog tržišta električne energije. Na stopu promjene opskrbljivača kod krajnjih kupaca iz kategorije poduzetništvo znatan utjecaj ima zakonodavni okvir kojim se propisuje javna nabava, pri čemu se dio krajnjih kupaca obvezuje na redovito objavljivanje natječaja za odabir najpovoljnijeg opskrbljivača električnom energijom.</w:t>
      </w:r>
    </w:p>
    <w:p w14:paraId="4F8E0E58" w14:textId="77777777" w:rsidR="00066B43" w:rsidRDefault="00066B43" w:rsidP="00066B43">
      <w:r>
        <w:t xml:space="preserve">Hrvatski ciljevi u pogledu poboljšanja konkurentnost na maloprodajnom tržištu električne energije su: </w:t>
      </w:r>
    </w:p>
    <w:p w14:paraId="17C9358A" w14:textId="77777777" w:rsidR="00066B43" w:rsidRDefault="00066B43" w:rsidP="00066B43">
      <w:pPr>
        <w:pStyle w:val="ListParagraph"/>
        <w:numPr>
          <w:ilvl w:val="0"/>
          <w:numId w:val="88"/>
        </w:numPr>
        <w:tabs>
          <w:tab w:val="clear" w:pos="431"/>
        </w:tabs>
        <w:suppressAutoHyphens w:val="0"/>
        <w:spacing w:after="160" w:line="259" w:lineRule="auto"/>
        <w:contextualSpacing/>
        <w:jc w:val="left"/>
      </w:pPr>
      <w:r>
        <w:t xml:space="preserve">aktiviranje i agregiranje krajnjih kupaca, </w:t>
      </w:r>
    </w:p>
    <w:p w14:paraId="1D17B45E" w14:textId="77777777" w:rsidR="00066B43" w:rsidRDefault="00066B43" w:rsidP="00066B43">
      <w:pPr>
        <w:pStyle w:val="ListParagraph"/>
        <w:numPr>
          <w:ilvl w:val="0"/>
          <w:numId w:val="88"/>
        </w:numPr>
        <w:tabs>
          <w:tab w:val="clear" w:pos="431"/>
        </w:tabs>
        <w:suppressAutoHyphens w:val="0"/>
        <w:spacing w:after="160" w:line="259" w:lineRule="auto"/>
        <w:contextualSpacing/>
        <w:jc w:val="left"/>
      </w:pPr>
      <w:r>
        <w:t>proširenje izbora opskrbljivača (povećanje HHI indeksa za obračunska mjerna mjesta iz kategorija kućanstvo i poduzetništvo,</w:t>
      </w:r>
    </w:p>
    <w:p w14:paraId="316F4DB2" w14:textId="77777777" w:rsidR="00066B43" w:rsidRDefault="00066B43" w:rsidP="00066B43">
      <w:pPr>
        <w:pStyle w:val="ListParagraph"/>
        <w:numPr>
          <w:ilvl w:val="0"/>
          <w:numId w:val="88"/>
        </w:numPr>
        <w:tabs>
          <w:tab w:val="clear" w:pos="431"/>
        </w:tabs>
        <w:suppressAutoHyphens w:val="0"/>
        <w:spacing w:after="160" w:line="259" w:lineRule="auto"/>
        <w:contextualSpacing/>
        <w:jc w:val="left"/>
      </w:pPr>
      <w:r>
        <w:t xml:space="preserve">jednostavan postupak promjene opskrbljivača. </w:t>
      </w:r>
    </w:p>
    <w:p w14:paraId="46D4E771" w14:textId="10791D7E" w:rsidR="00FF0CF3" w:rsidRDefault="00FF0CF3" w:rsidP="00FF0CF3"/>
    <w:p w14:paraId="70BFB024" w14:textId="5B22DE8E" w:rsidR="00FF0CF3" w:rsidRDefault="00FF0CF3" w:rsidP="00302043">
      <w:pPr>
        <w:pStyle w:val="Heading3"/>
      </w:pPr>
      <w:bookmarkStart w:id="295" w:name="_Toc531935147"/>
      <w:bookmarkStart w:id="296" w:name="_Toc531945097"/>
      <w:r>
        <w:t>Energetsko siromaštvo</w:t>
      </w:r>
      <w:bookmarkEnd w:id="295"/>
      <w:bookmarkEnd w:id="296"/>
      <w:r>
        <w:t xml:space="preserve"> </w:t>
      </w:r>
    </w:p>
    <w:p w14:paraId="04D549F8" w14:textId="77777777" w:rsidR="00FF0CF3" w:rsidRDefault="00FF0CF3" w:rsidP="005822F8">
      <w:pPr>
        <w:pStyle w:val="ListParagraph"/>
        <w:numPr>
          <w:ilvl w:val="0"/>
          <w:numId w:val="27"/>
        </w:numPr>
        <w:tabs>
          <w:tab w:val="clear" w:pos="431"/>
        </w:tabs>
        <w:suppressAutoHyphens w:val="0"/>
        <w:spacing w:after="160" w:line="259" w:lineRule="auto"/>
        <w:contextualSpacing/>
        <w:jc w:val="left"/>
      </w:pPr>
      <w:r>
        <w:t>Ako je primjenjivo, nacionalni ciljevi u pogledu energetskog siromaštva, uključujući vremenski okvir tijekom kojeg ciljevi trebaju biti ostvareni</w:t>
      </w:r>
    </w:p>
    <w:p w14:paraId="2E6C1B24" w14:textId="77777777" w:rsidR="006A427C" w:rsidRDefault="006A427C" w:rsidP="006A427C">
      <w:r>
        <w:t>Do početka provedbe Integriranog energetskog i klimatskog plana, izradit će se Program za suzbijanje energetskog siromaštva i započeti s izgradnjom kapaciteta za suzbijanje energetskog siromaštva, sukladno 4. Nacionalnom akcijskom planu za energetsku učinkovitost za razdoblje od 2017. do 2019. godine.</w:t>
      </w:r>
    </w:p>
    <w:p w14:paraId="0459FEA3" w14:textId="77777777" w:rsidR="006A427C" w:rsidRDefault="006A427C" w:rsidP="006A427C">
      <w:r>
        <w:t>U razdoblju od 2021. do 2030. godine, provodit će se mjere suzbijanja energetskog siromaštva prema Programu za suzbijanje energetskog siromaštva, sa sljedećim ciljevima:</w:t>
      </w:r>
    </w:p>
    <w:p w14:paraId="0B8A5C6E" w14:textId="6691F4E3" w:rsidR="006A427C" w:rsidRDefault="006A427C" w:rsidP="006A427C">
      <w:pPr>
        <w:pStyle w:val="ListParagraph"/>
        <w:numPr>
          <w:ilvl w:val="0"/>
          <w:numId w:val="27"/>
        </w:numPr>
      </w:pPr>
      <w:r>
        <w:t>osigurati energetsko savjetovanje za sve energetski siromašne građane RH,</w:t>
      </w:r>
    </w:p>
    <w:p w14:paraId="560897B0" w14:textId="460C194B" w:rsidR="006A427C" w:rsidRDefault="006A427C" w:rsidP="006A427C">
      <w:pPr>
        <w:pStyle w:val="ListParagraph"/>
        <w:numPr>
          <w:ilvl w:val="0"/>
          <w:numId w:val="27"/>
        </w:numPr>
      </w:pPr>
      <w:r>
        <w:t>uspostaviti sustav mjerenja i praćenja pokazatelja kojima se opisuje energetsko siromaštvo na nacionalnoj razini,</w:t>
      </w:r>
    </w:p>
    <w:p w14:paraId="0583705C" w14:textId="41745528" w:rsidR="00FF0CF3" w:rsidRDefault="006A427C" w:rsidP="006A427C">
      <w:pPr>
        <w:pStyle w:val="ListParagraph"/>
        <w:numPr>
          <w:ilvl w:val="0"/>
          <w:numId w:val="27"/>
        </w:numPr>
      </w:pPr>
      <w:r>
        <w:t>uspostaviti sustav povećanja energetske učinkovitosti na razini energetski siromašnih kućanstava i kućanstava u riziku od energetskog siromaštva.</w:t>
      </w:r>
    </w:p>
    <w:p w14:paraId="26F3C9C8" w14:textId="7A484225" w:rsidR="00615BB2" w:rsidRDefault="00615BB2" w:rsidP="00615BB2">
      <w:r>
        <w:t xml:space="preserve">Lista prioriteta za provedbu navedenih tehničkih mjera, stupanj sufinanciranja i izvori sredstava razradit će se Programom za suzbijanje energetskog siromaštva čija je izrada predviđena u Nacrtu Četvrtog nacionalnog akcijskog plana energetske učinkovitosti za razdoblje 2017. – 2019. </w:t>
      </w:r>
    </w:p>
    <w:p w14:paraId="1E7A34EB" w14:textId="52CD4057" w:rsidR="00FF0CF3" w:rsidRPr="00E534AA" w:rsidRDefault="00FF0CF3" w:rsidP="00FF0CF3">
      <w:pPr>
        <w:pStyle w:val="Heading2"/>
      </w:pPr>
      <w:bookmarkStart w:id="297" w:name="_Toc531935148"/>
      <w:bookmarkStart w:id="298" w:name="_Toc531945098"/>
      <w:r w:rsidRPr="00276CE9">
        <w:t>Dimenzija: istraživanje, inovacije i konkurentnost</w:t>
      </w:r>
      <w:bookmarkEnd w:id="297"/>
      <w:bookmarkEnd w:id="298"/>
    </w:p>
    <w:p w14:paraId="3CFFA50C" w14:textId="2EAF551C" w:rsidR="00E161F9" w:rsidRDefault="00E161F9" w:rsidP="00CF2D4C">
      <w:pPr>
        <w:pStyle w:val="Heading3"/>
      </w:pPr>
      <w:bookmarkStart w:id="299" w:name="_Toc531935149"/>
      <w:bookmarkStart w:id="300" w:name="_Toc531945099"/>
      <w:r>
        <w:t>Nacionalni ciljevi i ciljevi za financiranje javnih i</w:t>
      </w:r>
      <w:r w:rsidR="00273EBA">
        <w:t xml:space="preserve"> </w:t>
      </w:r>
      <w:r>
        <w:t>privatnih istraživanja i inovacija povezanih s Energetskom unijom</w:t>
      </w:r>
      <w:bookmarkEnd w:id="299"/>
      <w:bookmarkEnd w:id="300"/>
    </w:p>
    <w:p w14:paraId="1915482D" w14:textId="0A4454C1" w:rsidR="00395DC0" w:rsidRDefault="009D1109" w:rsidP="00395DC0">
      <w:r w:rsidRPr="009D1109">
        <w:t xml:space="preserve">Kako bi se realizirali ciljevi </w:t>
      </w:r>
      <w:r w:rsidR="00F14267" w:rsidRPr="009D1109">
        <w:t xml:space="preserve">postavljeni </w:t>
      </w:r>
      <w:r w:rsidRPr="009D1109">
        <w:t xml:space="preserve">u Energetskoj i Niskougljičnoj strategiji potrebna je podrška u smislu inovacija i patenata u području tehnologija čiste energije i niskougljičnih tehnologija kako bi se smanjili troškovi proizvodnje, povećala dodana vrijednost te kako bi proizvodnja bila što konkurentnija u smislu dostignute razine tehnologija. Stoga je temeljni nacionalni cilj prilagoditi postojeću infrastrukturu i zakonodavni okvir dodatnim potrebama za istraživanjem i razvojem u području energetike i klime, u skladu s definiranim ciljevima u </w:t>
      </w:r>
      <w:r w:rsidR="00461782">
        <w:t xml:space="preserve">nacrtu </w:t>
      </w:r>
      <w:r w:rsidRPr="009D1109">
        <w:t>Niskougljičn</w:t>
      </w:r>
      <w:r w:rsidR="00461782">
        <w:t>e</w:t>
      </w:r>
      <w:r w:rsidRPr="009D1109">
        <w:t xml:space="preserve"> strategij</w:t>
      </w:r>
      <w:r w:rsidR="00461782">
        <w:t>e</w:t>
      </w:r>
      <w:r w:rsidRPr="009D1109">
        <w:t xml:space="preserve"> i </w:t>
      </w:r>
      <w:r w:rsidR="00461782">
        <w:t>u Zelenoj knjizi</w:t>
      </w:r>
      <w:r w:rsidR="00E03AA5">
        <w:t>.</w:t>
      </w:r>
      <w:r w:rsidR="00395DC0">
        <w:t xml:space="preserve"> Istraživanje i razvoj je potrebno usmjeriti na sljedeća područja: </w:t>
      </w:r>
    </w:p>
    <w:p w14:paraId="607EB1F3" w14:textId="7925B8CF" w:rsidR="00395DC0" w:rsidRDefault="00395DC0" w:rsidP="00CF2D4C">
      <w:pPr>
        <w:pStyle w:val="ListParagraph"/>
        <w:numPr>
          <w:ilvl w:val="0"/>
          <w:numId w:val="115"/>
        </w:numPr>
      </w:pPr>
      <w:r>
        <w:t xml:space="preserve">razvoj modela, metoda za integralno upravljanje ugljikom, za unapređenje proračuna emisija/odliva, za projekcije emisija/odliva, za primjenu proračuna po metodi ukupnog životnog ciklusa, </w:t>
      </w:r>
    </w:p>
    <w:p w14:paraId="777D9BAE" w14:textId="43169E4A" w:rsidR="00395DC0" w:rsidRDefault="00395DC0" w:rsidP="00CF2D4C">
      <w:pPr>
        <w:pStyle w:val="ListParagraph"/>
        <w:numPr>
          <w:ilvl w:val="0"/>
          <w:numId w:val="115"/>
        </w:numPr>
      </w:pPr>
      <w:r>
        <w:t>istraživanje tehnologija, tehničkih i ne-tehničkih mjera za smanjenje emisija i povećanje odliva u svim sektorima (energetika, promet, poljoprivreda, šumarstvo, gospodarenje otpadom, i industrijski procesi)</w:t>
      </w:r>
    </w:p>
    <w:p w14:paraId="28CA4B56" w14:textId="04522922" w:rsidR="00395DC0" w:rsidRDefault="00395DC0" w:rsidP="00CF2D4C">
      <w:pPr>
        <w:pStyle w:val="ListParagraph"/>
        <w:numPr>
          <w:ilvl w:val="0"/>
          <w:numId w:val="115"/>
        </w:numPr>
      </w:pPr>
      <w:r>
        <w:t>istraživanja mogućnosti korištenja, načina skladištenja, transporta i geološkog skladištenja CO2,</w:t>
      </w:r>
    </w:p>
    <w:p w14:paraId="73B8F616" w14:textId="55C3566C" w:rsidR="00395DC0" w:rsidRDefault="00395DC0" w:rsidP="00CF2D4C">
      <w:pPr>
        <w:pStyle w:val="ListParagraph"/>
        <w:numPr>
          <w:ilvl w:val="0"/>
          <w:numId w:val="115"/>
        </w:numPr>
      </w:pPr>
      <w:r>
        <w:t>istraživanje poveznica između ublažavanja klimatskih promjena i prilagodbe klimatskim promjenama, te interakcije s ostalim sastavnicama okoliša,</w:t>
      </w:r>
    </w:p>
    <w:p w14:paraId="19C58DA6" w14:textId="1E371B14" w:rsidR="00395DC0" w:rsidRDefault="00395DC0" w:rsidP="00CF2D4C">
      <w:pPr>
        <w:pStyle w:val="ListParagraph"/>
        <w:numPr>
          <w:ilvl w:val="0"/>
          <w:numId w:val="115"/>
        </w:numPr>
      </w:pPr>
      <w:r>
        <w:t>razvoj integralnih modela procjene učinaka politika i mjera za ublažavanje klimatskih promjena na gospodarstvo, okoliš i društvo,</w:t>
      </w:r>
    </w:p>
    <w:p w14:paraId="4AD7E342" w14:textId="38083467" w:rsidR="00395DC0" w:rsidRDefault="00395DC0" w:rsidP="00CF2D4C">
      <w:pPr>
        <w:pStyle w:val="ListParagraph"/>
        <w:numPr>
          <w:ilvl w:val="0"/>
          <w:numId w:val="115"/>
        </w:numPr>
      </w:pPr>
      <w:r>
        <w:t>istraživanja socioloških aspekata klimatskih promjena, razvoj modela i metoda promidžbe i podizanja javne svijesti o klimatskim promjenama,</w:t>
      </w:r>
    </w:p>
    <w:p w14:paraId="57363F87" w14:textId="00080EA7" w:rsidR="00395DC0" w:rsidRDefault="00395DC0" w:rsidP="00CF2D4C">
      <w:pPr>
        <w:pStyle w:val="ListParagraph"/>
        <w:numPr>
          <w:ilvl w:val="0"/>
          <w:numId w:val="115"/>
        </w:numPr>
      </w:pPr>
      <w:r>
        <w:t>istraživanja u cilju unapređenja sustava obrazovanja, pametnih specijalizacija i životnog obrazovanja kao dijela odgovora na izazov ublažavanja klimatskih promjena,</w:t>
      </w:r>
    </w:p>
    <w:p w14:paraId="5730151A" w14:textId="7BFAADE3" w:rsidR="00395DC0" w:rsidRDefault="00395DC0" w:rsidP="00CF2D4C">
      <w:pPr>
        <w:pStyle w:val="ListParagraph"/>
        <w:numPr>
          <w:ilvl w:val="0"/>
          <w:numId w:val="115"/>
        </w:numPr>
      </w:pPr>
      <w:r>
        <w:t>istraživanja modela financiranja, posebice mogućnosti modela javno privatnog partnerstva,</w:t>
      </w:r>
    </w:p>
    <w:p w14:paraId="009365AB" w14:textId="781CCD8B" w:rsidR="00395DC0" w:rsidRDefault="00395DC0" w:rsidP="00395DC0">
      <w:r>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14:paraId="2939DC13" w14:textId="6FB2C1E0" w:rsidR="00C00807" w:rsidRDefault="00C00807" w:rsidP="00395DC0">
      <w:r w:rsidRPr="00C00807">
        <w:t xml:space="preserve">Kao i u proteklom razdoblju, i dalje će glavni izvor financiranja biti ESI fondovi i sredstva prikupljena na dražbi emisijskih jedinica CO2 kojima raspolaže Fond za zaštitu okoliša i energetsku učinkovitost (FZOEU). Uz to, </w:t>
      </w:r>
      <w:r w:rsidR="00B516DF">
        <w:t>dostupan</w:t>
      </w:r>
      <w:r w:rsidRPr="00C00807">
        <w:t xml:space="preserve"> izvor bit će i sredstva iz ETS-a namijenjena za modernizaciju</w:t>
      </w:r>
      <w:r w:rsidR="00A4045C">
        <w:t>.</w:t>
      </w:r>
    </w:p>
    <w:p w14:paraId="38F59CFB" w14:textId="0B745A78" w:rsidR="00A4045C" w:rsidRDefault="008E5A31" w:rsidP="00395DC0">
      <w:r>
        <w:t>Korištenje kohezijskih europskih fondova programirat će se t</w:t>
      </w:r>
      <w:r w:rsidR="00A4045C" w:rsidRPr="00A4045C">
        <w:t>emeljem strateških ciljeva i ključnih područja intervencija koja će biti definirana u Nacionalnoj razvojnoj strategiji za razdoblje do 2030.godine, a koja će biti izrađena do kraja 2019. godine</w:t>
      </w:r>
      <w:r w:rsidR="00CC339C">
        <w:t xml:space="preserve">. Također, </w:t>
      </w:r>
      <w:r w:rsidR="00CC339C" w:rsidRPr="00CC339C">
        <w:t>Revizijom Direktive o ETS-u</w:t>
      </w:r>
      <w:r w:rsidR="00461782">
        <w:t xml:space="preserve"> </w:t>
      </w:r>
      <w:r w:rsidR="00CC339C" w:rsidRPr="00CC339C">
        <w:t>uspostavljeno financijskih mehanizam za potporu inovacijama za razdoblje 2021.-2030., u deset država članica EU čiji je BDP po stanovniku prema tržišnim cijenama bio niži od 60% prosjeka EU, u koje spada i RH</w:t>
      </w:r>
      <w:r w:rsidR="00DA3F33">
        <w:t>.</w:t>
      </w:r>
    </w:p>
    <w:p w14:paraId="0418EF49" w14:textId="05FECE56" w:rsidR="00447B5B" w:rsidRDefault="00610B84" w:rsidP="00CF2D4C">
      <w:pPr>
        <w:pStyle w:val="Heading3"/>
      </w:pPr>
      <w:bookmarkStart w:id="301" w:name="_Toc531935150"/>
      <w:bookmarkStart w:id="302" w:name="_Toc531945100"/>
      <w:r w:rsidRPr="00610B84">
        <w:t>Nacionalni ciljevi do 2050. koji se odnose na promociju tehnologija čiste energije i na razvoj niskougljičnih tehnologija, uključujući ciljeve za dekarbonizaciju energetski i ugljično intenzivnih industrijskih sektora i industrijskih sektora s velikim udjelom ugljika i, gdje je primjenjivo, za infrastrukturu za skladištenje i transport ugljika</w:t>
      </w:r>
      <w:bookmarkEnd w:id="301"/>
      <w:bookmarkEnd w:id="302"/>
    </w:p>
    <w:p w14:paraId="4F98CC36" w14:textId="77777777" w:rsidR="00AB0A01" w:rsidRDefault="00AB0A01" w:rsidP="00AB0A01">
      <w:r>
        <w:t xml:space="preserve">U studenom 2018. predstavljene su Analize i podloge za izradu energetske strategije Repub-like Hrvatske do 2030. s pogledom na 2050. godinu. Kao glavne odrednice promjena u ener-getskom sektoru prepoznati su slijedeći trendovi: </w:t>
      </w:r>
    </w:p>
    <w:p w14:paraId="33DF1D7E" w14:textId="77777777" w:rsidR="00AB0A01" w:rsidRPr="00CF2D4C" w:rsidRDefault="00AB0A01" w:rsidP="00AB0A01">
      <w:pPr>
        <w:pStyle w:val="ListParagraph"/>
        <w:numPr>
          <w:ilvl w:val="0"/>
          <w:numId w:val="89"/>
        </w:numPr>
      </w:pPr>
      <w:r w:rsidRPr="00CF2D4C">
        <w:t xml:space="preserve">povećanje energetske učinkovitosti u svim dijelovima energetskog lanca (proizvodnja, transport/prijenos, distribucija i potrošnja svih oblika energije); </w:t>
      </w:r>
    </w:p>
    <w:p w14:paraId="117B3781" w14:textId="77777777" w:rsidR="00AB0A01" w:rsidRPr="00CF2D4C" w:rsidRDefault="00AB0A01" w:rsidP="00AB0A01">
      <w:pPr>
        <w:pStyle w:val="ListParagraph"/>
        <w:numPr>
          <w:ilvl w:val="0"/>
          <w:numId w:val="89"/>
        </w:numPr>
      </w:pPr>
      <w:r w:rsidRPr="00CF2D4C">
        <w:t xml:space="preserve">prelazak što većeg broja aktivnosti na korištenje električne energije (gdje je to tehno-loški moguće i dugoročno troškovno održivo); </w:t>
      </w:r>
    </w:p>
    <w:p w14:paraId="3F0D0357" w14:textId="77777777" w:rsidR="00AB0A01" w:rsidRPr="00CF2D4C" w:rsidRDefault="00AB0A01" w:rsidP="00AB0A01">
      <w:pPr>
        <w:pStyle w:val="ListParagraph"/>
        <w:numPr>
          <w:ilvl w:val="0"/>
          <w:numId w:val="89"/>
        </w:numPr>
      </w:pPr>
      <w:r w:rsidRPr="00CF2D4C">
        <w:t xml:space="preserve">proizvodnja električne energije sa smanjenom emisijom stakleničkih plinova (obnov-ljivi izvori energije, nuklearna opcija, fosilna goriva s nižom specifičnom emisijom te fosilne tehnologije s izdvajanjem i spremanjem CO2). </w:t>
      </w:r>
    </w:p>
    <w:p w14:paraId="7145F246" w14:textId="77777777" w:rsidR="00AB0A01" w:rsidRPr="00EF0D69" w:rsidRDefault="00AB0A01" w:rsidP="00AB0A01">
      <w:r w:rsidRPr="00EF0D69">
        <w:t>Povećanje energetske učinkovitosti snažno je prisutno</w:t>
      </w:r>
      <w:r>
        <w:t xml:space="preserve">, a očekuje se da će najveći utjecaj imati </w:t>
      </w:r>
      <w:r w:rsidRPr="00EF0D69">
        <w:t xml:space="preserve">u zgradarstvu i prometu. </w:t>
      </w:r>
    </w:p>
    <w:p w14:paraId="236C672F" w14:textId="77777777" w:rsidR="00AB0A01" w:rsidRPr="00EF0D69" w:rsidRDefault="00AB0A01" w:rsidP="00AB0A01">
      <w:r w:rsidRPr="00EF0D69">
        <w:t>U zgradarstvu se predviđa nastavak dobre prakse energetske stambenih i nestambenih</w:t>
      </w:r>
      <w:r w:rsidRPr="00CF2D4C">
        <w:t xml:space="preserve"> zgrada,</w:t>
      </w:r>
      <w:r w:rsidRPr="00EF0D69">
        <w:t xml:space="preserve"> s usmjeravanjem obnove prema nZEB standardu, koji podrazumijeva i snažnije iskorištavanje obnovljivih izvora energije (fotonaponski sustavi, toplinski sunčani kolektori, kotlovi na biomasu, dizalice topline). Za ostvarenje ciljeva u zgradarstvu predviđa se snažno korištenje financijskih mehanizama, koji podrazumijevaju kako bespovratna sredstva tako i financijske instrumente koji će omogućiti mobilizaciju privatnog kapitala (ESCO model, komercijalne banke). U tu svrhu nužno je pravovremeno programiranje ovih sredstava za sljedeće financijsko razdoblje korištenja EU strukturnih i investicijskih fondova u razdoblju 2021. – 2027. godine kao i programiranje korištenja raspoloživih sredstava Fonda za zaštitu okoliša i energetsku učinkovitost, kako bi se optimizirala raspodjela raspoloživih sredstava iz ova dva izvora. Korištenje financijskih, ali i fiskalnih mehanizama predviđa se i za ostvarenje ciljeva u prometu i u industriji, gdje je nužno utvrditi mogućnosti korištenja poreznog (fiskalnog) sustava za poticanje sustavnog gospodarenja energijom.</w:t>
      </w:r>
    </w:p>
    <w:p w14:paraId="695BA5E5" w14:textId="6B247408" w:rsidR="00447B5B" w:rsidRPr="008D289C" w:rsidRDefault="00447B5B" w:rsidP="00447B5B">
      <w:r w:rsidRPr="008D289C">
        <w:t>Hrvatska industrija ima najveće prilike u:</w:t>
      </w:r>
    </w:p>
    <w:p w14:paraId="7BF826D1" w14:textId="70843863" w:rsidR="00447B5B" w:rsidRPr="00CF2D4C" w:rsidRDefault="00447B5B" w:rsidP="00CF2D4C">
      <w:pPr>
        <w:pStyle w:val="ListParagraph"/>
        <w:numPr>
          <w:ilvl w:val="0"/>
          <w:numId w:val="118"/>
        </w:numPr>
      </w:pPr>
      <w:r w:rsidRPr="00CF2D4C">
        <w:t xml:space="preserve">poslovima energetske obnove zgrada, </w:t>
      </w:r>
    </w:p>
    <w:p w14:paraId="79F61DF4" w14:textId="1B7413F2" w:rsidR="00447B5B" w:rsidRPr="00CF2D4C" w:rsidRDefault="00447B5B" w:rsidP="00CF2D4C">
      <w:pPr>
        <w:pStyle w:val="ListParagraph"/>
        <w:numPr>
          <w:ilvl w:val="0"/>
          <w:numId w:val="118"/>
        </w:numPr>
      </w:pPr>
      <w:r w:rsidRPr="00CF2D4C">
        <w:t xml:space="preserve">proizvodnji opreme za korištenje obnovljivih izvora energije, </w:t>
      </w:r>
    </w:p>
    <w:p w14:paraId="1123569C" w14:textId="77777777" w:rsidR="004361BE" w:rsidRPr="006118CE" w:rsidRDefault="004361BE" w:rsidP="004361BE">
      <w:pPr>
        <w:pStyle w:val="ListParagraph"/>
        <w:numPr>
          <w:ilvl w:val="0"/>
          <w:numId w:val="118"/>
        </w:numPr>
      </w:pPr>
      <w:r w:rsidRPr="006118CE">
        <w:t xml:space="preserve">proizvodnji biomase </w:t>
      </w:r>
      <w:r>
        <w:t>i bioplina</w:t>
      </w:r>
      <w:r w:rsidRPr="006118CE">
        <w:t xml:space="preserve">, </w:t>
      </w:r>
    </w:p>
    <w:p w14:paraId="6D76E4C5" w14:textId="020D074C" w:rsidR="00447B5B" w:rsidRPr="00CF2D4C" w:rsidRDefault="00447B5B" w:rsidP="00CF2D4C">
      <w:pPr>
        <w:pStyle w:val="ListParagraph"/>
        <w:numPr>
          <w:ilvl w:val="0"/>
          <w:numId w:val="118"/>
        </w:numPr>
      </w:pPr>
      <w:r w:rsidRPr="00CF2D4C">
        <w:t xml:space="preserve">izgradnji postrojenja </w:t>
      </w:r>
      <w:r w:rsidR="004361BE">
        <w:t>koja koriste obnovljive izvore energije</w:t>
      </w:r>
      <w:r w:rsidRPr="00CF2D4C">
        <w:t xml:space="preserve">, </w:t>
      </w:r>
    </w:p>
    <w:p w14:paraId="1A7B552F" w14:textId="6BC2CDC2" w:rsidR="00447B5B" w:rsidRPr="00CF2D4C" w:rsidRDefault="00355C11" w:rsidP="00CF2D4C">
      <w:pPr>
        <w:pStyle w:val="ListParagraph"/>
        <w:numPr>
          <w:ilvl w:val="0"/>
          <w:numId w:val="118"/>
        </w:numPr>
      </w:pPr>
      <w:r>
        <w:t xml:space="preserve">proizvodnji komponenata za </w:t>
      </w:r>
      <w:r w:rsidR="00447B5B" w:rsidRPr="00CF2D4C">
        <w:t>napredn</w:t>
      </w:r>
      <w:r>
        <w:t>e</w:t>
      </w:r>
      <w:r w:rsidR="00447B5B" w:rsidRPr="00CF2D4C">
        <w:t xml:space="preserve"> energetsk</w:t>
      </w:r>
      <w:r>
        <w:t>e</w:t>
      </w:r>
      <w:r w:rsidR="00447B5B" w:rsidRPr="00CF2D4C">
        <w:t xml:space="preserve"> sustav</w:t>
      </w:r>
      <w:r>
        <w:t>e</w:t>
      </w:r>
      <w:r w:rsidR="00447B5B" w:rsidRPr="00CF2D4C">
        <w:t xml:space="preserve"> i </w:t>
      </w:r>
      <w:r w:rsidR="00705BAC">
        <w:t>pohranu energije</w:t>
      </w:r>
      <w:r w:rsidR="00447B5B" w:rsidRPr="00CF2D4C">
        <w:t xml:space="preserve">, </w:t>
      </w:r>
    </w:p>
    <w:p w14:paraId="70C365DC" w14:textId="77777777" w:rsidR="004361BE" w:rsidRPr="009C1B42" w:rsidRDefault="004361BE" w:rsidP="004361BE">
      <w:pPr>
        <w:pStyle w:val="ListParagraph"/>
        <w:numPr>
          <w:ilvl w:val="0"/>
          <w:numId w:val="118"/>
        </w:numPr>
      </w:pPr>
      <w:r w:rsidRPr="009C1B42">
        <w:t xml:space="preserve">razvoju proizvodnih kapaciteta za električna vozila, </w:t>
      </w:r>
    </w:p>
    <w:p w14:paraId="087FA3F9" w14:textId="2B5C8F0D" w:rsidR="00447B5B" w:rsidRPr="00CF2D4C" w:rsidRDefault="00447B5B" w:rsidP="00CF2D4C">
      <w:pPr>
        <w:pStyle w:val="ListParagraph"/>
        <w:numPr>
          <w:ilvl w:val="0"/>
          <w:numId w:val="118"/>
        </w:numPr>
      </w:pPr>
      <w:r w:rsidRPr="00CF2D4C">
        <w:t xml:space="preserve">razvoju infrastrukture održivog transporta, </w:t>
      </w:r>
    </w:p>
    <w:p w14:paraId="23C24E44" w14:textId="33D04B92" w:rsidR="00447B5B" w:rsidRPr="00CF2D4C" w:rsidRDefault="00447B5B" w:rsidP="00CF2D4C">
      <w:pPr>
        <w:pStyle w:val="ListParagraph"/>
        <w:numPr>
          <w:ilvl w:val="0"/>
          <w:numId w:val="118"/>
        </w:numPr>
      </w:pPr>
      <w:r w:rsidRPr="00CF2D4C">
        <w:t>proizvodnji</w:t>
      </w:r>
      <w:r w:rsidR="00FE3008">
        <w:t xml:space="preserve"> plovila i</w:t>
      </w:r>
      <w:r w:rsidRPr="00CF2D4C">
        <w:t xml:space="preserve"> necestovnih vozila </w:t>
      </w:r>
    </w:p>
    <w:p w14:paraId="3A2BBF43" w14:textId="0A1B355C" w:rsidR="00447B5B" w:rsidRDefault="00447B5B" w:rsidP="0040733A">
      <w:pPr>
        <w:pStyle w:val="ListParagraph"/>
        <w:numPr>
          <w:ilvl w:val="0"/>
          <w:numId w:val="118"/>
        </w:numPr>
      </w:pPr>
      <w:r w:rsidRPr="008D289C">
        <w:t>razvoju infrastrukture za transport i skladištenje CO2</w:t>
      </w:r>
      <w:r w:rsidR="004C2DB0">
        <w:t xml:space="preserve"> te</w:t>
      </w:r>
    </w:p>
    <w:p w14:paraId="00F4F9D6" w14:textId="0491F8DC" w:rsidR="004361BE" w:rsidRPr="00CF2D4C" w:rsidRDefault="004C2DB0" w:rsidP="00CF2D4C">
      <w:pPr>
        <w:pStyle w:val="ListParagraph"/>
        <w:numPr>
          <w:ilvl w:val="0"/>
          <w:numId w:val="118"/>
        </w:numPr>
      </w:pPr>
      <w:r>
        <w:t>digitalnoj transformaciji navedenih industrija i procesa.</w:t>
      </w:r>
    </w:p>
    <w:p w14:paraId="1887BA0A" w14:textId="16527BD6" w:rsidR="00080E99" w:rsidRDefault="00811BA3" w:rsidP="00CF2D4C">
      <w:pPr>
        <w:pStyle w:val="Heading3"/>
      </w:pPr>
      <w:bookmarkStart w:id="303" w:name="_Toc531935151"/>
      <w:bookmarkStart w:id="304" w:name="_Toc531945101"/>
      <w:r w:rsidRPr="00811BA3">
        <w:t>Nacionalni ciljevi u pogledu konkurentnosti</w:t>
      </w:r>
      <w:bookmarkEnd w:id="303"/>
      <w:bookmarkEnd w:id="304"/>
    </w:p>
    <w:p w14:paraId="510EB027" w14:textId="04022427" w:rsidR="00080E99" w:rsidRPr="00CF2D4C" w:rsidRDefault="00080E99" w:rsidP="00CF2D4C">
      <w:r w:rsidRPr="00CF2D4C">
        <w:t xml:space="preserve">Ciljevi u pogledu konkurentnosti u području energetike i klime se odnose na povećanje inovacija u području tehnologija čiste energije i niskougljičnih tehnologija koje bi dovele do gospodarskog rasta, rasta izvoza i zapošljavanja i u konačnici povećanja produktivnosti. </w:t>
      </w:r>
    </w:p>
    <w:p w14:paraId="4A12D94C" w14:textId="77777777" w:rsidR="00080E99" w:rsidRDefault="00080E99" w:rsidP="00447B5B"/>
    <w:p w14:paraId="5992C6FD" w14:textId="77777777" w:rsidR="00C21988" w:rsidRDefault="00C21988" w:rsidP="00C21988">
      <w:pPr>
        <w:pStyle w:val="Heading1"/>
      </w:pPr>
      <w:bookmarkStart w:id="305" w:name="_Toc531935152"/>
      <w:bookmarkStart w:id="306" w:name="_Toc531945102"/>
      <w:r>
        <w:t>POLITIKE I MJERE</w:t>
      </w:r>
      <w:bookmarkEnd w:id="305"/>
      <w:bookmarkEnd w:id="306"/>
    </w:p>
    <w:p w14:paraId="6EE8B9C4" w14:textId="77777777" w:rsidR="00C21988" w:rsidRDefault="00C21988" w:rsidP="00C21988">
      <w:pPr>
        <w:pStyle w:val="Heading2"/>
      </w:pPr>
      <w:bookmarkStart w:id="307" w:name="_Toc531935153"/>
      <w:bookmarkStart w:id="308" w:name="_Toc531945103"/>
      <w:r>
        <w:t>Dimenzija: dekarbonizacija</w:t>
      </w:r>
      <w:bookmarkEnd w:id="307"/>
      <w:bookmarkEnd w:id="308"/>
    </w:p>
    <w:p w14:paraId="712B7695" w14:textId="260D85D1" w:rsidR="00C21988" w:rsidRDefault="00C21988" w:rsidP="00302043">
      <w:pPr>
        <w:pStyle w:val="Heading3"/>
      </w:pPr>
      <w:bookmarkStart w:id="309" w:name="_Toc531935154"/>
      <w:bookmarkStart w:id="310" w:name="_Toc531945104"/>
      <w:r>
        <w:t>Emisije i uklanjanja stakleničkih plinova</w:t>
      </w:r>
      <w:bookmarkEnd w:id="309"/>
      <w:bookmarkEnd w:id="310"/>
      <w:r>
        <w:t xml:space="preserve"> </w:t>
      </w:r>
    </w:p>
    <w:p w14:paraId="2B711F00" w14:textId="48598BE4" w:rsidR="00C21988" w:rsidRDefault="00C21988" w:rsidP="005822F8">
      <w:pPr>
        <w:pStyle w:val="ListParagraph"/>
        <w:numPr>
          <w:ilvl w:val="0"/>
          <w:numId w:val="32"/>
        </w:numPr>
        <w:tabs>
          <w:tab w:val="clear" w:pos="431"/>
        </w:tabs>
        <w:suppressAutoHyphens w:val="0"/>
        <w:spacing w:after="160" w:line="259" w:lineRule="auto"/>
        <w:contextualSpacing/>
        <w:jc w:val="left"/>
      </w:pPr>
      <w:r>
        <w:t>Politike i mjere za ostvarivanje cilja utvrđenog na temelju Uredbe</w:t>
      </w:r>
      <w:r w:rsidR="00E35991">
        <w:t xml:space="preserve"> </w:t>
      </w:r>
      <w:r>
        <w:t>[ESR] kako je navedeno u odjeljku 2.1.1. i politike i mjere u skladu s Uredbom [LULUCF], kojima su obuhvaćeni svi ključni sektori koji proizvode velike emisije i sektori za jačanje uklanjanja emisija, uz izglede da se u pogledu dugoročne vizije i dugoročnog cilja s 50 godišnjom perspektivom ostvari gospodarstvo s niskim emisijama i da se ostvari ravnoteža između emisija i uklanjanja u skladu s Pariškim sporazumom.</w:t>
      </w:r>
    </w:p>
    <w:p w14:paraId="147890E6" w14:textId="7EBFC24E" w:rsidR="00577FD9" w:rsidRDefault="00577FD9" w:rsidP="00276CE9">
      <w:pPr>
        <w:suppressAutoHyphens w:val="0"/>
        <w:spacing w:after="160" w:line="259" w:lineRule="auto"/>
      </w:pPr>
      <w:r>
        <w:t xml:space="preserve">Ovdje su navedene mjere za sljedeće sektore </w:t>
      </w:r>
      <w:r w:rsidR="00504391">
        <w:t>značajne za emisije stakleničkih plinova</w:t>
      </w:r>
      <w:r>
        <w:t xml:space="preserve">: </w:t>
      </w:r>
      <w:r w:rsidR="00A32225">
        <w:t xml:space="preserve">međusektorske mjere (MS), </w:t>
      </w:r>
      <w:r>
        <w:t>industrijski procesi (IP), gospodarenje otpadom (OTP), poljoprivreda (POLJ) i LULUCF</w:t>
      </w:r>
      <w:r w:rsidR="003A1EAF">
        <w:t xml:space="preserve"> (LUF)</w:t>
      </w:r>
      <w:r>
        <w:t>.</w:t>
      </w:r>
    </w:p>
    <w:p w14:paraId="2755C434" w14:textId="45770B44" w:rsidR="00A32225" w:rsidRDefault="00A32225" w:rsidP="00A32225">
      <w:pPr>
        <w:suppressAutoHyphens w:val="0"/>
        <w:spacing w:after="160" w:line="259" w:lineRule="auto"/>
        <w:jc w:val="left"/>
      </w:pPr>
      <w:r>
        <w:t xml:space="preserve">U nastavku su prikazane </w:t>
      </w:r>
      <w:r w:rsidRPr="00276CE9">
        <w:rPr>
          <w:b/>
        </w:rPr>
        <w:t>međusekto</w:t>
      </w:r>
      <w:r w:rsidR="00E6316B" w:rsidRPr="00276CE9">
        <w:rPr>
          <w:b/>
        </w:rPr>
        <w:t>r</w:t>
      </w:r>
      <w:r w:rsidRPr="00276CE9">
        <w:rPr>
          <w:b/>
        </w:rPr>
        <w:t>ske mjere</w:t>
      </w:r>
      <w:r>
        <w:t>.</w:t>
      </w:r>
    </w:p>
    <w:p w14:paraId="4CAEDC27" w14:textId="66FAEAA0" w:rsidR="009E1BA4" w:rsidRPr="00276CE9" w:rsidRDefault="007C1DE9" w:rsidP="00276CE9">
      <w:pPr>
        <w:suppressAutoHyphens w:val="0"/>
        <w:spacing w:after="160" w:line="259" w:lineRule="auto"/>
        <w:rPr>
          <w:u w:val="single"/>
        </w:rPr>
      </w:pPr>
      <w:r w:rsidRPr="00276CE9">
        <w:rPr>
          <w:u w:val="single"/>
        </w:rPr>
        <w:t>MS</w:t>
      </w:r>
      <w:r w:rsidR="009E1BA4" w:rsidRPr="00276CE9">
        <w:rPr>
          <w:u w:val="single"/>
        </w:rPr>
        <w:t>-1: Povjerenstvo za međusektorsku koordinaciju za politiku i mjera za ublaživanje i prilagodbu klimatskim promjenama</w:t>
      </w:r>
    </w:p>
    <w:p w14:paraId="51226B53" w14:textId="0CCC6416" w:rsidR="009E1BA4" w:rsidRDefault="009E1BA4" w:rsidP="00276CE9">
      <w:pPr>
        <w:suppressAutoHyphens w:val="0"/>
        <w:spacing w:after="160" w:line="259" w:lineRule="auto"/>
        <w:ind w:left="147"/>
      </w:pPr>
      <w:r>
        <w:t>Sukladno Zakonu o zaštiti zraka (NN 130/11, 47/14, 61/17), Odlukom Vlade RH 2014. godine</w:t>
      </w:r>
      <w:r w:rsidR="00AE5306">
        <w:t xml:space="preserve"> </w:t>
      </w:r>
      <w:r>
        <w:t>osnovano je Povjerenstvo za međusektorsku koordinaciju za politiku i mjere za ublažavanje i</w:t>
      </w:r>
      <w:r w:rsidR="00AE5306">
        <w:t xml:space="preserve"> </w:t>
      </w:r>
      <w:r>
        <w:t>prilagodbu klimatskim promjenama (</w:t>
      </w:r>
      <w:r w:rsidRPr="002158A5">
        <w:t>NN 114/14</w:t>
      </w:r>
      <w:r>
        <w:t>). Povjerenstvo je bilo nadležno za praćenje i ocjenu</w:t>
      </w:r>
      <w:r w:rsidR="00AE5306">
        <w:t xml:space="preserve"> </w:t>
      </w:r>
      <w:r>
        <w:t>provedbe i planiranja politike i mjera za ublažavanje i prilagodbu klimatskim promjenama u Republici</w:t>
      </w:r>
      <w:r w:rsidR="00AE5306">
        <w:t xml:space="preserve"> </w:t>
      </w:r>
      <w:r>
        <w:t>Hrvatskoj. U Povjerenstvo su imenovani predstavnici nadležnih tijela državne uprave i ostalih</w:t>
      </w:r>
      <w:r w:rsidR="00AE5306">
        <w:t xml:space="preserve"> </w:t>
      </w:r>
      <w:r>
        <w:t>relevantnih institucija, agencija i nevladinih udruga. Sastav Povjerenstva, poslove i način rada</w:t>
      </w:r>
      <w:r w:rsidR="00AE5306">
        <w:t xml:space="preserve"> </w:t>
      </w:r>
      <w:r>
        <w:t>povjerenstva određuje Vlada Republike Hrvatske na prijedlog ministarstva nadležnog za zaštitu</w:t>
      </w:r>
      <w:r w:rsidR="00AE5306">
        <w:t xml:space="preserve"> </w:t>
      </w:r>
      <w:r>
        <w:t>okoliša. Povjerenstvo se sastoji od Koordinacijske skupine i Tehničke radne skupine.</w:t>
      </w:r>
    </w:p>
    <w:p w14:paraId="26ECC20F" w14:textId="402C5DB8" w:rsidR="009E1BA4" w:rsidRPr="00276CE9" w:rsidRDefault="00B36621" w:rsidP="00276CE9">
      <w:pPr>
        <w:suppressAutoHyphens w:val="0"/>
        <w:spacing w:after="160" w:line="259" w:lineRule="auto"/>
        <w:rPr>
          <w:u w:val="single"/>
        </w:rPr>
      </w:pPr>
      <w:r w:rsidRPr="00276CE9">
        <w:rPr>
          <w:u w:val="single"/>
        </w:rPr>
        <w:t>MS</w:t>
      </w:r>
      <w:r w:rsidR="009E1BA4" w:rsidRPr="00276CE9">
        <w:rPr>
          <w:u w:val="single"/>
        </w:rPr>
        <w:t>-</w:t>
      </w:r>
      <w:r w:rsidRPr="00276CE9">
        <w:rPr>
          <w:u w:val="single"/>
        </w:rPr>
        <w:t>2</w:t>
      </w:r>
      <w:r w:rsidR="009E1BA4" w:rsidRPr="00276CE9">
        <w:rPr>
          <w:u w:val="single"/>
        </w:rPr>
        <w:t>: Promicanje korištenja inovativnih informacijskih i komunikacijskih tehnologija (ICT) radi smanjenja emisija stakleničkih plinova</w:t>
      </w:r>
    </w:p>
    <w:p w14:paraId="63DD7DA2" w14:textId="77777777" w:rsidR="009E1BA4" w:rsidRDefault="009E1BA4" w:rsidP="00276CE9">
      <w:pPr>
        <w:suppressAutoHyphens w:val="0"/>
        <w:spacing w:after="160" w:line="259" w:lineRule="auto"/>
        <w:ind w:left="147"/>
      </w:pPr>
      <w: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p w14:paraId="432994EE" w14:textId="7E091B81" w:rsidR="009E1BA4" w:rsidRPr="00276CE9" w:rsidRDefault="00B36621" w:rsidP="009E1BA4">
      <w:pPr>
        <w:suppressAutoHyphens w:val="0"/>
        <w:spacing w:after="160" w:line="259" w:lineRule="auto"/>
        <w:jc w:val="left"/>
        <w:rPr>
          <w:u w:val="single"/>
        </w:rPr>
      </w:pPr>
      <w:r w:rsidRPr="00276CE9">
        <w:rPr>
          <w:u w:val="single"/>
        </w:rPr>
        <w:t>MS</w:t>
      </w:r>
      <w:r w:rsidR="009E1BA4" w:rsidRPr="00276CE9">
        <w:rPr>
          <w:u w:val="single"/>
        </w:rPr>
        <w:t>-</w:t>
      </w:r>
      <w:r w:rsidRPr="00276CE9">
        <w:rPr>
          <w:u w:val="single"/>
        </w:rPr>
        <w:t>3</w:t>
      </w:r>
      <w:r w:rsidR="009E1BA4" w:rsidRPr="00276CE9">
        <w:rPr>
          <w:u w:val="single"/>
        </w:rPr>
        <w:t>: Europski sustav trgovanja emisijskim jedinicama</w:t>
      </w:r>
    </w:p>
    <w:p w14:paraId="3482208D" w14:textId="50C161BC" w:rsidR="009E1BA4" w:rsidRDefault="009E1BA4" w:rsidP="00276CE9">
      <w:pPr>
        <w:suppressAutoHyphens w:val="0"/>
        <w:spacing w:after="160" w:line="259" w:lineRule="auto"/>
        <w:ind w:left="147"/>
      </w:pPr>
      <w:r>
        <w:t xml:space="preserve">Europski sustav trgovanja emisijskim jedinicama (EU ETS) uključuje sve aktivnosti navedene u Prilogu I. Uredbe o načinu trgovanja emisijskim jedinicama stakleničkih plinova (NN 69/12, 154/14), a za smanjenje emisija stakleničkih plinova odgovorni su operateri postrojenja uključeni u sustav. Kroz ravnomjernu raspodjelu emisijskih jedinica obveze za smanjenjem podijeljene su svim državama članicama s ciljem doprinosa smanjenju emisija za </w:t>
      </w:r>
      <w:r w:rsidR="00A11D8E">
        <w:t xml:space="preserve">najmanje </w:t>
      </w:r>
      <w:r>
        <w:t>21</w:t>
      </w:r>
      <w:r w:rsidR="00C22BF3">
        <w:t xml:space="preserve"> </w:t>
      </w:r>
      <w:r>
        <w:t>% do 2020. godine</w:t>
      </w:r>
      <w:r w:rsidR="00D43C8E">
        <w:t xml:space="preserve">, odnosno </w:t>
      </w:r>
      <w:r w:rsidR="00A11D8E">
        <w:t>za najmanje 43</w:t>
      </w:r>
      <w:r w:rsidR="00C22BF3">
        <w:t xml:space="preserve"> </w:t>
      </w:r>
      <w:r w:rsidR="007E425C">
        <w:t>% do 2030. godine,</w:t>
      </w:r>
      <w:r w:rsidR="00A11D8E">
        <w:t xml:space="preserve"> </w:t>
      </w:r>
      <w:r>
        <w:t>u odnosu na razinu iz 2005. godine. Time se može zaključiti kako je smanjenje emisija iz aktivnosti unutar EU ETS-a reguliranu na razini EU.</w:t>
      </w:r>
      <w:r w:rsidR="00980EE5">
        <w:t xml:space="preserve"> </w:t>
      </w:r>
      <w:r>
        <w:t>Od 1.1.2013. godine, Republika Hrvatska je u potpunosti integrirana u EU ETS. Operateri u RH, sukladno pravilima EU ETS-a, dobili su dozvole za emisije stakleničkih plinova i uspostavili režim praćenja emisija i izvještavanja nadležnom tijelu.</w:t>
      </w:r>
      <w:r w:rsidR="00980EE5">
        <w:t xml:space="preserve"> </w:t>
      </w:r>
      <w:r>
        <w:t>Staklenički plinovi obuhvaćeni EU ETS-om su: ugljični dioksid (CO</w:t>
      </w:r>
      <w:r w:rsidRPr="00276CE9">
        <w:rPr>
          <w:vertAlign w:val="subscript"/>
        </w:rPr>
        <w:t>2</w:t>
      </w:r>
      <w:r>
        <w:t>) za sve aktivnosti i dodatno za određene aktivnosti, dušični oksid (N</w:t>
      </w:r>
      <w:r w:rsidRPr="00276CE9">
        <w:rPr>
          <w:vertAlign w:val="subscript"/>
        </w:rPr>
        <w:t>2</w:t>
      </w:r>
      <w:r>
        <w:t>O) i perfluor</w:t>
      </w:r>
      <w:r w:rsidR="00D43BFD">
        <w:t>o</w:t>
      </w:r>
      <w:r>
        <w:t>ugljik (PFC). Dodatna aktivnost uključena u EU ETS je zrakoplovstvo. Operateri zrakoplova u Republici Hrvatskoj uključeni su u EU ETS od 2012. godine za letove u EU i od 2014. za letove unutar RH.</w:t>
      </w:r>
      <w:r w:rsidR="00980EE5">
        <w:t xml:space="preserve"> </w:t>
      </w:r>
      <w:r>
        <w:t>Svi operateri, osim proizvođača električne energije, za prodaju trećim stranama, podnijeli su svoje zahtjeve za izdavanje besplatnih emisijskih jedinica. Besplatne jedinice se besplatno distribuiraju postrojenjima koja su izložena riziku od istjecanja ugljika u treće zemlje, na osnovi mjerila utvrđenih u skladu s referentnom vrijednosti za 10% najučinkovitijih postrojenja u istom sektoru. Operateri, koji neće imati dovoljan broj jedinica za pokrivanje njihovih stakleničkih plinova, imaju mogućnost kupnje emisijskih jedinica putem dražbi ili na sekundarnom ETS tržištu.</w:t>
      </w:r>
    </w:p>
    <w:p w14:paraId="7F279DD5" w14:textId="3391E4FC" w:rsidR="009E1BA4" w:rsidRPr="00276CE9" w:rsidRDefault="00806CF8" w:rsidP="009E1BA4">
      <w:pPr>
        <w:suppressAutoHyphens w:val="0"/>
        <w:spacing w:after="160" w:line="259" w:lineRule="auto"/>
        <w:jc w:val="left"/>
        <w:rPr>
          <w:u w:val="single"/>
        </w:rPr>
      </w:pPr>
      <w:r w:rsidRPr="00276CE9">
        <w:rPr>
          <w:u w:val="single"/>
        </w:rPr>
        <w:t>MS</w:t>
      </w:r>
      <w:r w:rsidR="009E1BA4" w:rsidRPr="00276CE9">
        <w:rPr>
          <w:u w:val="single"/>
        </w:rPr>
        <w:t>-</w:t>
      </w:r>
      <w:r w:rsidRPr="00276CE9">
        <w:rPr>
          <w:u w:val="single"/>
        </w:rPr>
        <w:t>4</w:t>
      </w:r>
      <w:r w:rsidR="009E1BA4" w:rsidRPr="00276CE9">
        <w:rPr>
          <w:u w:val="single"/>
        </w:rPr>
        <w:t xml:space="preserve">: Korištenje sredstava dobivenih od prodaje emisijskih jedinica putem dražbi u okviru EU ETS-a za mjere za smanjenje emisija stakleničkih plinova </w:t>
      </w:r>
    </w:p>
    <w:p w14:paraId="1C4A6B20" w14:textId="066CDA31" w:rsidR="009E1BA4" w:rsidRDefault="009E1BA4" w:rsidP="00276CE9">
      <w:pPr>
        <w:suppressAutoHyphens w:val="0"/>
        <w:spacing w:after="160" w:line="259" w:lineRule="auto"/>
        <w:ind w:left="147"/>
      </w:pPr>
      <w:r>
        <w:t>Od ukupnog broja jedinica određenih za raspodjelu operaterima postrojenja i zrakoplovnim operaterima, svake godine razdoblja trgovanja dio ih se besplatno distribuira. Preostali dio je distribuiran državama članicama EU i podliježe javnim dražbama.</w:t>
      </w:r>
      <w:r w:rsidR="00980EE5">
        <w:t xml:space="preserve"> </w:t>
      </w:r>
      <w:r>
        <w:t xml:space="preserve">Zakon o zaštiti zraka (NN 130/11, 47/14, 61/17) propisuje da Republika Hrvatska za klimatske svrhe koristi 95% zaprimljenih sredstava koja se uplaćuju na posebni račun u Fond za zaštitu okoliša i energetsku učinkovitost, a 5% sredstava uplaćuje se u državni proračun Republike Hrvatske. Sredstva koja se uplaćuju na posebni račun u Fond za zaštitu okoliša i energetsku učinkovitost trebaju biti </w:t>
      </w:r>
      <w:r w:rsidR="006B2B31">
        <w:t xml:space="preserve">namjenski </w:t>
      </w:r>
      <w:r>
        <w:t>korištena za</w:t>
      </w:r>
      <w:r w:rsidR="00386687">
        <w:t xml:space="preserve"> provedbu mjera ublažavanja i prilagodbe klimatskim promjenama.</w:t>
      </w:r>
      <w:r w:rsidR="00980EE5">
        <w:t xml:space="preserve"> </w:t>
      </w:r>
      <w:r>
        <w:t>Sredstva koja se uplaćuju u državni proračun trebaju biti korištena za pokrivanje troškova upravljanja sustava trgovanja emisijskim jedinicama, za administrativne poslove, za funkcioniranje Registra unije, za voditelje dražbi, za Nacionalni sustav za praćenje emisija stakleničkih plinova i ostala pitanja vezana za klimatske promjene.</w:t>
      </w:r>
      <w:r w:rsidR="00980EE5">
        <w:t xml:space="preserve"> </w:t>
      </w:r>
      <w:r>
        <w:t>Plan korištenje sredstava stečenih prodajom emisijskih jedinice putem dražbi u RH za razdoblje od 2014. do 2016. godine usvojila je Vlade RH (NN 140/14, NN 12/17). Sveukupno ostvareni prihodi za razdoblje od 2014. do 2016. godine iznose 733 984 921,23 HRK, a koristili su se za obnovljive izvore energije, energetsku učinkovitost, promet, gospodarenje otpadom te istraživanje, razvoj i stručnu podršku.</w:t>
      </w:r>
      <w:r w:rsidR="00EA327B">
        <w:t xml:space="preserve"> </w:t>
      </w:r>
      <w:r w:rsidRPr="00BF2CBA">
        <w:t>Plan korištenja financijskih sredstava od dražbi za razdoblje do 2020. godine donesen je u veljači 2018.,</w:t>
      </w:r>
      <w:r>
        <w:t xml:space="preserve"> a njime se planira uprihoditi 825 000 000,00 HRK. Ova sredstva će se potrošiti na mjere ublažavanja i prilagodbe klimatskim promjenama.</w:t>
      </w:r>
    </w:p>
    <w:p w14:paraId="6DFC7088" w14:textId="18FB4153" w:rsidR="009E1BA4" w:rsidRPr="00276CE9" w:rsidRDefault="009E1BA4" w:rsidP="009E1BA4">
      <w:pPr>
        <w:suppressAutoHyphens w:val="0"/>
        <w:spacing w:after="160" w:line="259" w:lineRule="auto"/>
        <w:jc w:val="left"/>
        <w:rPr>
          <w:u w:val="single"/>
        </w:rPr>
      </w:pPr>
      <w:r w:rsidRPr="00276CE9">
        <w:rPr>
          <w:u w:val="single"/>
        </w:rPr>
        <w:t>M</w:t>
      </w:r>
      <w:r w:rsidR="00B02406" w:rsidRPr="00276CE9">
        <w:rPr>
          <w:u w:val="single"/>
        </w:rPr>
        <w:t>S-5</w:t>
      </w:r>
      <w:r w:rsidRPr="00276CE9">
        <w:rPr>
          <w:u w:val="single"/>
        </w:rPr>
        <w:t>: Porez na emisiju CO</w:t>
      </w:r>
      <w:r w:rsidRPr="00276CE9">
        <w:rPr>
          <w:u w:val="single"/>
          <w:vertAlign w:val="subscript"/>
        </w:rPr>
        <w:t>2</w:t>
      </w:r>
      <w:r w:rsidRPr="00276CE9">
        <w:rPr>
          <w:u w:val="single"/>
        </w:rPr>
        <w:t xml:space="preserve"> za stacionarne izvore koji nisu u EU ETS-u</w:t>
      </w:r>
    </w:p>
    <w:p w14:paraId="186273FE" w14:textId="34C24074" w:rsidR="009E1BA4" w:rsidRDefault="009E1BA4" w:rsidP="00B27DBF">
      <w:pPr>
        <w:suppressAutoHyphens w:val="0"/>
        <w:spacing w:after="160" w:line="259" w:lineRule="auto"/>
        <w:ind w:left="147"/>
      </w:pPr>
      <w:r>
        <w:t>Uredba o jediničnim naknadama, korektivnim koeficijentima i pobližim kriterijima i mjerilima za utvrđivanje naknade na emisiju u okoliš ugljikovog dioksida (NN 73/07, 48/09, 2/18) propisuje obvezu plaćanja naknade na emisiju CO</w:t>
      </w:r>
      <w:r w:rsidRPr="00276CE9">
        <w:rPr>
          <w:vertAlign w:val="subscript"/>
        </w:rPr>
        <w:t>2</w:t>
      </w:r>
      <w:r>
        <w:t xml:space="preserve"> za sve stacionarne izvore koji emitiraju više od 30 tona CO</w:t>
      </w:r>
      <w:r w:rsidRPr="00276CE9">
        <w:rPr>
          <w:vertAlign w:val="subscript"/>
        </w:rPr>
        <w:t>2</w:t>
      </w:r>
      <w:r>
        <w:t xml:space="preserve"> godišnje, odnosno 450 tona CO</w:t>
      </w:r>
      <w:r w:rsidRPr="00276CE9">
        <w:rPr>
          <w:vertAlign w:val="subscript"/>
        </w:rPr>
        <w:t>2</w:t>
      </w:r>
      <w:r>
        <w:t xml:space="preserve"> godišnje od </w:t>
      </w:r>
      <w:r w:rsidRPr="00BF2CBA">
        <w:t>1. siječnja 201</w:t>
      </w:r>
      <w:r w:rsidR="00BF2CBA" w:rsidRPr="00276CE9">
        <w:t>7</w:t>
      </w:r>
      <w:r w:rsidRPr="00BF2CBA">
        <w:t>. godine.</w:t>
      </w:r>
      <w:r>
        <w:t xml:space="preserve"> Obveznicima plaćanja naknada koji ulažu u energetsku učinkovitost, obnovljive izvore energije i druge mjere za smanjenje emisije CO</w:t>
      </w:r>
      <w:r w:rsidRPr="00276CE9">
        <w:rPr>
          <w:vertAlign w:val="subscript"/>
        </w:rPr>
        <w:t>2</w:t>
      </w:r>
      <w:r>
        <w:t xml:space="preserve"> i ostalih emisija stakleničkih plinova naplaćuje se niža naknada.</w:t>
      </w:r>
      <w:r w:rsidR="00980EE5">
        <w:t xml:space="preserve"> </w:t>
      </w:r>
      <w:r>
        <w:t>Fond za zaštitu okoliša i energetsku učinkovitost ovlašten je za obračun i naplatu troškova. Zakon o izmjenama i dopunama Zakona o fondu za zaštitu okoliša i energetsku učinkovitost (NN 144/12) propisuje da od 1. siječnja 2013. godine pravne ili fizičke osobe koje posjeduju ili koriste barem jedan izvor emisije CO</w:t>
      </w:r>
      <w:r w:rsidRPr="00276CE9">
        <w:rPr>
          <w:vertAlign w:val="subscript"/>
        </w:rPr>
        <w:t>2</w:t>
      </w:r>
      <w:r>
        <w:t xml:space="preserve"> za koje su dobivene dozvole za emisije stakleničkih plinova</w:t>
      </w:r>
      <w:r w:rsidR="002A50B7">
        <w:t>,</w:t>
      </w:r>
      <w:r>
        <w:t xml:space="preserve"> a koje su na temelju rješenja izdanog prema posebnom propisu kojim se uređuje zaštita zraka isključene iz sustava trgovanja emisijskim jedinicama, trebaju plaćati naknadu. To znači da se od 2013. nadalje</w:t>
      </w:r>
      <w:r w:rsidR="002A50B7">
        <w:t>, obveza plaćanja naknade na emisiju CO</w:t>
      </w:r>
      <w:r w:rsidR="002A50B7" w:rsidRPr="00276CE9">
        <w:rPr>
          <w:vertAlign w:val="subscript"/>
        </w:rPr>
        <w:t>2</w:t>
      </w:r>
      <w:r w:rsidR="002A50B7">
        <w:t xml:space="preserve"> odnosi </w:t>
      </w:r>
      <w:r>
        <w:t>samo na izvore koji nisu obuhvaćeni ETS-om.</w:t>
      </w:r>
      <w:r w:rsidR="00980EE5">
        <w:t xml:space="preserve"> </w:t>
      </w:r>
    </w:p>
    <w:p w14:paraId="15D08348" w14:textId="77777777" w:rsidR="00AC63D7" w:rsidRPr="00276CE9" w:rsidRDefault="00AC63D7" w:rsidP="00AC63D7">
      <w:pPr>
        <w:rPr>
          <w:u w:val="single"/>
        </w:rPr>
      </w:pPr>
      <w:r w:rsidRPr="00276CE9">
        <w:rPr>
          <w:u w:val="single"/>
        </w:rPr>
        <w:t>MS-6: Sporazum gradonačelnika za klimu i energiju u Republici Hrvatskoj</w:t>
      </w:r>
    </w:p>
    <w:p w14:paraId="400AC11B" w14:textId="62333EB5" w:rsidR="00AC63D7" w:rsidRDefault="00AC63D7" w:rsidP="00276CE9">
      <w:pPr>
        <w:ind w:left="147"/>
      </w:pPr>
      <w:r>
        <w:t xml:space="preserve">Europski sporazum gradonačelnika za klimu i energiju okuplja na tisuće lokalnih tijela vlasti koja su se dobrovoljno posvetila provedbi ciljeva Europske unije za klimu i energiju. Sporazum gradonačelnika okuplja više od 7 tisuća tijela lokalne i regionalne vlasti u 57 zemalja, koristeći prednosti pokreta koji ujedinjuje brojne dionike širom svijeta te metodološku i tehničku potporu koju pružaju nadležni uredi. </w:t>
      </w:r>
      <w:r w:rsidRPr="004E6FFF">
        <w:t>Potpisnici</w:t>
      </w:r>
      <w:r>
        <w:t xml:space="preserve"> Sporazuma</w:t>
      </w:r>
      <w:r w:rsidRPr="004E6FFF">
        <w:t xml:space="preserve"> podržavaju zajedničku viziju za 2050. godinu: ubrzavanje dekarbonizacije njihovih teritorija, osnaživanje kapaciteta za prilagodbu na neizbježan utjecaj klimatskih promjena te omogućavanje građanima pristup sigurnoj, održivoj i povoljnoj energiji.</w:t>
      </w:r>
      <w:r>
        <w:t xml:space="preserve"> Gradovi potpisnici obvezuju se na djelovanje koje će podržati smanjenje stakleničkih plinova za 40% do 2030. godine te usvajanje zajedničkog pristupa rješavanju ublažavanja i prilagodbe na klimatske promjene. Kako bi svoj politički angažman prenijeli iz teorije u praktične mjere i projekte, potpisnici Sporazuma obvezuju se na dostavljanje Akcijskog plana energetski i klimatski održivog razvitka (SECAP) u roku od dvije godine od odluke lokalnog vijeća. </w:t>
      </w:r>
      <w:r w:rsidR="00E854B8">
        <w:t>O</w:t>
      </w:r>
      <w:r w:rsidR="00461AA6">
        <w:t xml:space="preserve">vu </w:t>
      </w:r>
      <w:r w:rsidR="00460AB9">
        <w:t>inicijativu</w:t>
      </w:r>
      <w:r w:rsidR="00E854B8">
        <w:t xml:space="preserve"> je u</w:t>
      </w:r>
      <w:r w:rsidR="00460AB9">
        <w:t xml:space="preserve"> </w:t>
      </w:r>
      <w:r>
        <w:t xml:space="preserve">RH </w:t>
      </w:r>
      <w:r w:rsidR="00E854B8">
        <w:t>prihvatilo</w:t>
      </w:r>
      <w:r>
        <w:t xml:space="preserve"> 70 </w:t>
      </w:r>
      <w:r w:rsidR="00C80616">
        <w:t>gradova i općina</w:t>
      </w:r>
      <w:r>
        <w:t xml:space="preserve">, a dostavljeno je 62 Akcijska plana. Sporazumom gradonačelnika je na taj način obuhvaćeno preko 2 milijuna stanovnika u RH. </w:t>
      </w:r>
    </w:p>
    <w:p w14:paraId="14088CB3" w14:textId="6D7BC76E" w:rsidR="009E1BA4" w:rsidRPr="00276CE9" w:rsidRDefault="006075A6" w:rsidP="00276CE9">
      <w:pPr>
        <w:suppressAutoHyphens w:val="0"/>
        <w:spacing w:after="160" w:line="259" w:lineRule="auto"/>
        <w:rPr>
          <w:u w:val="single"/>
        </w:rPr>
      </w:pPr>
      <w:r w:rsidRPr="00276CE9">
        <w:rPr>
          <w:u w:val="single"/>
        </w:rPr>
        <w:t>MS</w:t>
      </w:r>
      <w:r w:rsidR="009E1BA4" w:rsidRPr="00276CE9">
        <w:rPr>
          <w:u w:val="single"/>
        </w:rPr>
        <w:t>-</w:t>
      </w:r>
      <w:r w:rsidR="00AC63D7" w:rsidRPr="00276CE9">
        <w:rPr>
          <w:u w:val="single"/>
        </w:rPr>
        <w:t>7</w:t>
      </w:r>
      <w:r w:rsidR="009E1BA4" w:rsidRPr="00276CE9">
        <w:rPr>
          <w:u w:val="single"/>
        </w:rPr>
        <w:t>: Provedba interdisciplinarnog istraživanja potencijala za geološko skladištenje CO</w:t>
      </w:r>
      <w:r w:rsidR="009E1BA4" w:rsidRPr="00276CE9">
        <w:rPr>
          <w:u w:val="single"/>
          <w:vertAlign w:val="subscript"/>
        </w:rPr>
        <w:t>2</w:t>
      </w:r>
      <w:r w:rsidR="009E1BA4" w:rsidRPr="00276CE9">
        <w:rPr>
          <w:u w:val="single"/>
        </w:rPr>
        <w:t xml:space="preserve"> u Republici Hrvatskoj</w:t>
      </w:r>
    </w:p>
    <w:p w14:paraId="015CA61C" w14:textId="606C7452" w:rsidR="00A32225" w:rsidRDefault="009E1BA4" w:rsidP="00276CE9">
      <w:pPr>
        <w:suppressAutoHyphens w:val="0"/>
        <w:spacing w:after="160" w:line="259" w:lineRule="auto"/>
        <w:ind w:left="147"/>
      </w:pPr>
      <w:r>
        <w:t>Tehnologija sakupljanja i pohrane ugljika za velike izvore emisije još nije komercijalno dostupna. Mogućnost komercijalne primjene očekuje se u razdoblju nakon 2020. godine.</w:t>
      </w:r>
      <w:r w:rsidR="00980EE5">
        <w:t xml:space="preserve"> </w:t>
      </w:r>
      <w:r>
        <w:t>Prema Direktivi 2009/31/EC o geološkoj pohrani ugljičnog dioksida, odnosno članku 36. Direktive o industrijskim emisijama 2010/75/EU, za elektrane kapaciteta većih od 300 MW koje su dobile građevinsku dozvolu nakon stupanja na snagu Direktive 2009/31/EK, potrebno je ocijeniti jesu li zadovoljeni sljedeći uvjeti:</w:t>
      </w:r>
      <w:r w:rsidR="008C2C58">
        <w:t xml:space="preserve"> a)</w:t>
      </w:r>
      <w:r>
        <w:tab/>
        <w:t>dostupne prikladne lokacije za pohranu</w:t>
      </w:r>
      <w:r w:rsidR="008C2C58">
        <w:t xml:space="preserve">, b) </w:t>
      </w:r>
      <w:r>
        <w:t>transportna postrojenja su tehnički i ekonomski izvedivi</w:t>
      </w:r>
      <w:r w:rsidR="00B33CF0">
        <w:t xml:space="preserve"> i c) </w:t>
      </w:r>
      <w:r>
        <w:tab/>
        <w:t>nadogradnja postrojenja za sakupljanje CO</w:t>
      </w:r>
      <w:r w:rsidRPr="00276CE9">
        <w:rPr>
          <w:vertAlign w:val="subscript"/>
        </w:rPr>
        <w:t>2</w:t>
      </w:r>
      <w:r>
        <w:t xml:space="preserve"> je tehnički i ekonomski izvediva</w:t>
      </w:r>
      <w:r w:rsidR="00B33CF0">
        <w:t>.</w:t>
      </w:r>
      <w:r w:rsidR="00980EE5">
        <w:t xml:space="preserve"> </w:t>
      </w:r>
      <w:r>
        <w:t>Ako su ovi uvjeti zadovoljeni, nadležno tijelo mora osigurati na mjestu postrojenja odgovarajuć</w:t>
      </w:r>
      <w:r w:rsidR="0085741F">
        <w:t xml:space="preserve">i prostor </w:t>
      </w:r>
      <w:r>
        <w:t>za opremu za hvatanje i komprimiranje izvučenog CO</w:t>
      </w:r>
      <w:r w:rsidRPr="00276CE9">
        <w:rPr>
          <w:vertAlign w:val="subscript"/>
        </w:rPr>
        <w:t>2</w:t>
      </w:r>
      <w:r>
        <w:t>. Zbog planova za nove termoelektrane, planira se izrada Nacionalne studije izvodljivosti s akcijskim planom za pripremne aktivnosti za CCS projekte. Ova će studija obuhvatiti faze hvatanje na izvorima emisija, transport, utiskivanje i skladištenje CO</w:t>
      </w:r>
      <w:r w:rsidRPr="00276CE9">
        <w:rPr>
          <w:vertAlign w:val="subscript"/>
        </w:rPr>
        <w:t>2</w:t>
      </w:r>
      <w:r>
        <w:t>.</w:t>
      </w:r>
    </w:p>
    <w:p w14:paraId="444EBF9F" w14:textId="77777777" w:rsidR="009F62CE" w:rsidRPr="009F62CE" w:rsidRDefault="009F62CE" w:rsidP="009F62CE">
      <w:pPr>
        <w:rPr>
          <w:u w:val="single"/>
        </w:rPr>
      </w:pPr>
      <w:r w:rsidRPr="009F62CE">
        <w:rPr>
          <w:u w:val="single"/>
        </w:rPr>
        <w:t>MS-8: Unaprjeđenje održivosti urbanih sredina</w:t>
      </w:r>
    </w:p>
    <w:p w14:paraId="30FB5E99" w14:textId="6131AC9B" w:rsidR="009F62CE" w:rsidRDefault="009F62CE" w:rsidP="009F62CE">
      <w:pPr>
        <w:ind w:left="147"/>
      </w:pPr>
      <w:r>
        <w:t xml:space="preserve">Cilj ove mjere je potaknuti gradove i općine da projekte revitalizacije i razvoja novih urbanih sredina temelje na principima održivosti. Prvi korak u tome je izrada razvojnih planova urbanih sredina, u kojima će se na temelju ocjene pokazatelja održivosti, definirati razvojni projekti kojima će se definirani pokazatelji unaprijediti te će se za takve projekte osigurati sufinanciranje iz ESI fondova u razdoblju 2021.-2027(2030). MGIPU, kao ministarstvo nadležno za pitanja održivog razvoja urbanih sredina, će definirati ključne pokazatelje održivosti, koji će uključivati pokazatelje iz područja izgrađenog prostora, ekonomije, energetike, emisija u atmosferu, korištenja prirodnih resursa, okoliša i društvenih aspekata, a koji će se morati pratiti kako na nacionalnoj razini tako i na lokalnoj razini. Mjera će omogućiti unapređenje održivog razvoja direktnijim povezivanjem strateških i prostorno-planskih dokumenata i uvođenjem mjerenja uspješnosti planiranih te provedenih projekata. Mjera je inovativna te omogućava razvoj urbanih sredina koji će doprinijeti i dekarbonizaciji i energetskoj učinkovitosti, ali će imati i brojne druge društvene, ekonomske i ekološke koristi. </w:t>
      </w:r>
    </w:p>
    <w:p w14:paraId="3BB75E42" w14:textId="77777777" w:rsidR="009F62CE" w:rsidRDefault="009F62CE" w:rsidP="00276CE9">
      <w:pPr>
        <w:suppressAutoHyphens w:val="0"/>
        <w:spacing w:after="160" w:line="259" w:lineRule="auto"/>
        <w:ind w:left="147"/>
      </w:pPr>
    </w:p>
    <w:p w14:paraId="781BCA3A" w14:textId="05975273" w:rsidR="00174263" w:rsidRDefault="00706DCB" w:rsidP="008870B5">
      <w:pPr>
        <w:rPr>
          <w:rFonts w:cs="Arial"/>
        </w:rPr>
      </w:pPr>
      <w:r>
        <w:t xml:space="preserve">U nastavku su prikazane mjere vezane za </w:t>
      </w:r>
      <w:r w:rsidRPr="00276CE9">
        <w:rPr>
          <w:b/>
        </w:rPr>
        <w:t>industrijske procese</w:t>
      </w:r>
      <w:r>
        <w:t>.</w:t>
      </w:r>
    </w:p>
    <w:p w14:paraId="2D5AF57F" w14:textId="35D3690B" w:rsidR="00706DCB" w:rsidRPr="001025CD" w:rsidRDefault="00706DCB" w:rsidP="00706DCB">
      <w:pPr>
        <w:rPr>
          <w:rFonts w:cs="Arial"/>
          <w:u w:val="single"/>
        </w:rPr>
      </w:pPr>
      <w:r>
        <w:rPr>
          <w:rFonts w:cs="Arial"/>
          <w:u w:val="single"/>
        </w:rPr>
        <w:t>IP</w:t>
      </w:r>
      <w:r w:rsidRPr="001025CD">
        <w:rPr>
          <w:rFonts w:cs="Arial"/>
          <w:u w:val="single"/>
        </w:rPr>
        <w:t>-</w:t>
      </w:r>
      <w:r>
        <w:rPr>
          <w:rFonts w:cs="Arial"/>
          <w:u w:val="single"/>
        </w:rPr>
        <w:t>1</w:t>
      </w:r>
      <w:r w:rsidRPr="001025CD">
        <w:rPr>
          <w:rFonts w:cs="Arial"/>
          <w:u w:val="single"/>
        </w:rPr>
        <w:t xml:space="preserve">: </w:t>
      </w:r>
      <w:r w:rsidRPr="00706DCB">
        <w:rPr>
          <w:rFonts w:cs="Arial"/>
          <w:u w:val="single"/>
        </w:rPr>
        <w:t>Smanjenje emisije hlapljivih organskih spojeva u sektoru uporabe otapala</w:t>
      </w:r>
    </w:p>
    <w:p w14:paraId="1588C768" w14:textId="1EC396D2" w:rsidR="00706DCB" w:rsidRPr="001025CD" w:rsidRDefault="00706DCB" w:rsidP="00706DCB">
      <w:pPr>
        <w:ind w:left="147"/>
        <w:rPr>
          <w:rFonts w:cs="Arial"/>
        </w:rPr>
      </w:pPr>
      <w:r w:rsidRPr="00706DCB">
        <w:rPr>
          <w:rFonts w:cs="Arial"/>
        </w:rPr>
        <w:t>Uredba o graničnim vrijednostima sadržaja hlapivih organskih spojeva u određenim bojama i lakovima koji se koriste u graditeljstvu i proizvodima za završnu obradu vozila (NN 69/13) propisuje granične vrijednosti sadržaja hlapivih organskih spojeva koji se smiju stavljati na tržište. Izrada i primjena plana upravljanja otapalima smanjuje emisije hlapivih organskih spojeva, a time i emisije ugljikovog dioksida</w:t>
      </w:r>
      <w:r w:rsidRPr="001025CD">
        <w:rPr>
          <w:rFonts w:cs="Arial"/>
        </w:rPr>
        <w:t>.</w:t>
      </w:r>
    </w:p>
    <w:p w14:paraId="6A73452E" w14:textId="1B8E3C43" w:rsidR="00706DCB" w:rsidRPr="001025CD" w:rsidRDefault="00706DCB" w:rsidP="00706DCB">
      <w:pPr>
        <w:rPr>
          <w:rFonts w:cs="Arial"/>
          <w:u w:val="single"/>
        </w:rPr>
      </w:pPr>
      <w:r>
        <w:rPr>
          <w:rFonts w:cs="Arial"/>
          <w:u w:val="single"/>
        </w:rPr>
        <w:t>IP</w:t>
      </w:r>
      <w:r w:rsidRPr="001025CD">
        <w:rPr>
          <w:rFonts w:cs="Arial"/>
          <w:u w:val="single"/>
        </w:rPr>
        <w:t>-</w:t>
      </w:r>
      <w:r>
        <w:rPr>
          <w:rFonts w:cs="Arial"/>
          <w:u w:val="single"/>
        </w:rPr>
        <w:t>2</w:t>
      </w:r>
      <w:r w:rsidRPr="001025CD">
        <w:rPr>
          <w:rFonts w:cs="Arial"/>
          <w:u w:val="single"/>
        </w:rPr>
        <w:t xml:space="preserve">: </w:t>
      </w:r>
      <w:r w:rsidRPr="00706DCB">
        <w:rPr>
          <w:rFonts w:cs="Arial"/>
          <w:u w:val="single"/>
        </w:rPr>
        <w:t>Postupanje s tvarima koje oštećuju ozonski sloj i fluoriranim stakleničkim plinovima</w:t>
      </w:r>
    </w:p>
    <w:p w14:paraId="6331DBD6" w14:textId="6D88A13E" w:rsidR="00706DCB" w:rsidRPr="001025CD" w:rsidRDefault="00706DCB" w:rsidP="00706DCB">
      <w:pPr>
        <w:ind w:left="147"/>
        <w:rPr>
          <w:rFonts w:cs="Arial"/>
        </w:rPr>
      </w:pPr>
      <w:r w:rsidRPr="00706DCB">
        <w:rPr>
          <w:rFonts w:cs="Arial"/>
        </w:rPr>
        <w:t>Zabranjeno je ispuštanje kontroliranih tvari i fluoriranih stakleničkih plinova u zrak za vrijeme obavljanja aktivnosti prikupljanja, provjere propuštanja i održavanja ili servisiranja uređaja i opreme</w:t>
      </w:r>
      <w:r w:rsidRPr="001025CD">
        <w:rPr>
          <w:rFonts w:cs="Arial"/>
        </w:rPr>
        <w:t>.</w:t>
      </w:r>
    </w:p>
    <w:p w14:paraId="6DA1C4ED" w14:textId="2CA89BFE" w:rsidR="00706DCB" w:rsidRPr="001025CD" w:rsidRDefault="00706DCB" w:rsidP="00706DCB">
      <w:pPr>
        <w:rPr>
          <w:rFonts w:cs="Arial"/>
          <w:u w:val="single"/>
        </w:rPr>
      </w:pPr>
      <w:r>
        <w:rPr>
          <w:rFonts w:cs="Arial"/>
          <w:u w:val="single"/>
        </w:rPr>
        <w:t>IP</w:t>
      </w:r>
      <w:r w:rsidRPr="001025CD">
        <w:rPr>
          <w:rFonts w:cs="Arial"/>
          <w:u w:val="single"/>
        </w:rPr>
        <w:t>-</w:t>
      </w:r>
      <w:r>
        <w:rPr>
          <w:rFonts w:cs="Arial"/>
          <w:u w:val="single"/>
        </w:rPr>
        <w:t>3</w:t>
      </w:r>
      <w:r w:rsidRPr="001025CD">
        <w:rPr>
          <w:rFonts w:cs="Arial"/>
          <w:u w:val="single"/>
        </w:rPr>
        <w:t xml:space="preserve">: </w:t>
      </w:r>
      <w:r w:rsidRPr="00706DCB">
        <w:rPr>
          <w:rFonts w:cs="Arial"/>
          <w:u w:val="single"/>
        </w:rPr>
        <w:t>Tehničke i organizacijske mjere prikupljanja, obnavljanja, oporabe i uništavanja kontroliranih tvari i fluoriranih stakleničkih plinova</w:t>
      </w:r>
    </w:p>
    <w:p w14:paraId="720C9B13" w14:textId="2B4E4874" w:rsidR="00706DCB" w:rsidRPr="001025CD" w:rsidRDefault="00706DCB" w:rsidP="00706DCB">
      <w:pPr>
        <w:ind w:left="147"/>
        <w:rPr>
          <w:rFonts w:cs="Arial"/>
        </w:rPr>
      </w:pPr>
      <w:r w:rsidRPr="00706DCB">
        <w:rPr>
          <w:rFonts w:cs="Arial"/>
        </w:rPr>
        <w:t>Ova skupina mjera definira način na koji se uporabljene kontrolirane tvari i fluorirani staklenički plinovi sadržani u proizvodima i opremi moraju prikupiti, obnoviti, oporabiti ili uništiti.</w:t>
      </w:r>
    </w:p>
    <w:p w14:paraId="76F5C70D" w14:textId="75F5B0B1" w:rsidR="00706DCB" w:rsidRPr="001025CD" w:rsidRDefault="00706DCB" w:rsidP="00706DCB">
      <w:pPr>
        <w:rPr>
          <w:rFonts w:cs="Arial"/>
          <w:u w:val="single"/>
        </w:rPr>
      </w:pPr>
      <w:r>
        <w:rPr>
          <w:rFonts w:cs="Arial"/>
          <w:u w:val="single"/>
        </w:rPr>
        <w:t>IP</w:t>
      </w:r>
      <w:r w:rsidRPr="001025CD">
        <w:rPr>
          <w:rFonts w:cs="Arial"/>
          <w:u w:val="single"/>
        </w:rPr>
        <w:t>-</w:t>
      </w:r>
      <w:r>
        <w:rPr>
          <w:rFonts w:cs="Arial"/>
          <w:u w:val="single"/>
        </w:rPr>
        <w:t>4</w:t>
      </w:r>
      <w:r w:rsidRPr="001025CD">
        <w:rPr>
          <w:rFonts w:cs="Arial"/>
          <w:u w:val="single"/>
        </w:rPr>
        <w:t xml:space="preserve">: </w:t>
      </w:r>
      <w:r w:rsidRPr="00706DCB">
        <w:rPr>
          <w:rFonts w:cs="Arial"/>
          <w:u w:val="single"/>
        </w:rPr>
        <w:t>Izgradnja kapaciteta i jačanje znanja ovlaštenih servisera</w:t>
      </w:r>
    </w:p>
    <w:p w14:paraId="4DE23528" w14:textId="5B7B3E68" w:rsidR="00706DCB" w:rsidRPr="001025CD" w:rsidRDefault="00706DCB" w:rsidP="00706DCB">
      <w:pPr>
        <w:ind w:left="147"/>
        <w:rPr>
          <w:rFonts w:cs="Arial"/>
        </w:rPr>
      </w:pPr>
      <w:r w:rsidRPr="00706DCB">
        <w:rPr>
          <w:rFonts w:cs="Arial"/>
        </w:rPr>
        <w:t>Edukacija ovlaštenih servisera o prikupljaju i rukovanju kontroliranim tvarima i fluoriranim stakleničkim plinovima tijekom servisiranja uređaja i opreme.</w:t>
      </w:r>
    </w:p>
    <w:p w14:paraId="5A68F78A" w14:textId="1AE7EC0C" w:rsidR="00850315" w:rsidRPr="001025CD" w:rsidRDefault="00850315" w:rsidP="00850315">
      <w:pPr>
        <w:rPr>
          <w:rFonts w:cs="Arial"/>
          <w:u w:val="single"/>
        </w:rPr>
      </w:pPr>
      <w:r>
        <w:rPr>
          <w:rFonts w:cs="Arial"/>
          <w:u w:val="single"/>
        </w:rPr>
        <w:t>IP</w:t>
      </w:r>
      <w:r w:rsidRPr="001025CD">
        <w:rPr>
          <w:rFonts w:cs="Arial"/>
          <w:u w:val="single"/>
        </w:rPr>
        <w:t>-</w:t>
      </w:r>
      <w:r>
        <w:rPr>
          <w:rFonts w:cs="Arial"/>
          <w:u w:val="single"/>
        </w:rPr>
        <w:t>5</w:t>
      </w:r>
      <w:r w:rsidRPr="001025CD">
        <w:rPr>
          <w:rFonts w:cs="Arial"/>
          <w:u w:val="single"/>
        </w:rPr>
        <w:t xml:space="preserve">: </w:t>
      </w:r>
      <w:r w:rsidRPr="00850315">
        <w:rPr>
          <w:rFonts w:cs="Arial"/>
          <w:u w:val="single"/>
        </w:rPr>
        <w:t>Provjera propuštanja kontroliranih tvari i flu</w:t>
      </w:r>
      <w:r w:rsidR="00D43BFD">
        <w:rPr>
          <w:rFonts w:cs="Arial"/>
          <w:u w:val="single"/>
        </w:rPr>
        <w:t>o</w:t>
      </w:r>
      <w:r w:rsidRPr="00850315">
        <w:rPr>
          <w:rFonts w:cs="Arial"/>
          <w:u w:val="single"/>
        </w:rPr>
        <w:t>riranih stakleničkih plinova</w:t>
      </w:r>
    </w:p>
    <w:p w14:paraId="07ED3C9B" w14:textId="02CA9BFD" w:rsidR="00850315" w:rsidRPr="001025CD" w:rsidRDefault="00850315" w:rsidP="00850315">
      <w:pPr>
        <w:ind w:left="147"/>
        <w:rPr>
          <w:rFonts w:cs="Arial"/>
        </w:rPr>
      </w:pPr>
      <w:r w:rsidRPr="00850315">
        <w:rPr>
          <w:rFonts w:cs="Arial"/>
        </w:rPr>
        <w:t>Tehničke mjere za sprječavanje ili uklanjanje propuštanja kontroliranih tvari i flu</w:t>
      </w:r>
      <w:r w:rsidR="00D43BFD">
        <w:rPr>
          <w:rFonts w:cs="Arial"/>
        </w:rPr>
        <w:t>o</w:t>
      </w:r>
      <w:r w:rsidRPr="00850315">
        <w:rPr>
          <w:rFonts w:cs="Arial"/>
        </w:rPr>
        <w:t>riranih stakleničkih plinova</w:t>
      </w:r>
      <w:r w:rsidRPr="00706DCB">
        <w:rPr>
          <w:rFonts w:cs="Arial"/>
        </w:rPr>
        <w:t>.</w:t>
      </w:r>
    </w:p>
    <w:p w14:paraId="06DA7EBC" w14:textId="77777777" w:rsidR="00A15C5F" w:rsidRPr="001025CD" w:rsidRDefault="00A15C5F" w:rsidP="00A15C5F">
      <w:pPr>
        <w:rPr>
          <w:rFonts w:cs="Arial"/>
          <w:u w:val="single"/>
        </w:rPr>
      </w:pPr>
      <w:r>
        <w:rPr>
          <w:rFonts w:cs="Arial"/>
          <w:u w:val="single"/>
        </w:rPr>
        <w:t>IP</w:t>
      </w:r>
      <w:r w:rsidRPr="001025CD">
        <w:rPr>
          <w:rFonts w:cs="Arial"/>
          <w:u w:val="single"/>
        </w:rPr>
        <w:t>-</w:t>
      </w:r>
      <w:r>
        <w:rPr>
          <w:rFonts w:cs="Arial"/>
          <w:u w:val="single"/>
        </w:rPr>
        <w:t>6</w:t>
      </w:r>
      <w:r w:rsidRPr="001025CD">
        <w:rPr>
          <w:rFonts w:cs="Arial"/>
          <w:u w:val="single"/>
        </w:rPr>
        <w:t xml:space="preserve">: </w:t>
      </w:r>
      <w:r w:rsidRPr="00850315">
        <w:rPr>
          <w:rFonts w:cs="Arial"/>
          <w:u w:val="single"/>
        </w:rPr>
        <w:t>Naknada za pokriće troškova prikupljanja, obnavljanja, oporabe i uništavanja kontroliranih tvari i fluoriranih stakleničkih plinova</w:t>
      </w:r>
    </w:p>
    <w:p w14:paraId="073CB19D" w14:textId="3D16A8F0" w:rsidR="00A15C5F" w:rsidRDefault="00A15C5F" w:rsidP="00A15C5F">
      <w:pPr>
        <w:ind w:left="147"/>
        <w:rPr>
          <w:rFonts w:cs="Arial"/>
        </w:rPr>
      </w:pPr>
      <w:r w:rsidRPr="00A15C5F">
        <w:rPr>
          <w:rFonts w:cs="Arial"/>
        </w:rPr>
        <w:t>Poduzetnik koji uvozi/unosi kontrolirane tvari i/ili fluorirane stakleničke plinove u svrhu stavljanja na tržište Republike Hrvatske ili za svoje potrebe, dužan je uplatiti naknadu u Fond za zaštitu okoliša i energetsku učinkovitost.</w:t>
      </w:r>
    </w:p>
    <w:p w14:paraId="42210BB3" w14:textId="2766C8E8" w:rsidR="00E40F68" w:rsidRDefault="00E40F68">
      <w:pPr>
        <w:ind w:left="147"/>
        <w:rPr>
          <w:rFonts w:cs="Arial"/>
        </w:rPr>
      </w:pPr>
    </w:p>
    <w:p w14:paraId="7B0892F3" w14:textId="24A52763" w:rsidR="00A15C5F" w:rsidRDefault="00A15C5F" w:rsidP="00A15C5F">
      <w:pPr>
        <w:suppressAutoHyphens w:val="0"/>
        <w:spacing w:after="160" w:line="259" w:lineRule="auto"/>
        <w:jc w:val="left"/>
      </w:pPr>
      <w:r>
        <w:t xml:space="preserve">U nastavku su prikazane mjere vezane za </w:t>
      </w:r>
      <w:r w:rsidRPr="0031468F">
        <w:rPr>
          <w:b/>
        </w:rPr>
        <w:t>gospodarenje otpadom</w:t>
      </w:r>
      <w:r>
        <w:t>.</w:t>
      </w:r>
    </w:p>
    <w:p w14:paraId="6C02599C" w14:textId="0670D640" w:rsidR="00A15C5F" w:rsidRDefault="00A15C5F" w:rsidP="00A15C5F">
      <w:pPr>
        <w:rPr>
          <w:rFonts w:cs="Arial"/>
          <w:u w:val="single"/>
        </w:rPr>
      </w:pPr>
      <w:r>
        <w:rPr>
          <w:rFonts w:cs="Arial"/>
          <w:u w:val="single"/>
        </w:rPr>
        <w:t>GO</w:t>
      </w:r>
      <w:r w:rsidRPr="001025CD">
        <w:rPr>
          <w:rFonts w:cs="Arial"/>
          <w:u w:val="single"/>
        </w:rPr>
        <w:t>-</w:t>
      </w:r>
      <w:r>
        <w:rPr>
          <w:rFonts w:cs="Arial"/>
          <w:u w:val="single"/>
        </w:rPr>
        <w:t>1</w:t>
      </w:r>
      <w:r w:rsidRPr="001025CD">
        <w:rPr>
          <w:rFonts w:cs="Arial"/>
          <w:u w:val="single"/>
        </w:rPr>
        <w:t xml:space="preserve">: </w:t>
      </w:r>
      <w:r w:rsidRPr="00A15C5F">
        <w:rPr>
          <w:rFonts w:cs="Arial"/>
          <w:u w:val="single"/>
        </w:rPr>
        <w:t>Sprječavanje nastajanja i smanjivanje količine krutog komunalnog otpada</w:t>
      </w:r>
    </w:p>
    <w:p w14:paraId="53EA709F" w14:textId="53231552" w:rsidR="00A15C5F" w:rsidRDefault="00A15C5F" w:rsidP="00A15C5F">
      <w:pPr>
        <w:ind w:left="147"/>
        <w:rPr>
          <w:rFonts w:cs="Arial"/>
        </w:rPr>
      </w:pPr>
      <w:r w:rsidRPr="00A15C5F">
        <w:rPr>
          <w:rFonts w:cs="Arial"/>
        </w:rPr>
        <w:t>Ova mjera se treba postići čistijom proizvodnjom, odgojem i obrazovanjem, ekonomskim instrumentima, primjenom propisa o objedinjenim uvjetima zaštite okoliša i ulaganjem u suvremene tehnologije. Sukladno zakonu definirani su kvantitativni ciljevi i rokovi za smanjenje ukupne količine odloženog otpada na neusklađena odlagališta. Do kraja 2017. godine najveća dopuštena masa otpada koji se može odložiti na neusklađena odlagališta iznosi 800.000 tona. Odlaganje otpada na neusklađena odlagališta u Hrvatskoj zabranjeno je nakon 31. prosinca 2017. godine</w:t>
      </w:r>
      <w:r>
        <w:rPr>
          <w:rFonts w:cs="Arial"/>
        </w:rPr>
        <w:t>.</w:t>
      </w:r>
    </w:p>
    <w:p w14:paraId="2D36F5DE" w14:textId="3F46A56F" w:rsidR="00A15C5F" w:rsidRDefault="00A15C5F" w:rsidP="00A15C5F">
      <w:pPr>
        <w:rPr>
          <w:rFonts w:cs="Arial"/>
          <w:u w:val="single"/>
        </w:rPr>
      </w:pPr>
      <w:r>
        <w:rPr>
          <w:rFonts w:cs="Arial"/>
          <w:u w:val="single"/>
        </w:rPr>
        <w:t>GO</w:t>
      </w:r>
      <w:r w:rsidRPr="001025CD">
        <w:rPr>
          <w:rFonts w:cs="Arial"/>
          <w:u w:val="single"/>
        </w:rPr>
        <w:t>-</w:t>
      </w:r>
      <w:r>
        <w:rPr>
          <w:rFonts w:cs="Arial"/>
          <w:u w:val="single"/>
        </w:rPr>
        <w:t>2</w:t>
      </w:r>
      <w:r w:rsidRPr="001025CD">
        <w:rPr>
          <w:rFonts w:cs="Arial"/>
          <w:u w:val="single"/>
        </w:rPr>
        <w:t xml:space="preserve">: </w:t>
      </w:r>
      <w:r w:rsidRPr="00A15C5F">
        <w:rPr>
          <w:rFonts w:cs="Arial"/>
          <w:u w:val="single"/>
        </w:rPr>
        <w:t>Povećanje količine odvojeno skupljenog i recikliranog krutog komunalnog otpada</w:t>
      </w:r>
    </w:p>
    <w:p w14:paraId="30831838" w14:textId="0F03AFD6" w:rsidR="00A15C5F" w:rsidRDefault="00A15C5F" w:rsidP="00A15C5F">
      <w:pPr>
        <w:ind w:left="147"/>
        <w:rPr>
          <w:rFonts w:cs="Arial"/>
        </w:rPr>
      </w:pPr>
      <w:r w:rsidRPr="00A15C5F">
        <w:rPr>
          <w:rFonts w:cs="Arial"/>
        </w:rPr>
        <w:t>Kvantitativni ciljevi i rokovi za povećanje količine odvojeno skupljenog i recikliranog komunalnog otpada osim Zakonom o održivom gospodarenju otpadom definirani su i Planom gospodarenja otpadom Republike Hrvatske za razdoblje 2017. - 2022. godine (NN 3/17). 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p w14:paraId="4794DAF4" w14:textId="2CC668BE" w:rsidR="00A15C5F" w:rsidRDefault="00A15C5F" w:rsidP="00A15C5F">
      <w:pPr>
        <w:rPr>
          <w:rFonts w:cs="Arial"/>
          <w:u w:val="single"/>
        </w:rPr>
      </w:pPr>
      <w:r>
        <w:rPr>
          <w:rFonts w:cs="Arial"/>
          <w:u w:val="single"/>
        </w:rPr>
        <w:t>GO</w:t>
      </w:r>
      <w:r w:rsidRPr="001025CD">
        <w:rPr>
          <w:rFonts w:cs="Arial"/>
          <w:u w:val="single"/>
        </w:rPr>
        <w:t>-</w:t>
      </w:r>
      <w:r>
        <w:rPr>
          <w:rFonts w:cs="Arial"/>
          <w:u w:val="single"/>
        </w:rPr>
        <w:t>3</w:t>
      </w:r>
      <w:r w:rsidRPr="001025CD">
        <w:rPr>
          <w:rFonts w:cs="Arial"/>
          <w:u w:val="single"/>
        </w:rPr>
        <w:t xml:space="preserve">: </w:t>
      </w:r>
      <w:r w:rsidRPr="00A15C5F">
        <w:rPr>
          <w:rFonts w:cs="Arial"/>
          <w:u w:val="single"/>
        </w:rPr>
        <w:t>Spaljivanje metana na baklji</w:t>
      </w:r>
    </w:p>
    <w:p w14:paraId="34A0A89E" w14:textId="447862A0" w:rsidR="00A15C5F" w:rsidRDefault="00A15C5F" w:rsidP="00A15C5F">
      <w:pPr>
        <w:ind w:left="147"/>
        <w:rPr>
          <w:rFonts w:cs="Arial"/>
        </w:rPr>
      </w:pPr>
      <w:r w:rsidRPr="00A15C5F">
        <w:rPr>
          <w:rFonts w:cs="Arial"/>
        </w:rPr>
        <w:t>Pravilnikom o načinima i uvjetima odlaganja otpada, kategorijama i uvjetima rada za odlagališta otpada (NN 114/15) i Pravilnikom o gospodarenju otpadom (NN 23/14, 51/14, 121/15, 132/15) propisani su strogi tehnički uvjeti rada za odlagališta otpada, kojima se smanjuju moguće štetne posljedice 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14:paraId="6D3D2DAE" w14:textId="139A65EE" w:rsidR="00A15C5F" w:rsidRDefault="00A15C5F" w:rsidP="00A15C5F">
      <w:pPr>
        <w:rPr>
          <w:rFonts w:cs="Arial"/>
          <w:u w:val="single"/>
        </w:rPr>
      </w:pPr>
      <w:r>
        <w:rPr>
          <w:rFonts w:cs="Arial"/>
          <w:u w:val="single"/>
        </w:rPr>
        <w:t>GO</w:t>
      </w:r>
      <w:r w:rsidRPr="001025CD">
        <w:rPr>
          <w:rFonts w:cs="Arial"/>
          <w:u w:val="single"/>
        </w:rPr>
        <w:t>-</w:t>
      </w:r>
      <w:r>
        <w:rPr>
          <w:rFonts w:cs="Arial"/>
          <w:u w:val="single"/>
        </w:rPr>
        <w:t>4</w:t>
      </w:r>
      <w:r w:rsidRPr="001025CD">
        <w:rPr>
          <w:rFonts w:cs="Arial"/>
          <w:u w:val="single"/>
        </w:rPr>
        <w:t xml:space="preserve">: </w:t>
      </w:r>
      <w:r w:rsidRPr="00A15C5F">
        <w:rPr>
          <w:rFonts w:cs="Arial"/>
          <w:u w:val="single"/>
        </w:rPr>
        <w:t>Smanjenje količine odloženog biorazgradivog krutog komunalnog otpada</w:t>
      </w:r>
    </w:p>
    <w:p w14:paraId="596C7947" w14:textId="3A849A82" w:rsidR="00A15C5F" w:rsidRDefault="00A15C5F" w:rsidP="00A15C5F">
      <w:pPr>
        <w:ind w:left="147"/>
        <w:rPr>
          <w:rFonts w:cs="Arial"/>
        </w:rPr>
      </w:pPr>
      <w:r w:rsidRPr="00A15C5F">
        <w:rPr>
          <w:rFonts w:cs="Arial"/>
        </w:rPr>
        <w:t>Cilj ove mjere je smanjiti količinu biorazgradive frakcije otpada koja se odlaže na odlagalištu, čime se smanjuje emisija metana nastalog anaerobnim procesima razgradnje otpada.</w:t>
      </w:r>
      <w:r>
        <w:rPr>
          <w:rFonts w:cs="Arial"/>
        </w:rPr>
        <w:t xml:space="preserve"> </w:t>
      </w:r>
      <w:r w:rsidRPr="00A15C5F">
        <w:rPr>
          <w:rFonts w:cs="Arial"/>
        </w:rPr>
        <w:t>Sukladno Zakonu o održivom gospodarenju otpadom utvrđeni su kvantitativni ciljevi koji se odnose na smanjenje udjela biorazgradivog komunalnog otpada koji se odlaže na odlagališta. Do kraja 2020. godine udio biorazgradivog komunalnog otpada koji se odlaže na odlagališta mora se smanjiti na 35% masenog udjela biorazgradivog komunalnog otpada koji je proizveden 1997. godine.</w:t>
      </w:r>
    </w:p>
    <w:p w14:paraId="113DC9D9" w14:textId="70ECF6BD" w:rsidR="00A15C5F" w:rsidRDefault="00A15C5F" w:rsidP="00A15C5F">
      <w:pPr>
        <w:rPr>
          <w:rFonts w:cs="Arial"/>
          <w:u w:val="single"/>
        </w:rPr>
      </w:pPr>
      <w:r>
        <w:rPr>
          <w:rFonts w:cs="Arial"/>
          <w:u w:val="single"/>
        </w:rPr>
        <w:t>GO</w:t>
      </w:r>
      <w:r w:rsidRPr="001025CD">
        <w:rPr>
          <w:rFonts w:cs="Arial"/>
          <w:u w:val="single"/>
        </w:rPr>
        <w:t>-</w:t>
      </w:r>
      <w:r>
        <w:rPr>
          <w:rFonts w:cs="Arial"/>
          <w:u w:val="single"/>
        </w:rPr>
        <w:t>5</w:t>
      </w:r>
      <w:r w:rsidRPr="001025CD">
        <w:rPr>
          <w:rFonts w:cs="Arial"/>
          <w:u w:val="single"/>
        </w:rPr>
        <w:t xml:space="preserve">: </w:t>
      </w:r>
      <w:r w:rsidRPr="00A15C5F">
        <w:rPr>
          <w:rFonts w:cs="Arial"/>
          <w:u w:val="single"/>
        </w:rPr>
        <w:t>Korištenje bioplina za proizvodnju</w:t>
      </w:r>
      <w:r w:rsidR="00336254">
        <w:rPr>
          <w:rFonts w:cs="Arial"/>
          <w:u w:val="single"/>
        </w:rPr>
        <w:t xml:space="preserve"> biometana,</w:t>
      </w:r>
      <w:r w:rsidRPr="00A15C5F">
        <w:rPr>
          <w:rFonts w:cs="Arial"/>
          <w:u w:val="single"/>
        </w:rPr>
        <w:t xml:space="preserve"> električne energije i topline</w:t>
      </w:r>
    </w:p>
    <w:p w14:paraId="0A754255" w14:textId="23584583" w:rsidR="00A15C5F" w:rsidRDefault="00A15C5F" w:rsidP="00A15C5F">
      <w:pPr>
        <w:ind w:left="147"/>
        <w:rPr>
          <w:rFonts w:cs="Arial"/>
        </w:rPr>
      </w:pPr>
      <w:r w:rsidRPr="00A15C5F">
        <w:rPr>
          <w:rFonts w:cs="Arial"/>
        </w:rPr>
        <w:t xml:space="preserve">Mjera je povezana s mjerom </w:t>
      </w:r>
      <w:r w:rsidR="00387630" w:rsidRPr="00387630">
        <w:rPr>
          <w:rFonts w:cs="Arial"/>
        </w:rPr>
        <w:t>OIE-</w:t>
      </w:r>
      <w:r w:rsidR="00966AC9">
        <w:rPr>
          <w:rFonts w:cs="Arial"/>
        </w:rPr>
        <w:t>3</w:t>
      </w:r>
      <w:r w:rsidR="00387630" w:rsidRPr="00387630">
        <w:rPr>
          <w:rFonts w:cs="Arial"/>
        </w:rPr>
        <w:t>: Poticanje korištenja obnovljivih izvora energije za proizvodnju električne</w:t>
      </w:r>
      <w:r w:rsidR="00A21FBF">
        <w:rPr>
          <w:rFonts w:cs="Arial"/>
        </w:rPr>
        <w:t xml:space="preserve"> i toplinske</w:t>
      </w:r>
      <w:r w:rsidR="00387630" w:rsidRPr="00387630">
        <w:rPr>
          <w:rFonts w:cs="Arial"/>
        </w:rPr>
        <w:t xml:space="preserve"> energije</w:t>
      </w:r>
      <w:r w:rsidR="00387630">
        <w:rPr>
          <w:rFonts w:cs="Arial"/>
        </w:rPr>
        <w:t xml:space="preserve">, </w:t>
      </w:r>
      <w:r w:rsidR="00067915">
        <w:rPr>
          <w:rFonts w:cs="Arial"/>
        </w:rPr>
        <w:t>u okviru obnovljivih izvora</w:t>
      </w:r>
      <w:r w:rsidR="00387630">
        <w:rPr>
          <w:rFonts w:cs="Arial"/>
        </w:rPr>
        <w:t xml:space="preserve"> energije</w:t>
      </w:r>
      <w:r w:rsidR="00951D21">
        <w:rPr>
          <w:rFonts w:cs="Arial"/>
        </w:rPr>
        <w:t xml:space="preserve"> te </w:t>
      </w:r>
      <w:r w:rsidR="00FA16B6" w:rsidRPr="00FA16B6">
        <w:rPr>
          <w:rFonts w:cs="Arial"/>
        </w:rPr>
        <w:t>TR-5: Obveza korištenja biogoriva u prometu</w:t>
      </w:r>
      <w:r w:rsidRPr="00A15C5F">
        <w:rPr>
          <w:rFonts w:cs="Arial"/>
        </w:rPr>
        <w:t>.</w:t>
      </w:r>
      <w:r w:rsidR="0086329E">
        <w:rPr>
          <w:rFonts w:cs="Arial"/>
        </w:rPr>
        <w:t xml:space="preserve"> </w:t>
      </w:r>
      <w:r w:rsidRPr="00A15C5F">
        <w:rPr>
          <w:rFonts w:cs="Arial"/>
        </w:rPr>
        <w:t>Gledajući sektor gospodarenja otpadom, potencijal smanjenja emisije stakleničkih plinova ove mjere predstavlja potencijal smanjenja emisije metana (nastalog anaerobnom razgradnjom biorazgradive frakcije otpada), koji se koristi za proizvodnju električne energije i topline.</w:t>
      </w:r>
    </w:p>
    <w:p w14:paraId="5458FA24" w14:textId="2B595131" w:rsidR="00A15C5F" w:rsidRDefault="00A15C5F" w:rsidP="00A15C5F">
      <w:pPr>
        <w:suppressAutoHyphens w:val="0"/>
        <w:spacing w:after="160" w:line="259" w:lineRule="auto"/>
        <w:jc w:val="left"/>
      </w:pPr>
      <w:r>
        <w:t xml:space="preserve">U nastavku su prikazane mjere vezane za </w:t>
      </w:r>
      <w:r w:rsidRPr="0031468F">
        <w:rPr>
          <w:b/>
        </w:rPr>
        <w:t>sektor poljoprivrede</w:t>
      </w:r>
      <w:r>
        <w:t>.</w:t>
      </w:r>
    </w:p>
    <w:p w14:paraId="1C12CCB4" w14:textId="04ADAB27" w:rsidR="00A32225" w:rsidRDefault="00A32225" w:rsidP="00A32225">
      <w:pPr>
        <w:rPr>
          <w:rFonts w:cs="Arial"/>
          <w:u w:val="single"/>
        </w:rPr>
      </w:pPr>
      <w:r>
        <w:rPr>
          <w:rFonts w:cs="Arial"/>
          <w:u w:val="single"/>
        </w:rPr>
        <w:t>POLJ</w:t>
      </w:r>
      <w:r w:rsidRPr="001025CD">
        <w:rPr>
          <w:rFonts w:cs="Arial"/>
          <w:u w:val="single"/>
        </w:rPr>
        <w:t>-</w:t>
      </w:r>
      <w:r>
        <w:rPr>
          <w:rFonts w:cs="Arial"/>
          <w:u w:val="single"/>
        </w:rPr>
        <w:t>1</w:t>
      </w:r>
      <w:r w:rsidRPr="001025CD">
        <w:rPr>
          <w:rFonts w:cs="Arial"/>
          <w:u w:val="single"/>
        </w:rPr>
        <w:t xml:space="preserve">: </w:t>
      </w:r>
      <w:r w:rsidRPr="00A32225">
        <w:rPr>
          <w:rFonts w:cs="Arial"/>
          <w:u w:val="single"/>
        </w:rPr>
        <w:t>Promjena u prehrani stoke i svinja i kvaliteta stočne hrane</w:t>
      </w:r>
    </w:p>
    <w:p w14:paraId="1843D3F5" w14:textId="68966F3D" w:rsidR="00A32225" w:rsidRDefault="00A32225" w:rsidP="00A32225">
      <w:pPr>
        <w:ind w:left="147"/>
        <w:rPr>
          <w:rFonts w:cs="Arial"/>
        </w:rPr>
      </w:pPr>
      <w:r w:rsidRPr="00A32225">
        <w:rPr>
          <w:rFonts w:cs="Arial"/>
        </w:rPr>
        <w:t>Specifične pod-mjere unutar ove grupe mjera koje se odnose na daljnje poboljšanje stočarstva, sustave upravljanja životinjskim otpadom, razinu proizvodnje kao i njihovu prehranu (probavljivost): promjena omjera pojedinih vrsta krme u prehrani, korištenje dodataka masti kao izvora energije, poboljšanje kvalitete voluminozne krme i poboljšanje sustava ispaše. Ove mjere se odnose na potencijalno smanjenje emisije metana i dušikovih spojeva od crijevne fermentacije i upravljanja životinjskim otpadom.</w:t>
      </w:r>
    </w:p>
    <w:p w14:paraId="59735D5D" w14:textId="5D423659" w:rsidR="00A32225" w:rsidRDefault="00A32225" w:rsidP="00A32225">
      <w:pPr>
        <w:rPr>
          <w:rFonts w:cs="Arial"/>
          <w:u w:val="single"/>
        </w:rPr>
      </w:pPr>
      <w:r>
        <w:rPr>
          <w:rFonts w:cs="Arial"/>
          <w:u w:val="single"/>
        </w:rPr>
        <w:t>POLJ</w:t>
      </w:r>
      <w:r w:rsidRPr="001025CD">
        <w:rPr>
          <w:rFonts w:cs="Arial"/>
          <w:u w:val="single"/>
        </w:rPr>
        <w:t>-</w:t>
      </w:r>
      <w:r>
        <w:rPr>
          <w:rFonts w:cs="Arial"/>
          <w:u w:val="single"/>
        </w:rPr>
        <w:t>2</w:t>
      </w:r>
      <w:r w:rsidRPr="001025CD">
        <w:rPr>
          <w:rFonts w:cs="Arial"/>
          <w:u w:val="single"/>
        </w:rPr>
        <w:t xml:space="preserve">: </w:t>
      </w:r>
      <w:r w:rsidRPr="00A32225">
        <w:rPr>
          <w:rFonts w:cs="Arial"/>
          <w:u w:val="single"/>
        </w:rPr>
        <w:t>Anaerobna razgradnja gnoja i proizvodnja bioplina</w:t>
      </w:r>
    </w:p>
    <w:p w14:paraId="39D1B0E5" w14:textId="378385F6" w:rsidR="00A32225" w:rsidRDefault="00A32225" w:rsidP="00A32225">
      <w:pPr>
        <w:ind w:left="147"/>
        <w:rPr>
          <w:rFonts w:cs="Arial"/>
        </w:rPr>
      </w:pPr>
      <w:r w:rsidRPr="00A32225">
        <w:rPr>
          <w:rFonts w:cs="Arial"/>
        </w:rPr>
        <w:t xml:space="preserve">Uvođenjem postrojenja za bioplin smanjenje emisija postiže se uklanjanje emisija metana koje nastaju uslijed odlaganja korištenog smeća, te proizvodnjom električne energije iz obnovljivih izvora. Mjera je povezana s mjerama </w:t>
      </w:r>
      <w:r w:rsidR="00067915">
        <w:rPr>
          <w:rFonts w:cs="Arial"/>
        </w:rPr>
        <w:t>kojima se potiče korištenje obnovljivih izvora energije</w:t>
      </w:r>
      <w:r w:rsidRPr="00A32225">
        <w:rPr>
          <w:rFonts w:cs="Arial"/>
        </w:rPr>
        <w:t>. Anaerobna razgradnja pomaže postrojenjima za bioplin u smanjenju izvora lako razgradivog ugljika u gnojivu koje se primjenjuje na poljoprivredno zemljište, ali i potencijalno smanjuje emisije N</w:t>
      </w:r>
      <w:r w:rsidRPr="00276CE9">
        <w:rPr>
          <w:rFonts w:cs="Arial"/>
          <w:vertAlign w:val="subscript"/>
        </w:rPr>
        <w:t>2</w:t>
      </w:r>
      <w:r w:rsidRPr="00A32225">
        <w:rPr>
          <w:rFonts w:cs="Arial"/>
        </w:rPr>
        <w:t>O nastalih u procesu nitrifikacije.</w:t>
      </w:r>
    </w:p>
    <w:p w14:paraId="3831354A" w14:textId="14DDB404" w:rsidR="00A32225" w:rsidRDefault="00A32225" w:rsidP="00A32225">
      <w:pPr>
        <w:rPr>
          <w:rFonts w:cs="Arial"/>
          <w:u w:val="single"/>
        </w:rPr>
      </w:pPr>
      <w:r>
        <w:rPr>
          <w:rFonts w:cs="Arial"/>
          <w:u w:val="single"/>
        </w:rPr>
        <w:t>POLJ</w:t>
      </w:r>
      <w:r w:rsidRPr="001025CD">
        <w:rPr>
          <w:rFonts w:cs="Arial"/>
          <w:u w:val="single"/>
        </w:rPr>
        <w:t>-</w:t>
      </w:r>
      <w:r>
        <w:rPr>
          <w:rFonts w:cs="Arial"/>
          <w:u w:val="single"/>
        </w:rPr>
        <w:t>3</w:t>
      </w:r>
      <w:r w:rsidRPr="001025CD">
        <w:rPr>
          <w:rFonts w:cs="Arial"/>
          <w:u w:val="single"/>
        </w:rPr>
        <w:t xml:space="preserve">: </w:t>
      </w:r>
      <w:r w:rsidRPr="00A32225">
        <w:rPr>
          <w:rFonts w:cs="Arial"/>
          <w:u w:val="single"/>
        </w:rPr>
        <w:t>Poboljšanje stočarskih postrojenja i sustava upravljanja životinjskim otpadom</w:t>
      </w:r>
    </w:p>
    <w:p w14:paraId="52D63CCF" w14:textId="34772507" w:rsidR="00A32225" w:rsidRDefault="00A32225" w:rsidP="00A32225">
      <w:pPr>
        <w:ind w:left="147"/>
        <w:rPr>
          <w:rFonts w:cs="Arial"/>
        </w:rPr>
      </w:pPr>
      <w:r w:rsidRPr="00A32225">
        <w:rPr>
          <w:rFonts w:cs="Arial"/>
        </w:rPr>
        <w:t>Pokrivanje mjesta za skladištenje gnoja – stvaranje prirodnog sloja (kore) s prirodnim (slama) ili (poroznim) umjetnim materijalom. Ova mjera smanjuje izravnu emisiju metana i amonijaka, iako u manjoj mjeri poboljšavaju proces nitrifikacije (porozni materijal) i uzrokuju blago povećanje emisije dušikovog oksida.</w:t>
      </w:r>
    </w:p>
    <w:p w14:paraId="09C163F6" w14:textId="7EF36FDA" w:rsidR="00A32225" w:rsidRDefault="00A32225" w:rsidP="00A32225">
      <w:pPr>
        <w:rPr>
          <w:rFonts w:cs="Arial"/>
          <w:u w:val="single"/>
        </w:rPr>
      </w:pPr>
      <w:r>
        <w:rPr>
          <w:rFonts w:cs="Arial"/>
          <w:u w:val="single"/>
        </w:rPr>
        <w:t>POLJ</w:t>
      </w:r>
      <w:r w:rsidRPr="001025CD">
        <w:rPr>
          <w:rFonts w:cs="Arial"/>
          <w:u w:val="single"/>
        </w:rPr>
        <w:t>-</w:t>
      </w:r>
      <w:r>
        <w:rPr>
          <w:rFonts w:cs="Arial"/>
          <w:u w:val="single"/>
        </w:rPr>
        <w:t>4</w:t>
      </w:r>
      <w:r w:rsidRPr="001025CD">
        <w:rPr>
          <w:rFonts w:cs="Arial"/>
          <w:u w:val="single"/>
        </w:rPr>
        <w:t xml:space="preserve">: </w:t>
      </w:r>
      <w:r w:rsidRPr="00A32225">
        <w:rPr>
          <w:rFonts w:cs="Arial"/>
          <w:u w:val="single"/>
        </w:rPr>
        <w:t>Poboljšanje metoda primjene mineralnih gnojiva</w:t>
      </w:r>
    </w:p>
    <w:p w14:paraId="5B249973" w14:textId="5FA83996" w:rsidR="00A32225" w:rsidRDefault="00A32225" w:rsidP="00A32225">
      <w:pPr>
        <w:ind w:left="147"/>
        <w:rPr>
          <w:rFonts w:cs="Arial"/>
        </w:rPr>
      </w:pPr>
      <w:r w:rsidRPr="00A32225">
        <w:rPr>
          <w:rFonts w:cs="Arial"/>
        </w:rPr>
        <w:t>Primjena novih gnojiva sporog djelovanja pogodnih za uzgoj kukuruza i pšenice (gnojiva obložena polimerima). Istraživanje ukazuje na mogućnost smanjenja potrebe za primjenom gnojiva po hektaru (uslijed manjih gubitaka dušika) s nepromijenjenim ili povećanim prihodima.</w:t>
      </w:r>
    </w:p>
    <w:p w14:paraId="2D168BD2" w14:textId="193AF350" w:rsidR="00A32225" w:rsidRDefault="00A32225" w:rsidP="00A32225">
      <w:pPr>
        <w:rPr>
          <w:rFonts w:cs="Arial"/>
          <w:u w:val="single"/>
        </w:rPr>
      </w:pPr>
      <w:r>
        <w:rPr>
          <w:rFonts w:cs="Arial"/>
          <w:u w:val="single"/>
        </w:rPr>
        <w:t>POLJ</w:t>
      </w:r>
      <w:r w:rsidRPr="001025CD">
        <w:rPr>
          <w:rFonts w:cs="Arial"/>
          <w:u w:val="single"/>
        </w:rPr>
        <w:t>-</w:t>
      </w:r>
      <w:r>
        <w:rPr>
          <w:rFonts w:cs="Arial"/>
          <w:u w:val="single"/>
        </w:rPr>
        <w:t>5</w:t>
      </w:r>
      <w:r w:rsidRPr="001025CD">
        <w:rPr>
          <w:rFonts w:cs="Arial"/>
          <w:u w:val="single"/>
        </w:rPr>
        <w:t xml:space="preserve">: </w:t>
      </w:r>
      <w:r w:rsidRPr="00A32225">
        <w:rPr>
          <w:rFonts w:cs="Arial"/>
          <w:u w:val="single"/>
        </w:rPr>
        <w:t>Hidrotehnički zahvati i sustavi zaštite od prirodnih katastrofa</w:t>
      </w:r>
    </w:p>
    <w:p w14:paraId="54FEB507" w14:textId="5B626485" w:rsidR="00A32225" w:rsidRDefault="00A32225" w:rsidP="00A32225">
      <w:pPr>
        <w:ind w:left="147"/>
        <w:rPr>
          <w:rFonts w:cs="Arial"/>
        </w:rPr>
      </w:pPr>
      <w:r w:rsidRPr="00A32225">
        <w:rPr>
          <w:rFonts w:cs="Arial"/>
        </w:rPr>
        <w:t>Izgradnja sustava odvodnje, navodnjavanja i sustava zaštite od poplava, suša i ostalih prirodnih katastrofa može utjecati na smanjenje gubitka hranjivih tvari uslijed procjeđivanja i ispiranja, što za posljedicu ima smanjenu potrebu za primjenom dušika.</w:t>
      </w:r>
    </w:p>
    <w:p w14:paraId="53B1F912" w14:textId="0470EBB5" w:rsidR="00A32225" w:rsidRDefault="00A32225" w:rsidP="00A32225">
      <w:pPr>
        <w:rPr>
          <w:rFonts w:cs="Arial"/>
          <w:u w:val="single"/>
        </w:rPr>
      </w:pPr>
      <w:r>
        <w:rPr>
          <w:rFonts w:cs="Arial"/>
          <w:u w:val="single"/>
        </w:rPr>
        <w:t>POLJ</w:t>
      </w:r>
      <w:r w:rsidRPr="001025CD">
        <w:rPr>
          <w:rFonts w:cs="Arial"/>
          <w:u w:val="single"/>
        </w:rPr>
        <w:t>-</w:t>
      </w:r>
      <w:r>
        <w:rPr>
          <w:rFonts w:cs="Arial"/>
          <w:u w:val="single"/>
        </w:rPr>
        <w:t>6</w:t>
      </w:r>
      <w:r w:rsidRPr="001025CD">
        <w:rPr>
          <w:rFonts w:cs="Arial"/>
          <w:u w:val="single"/>
        </w:rPr>
        <w:t xml:space="preserve">: </w:t>
      </w:r>
      <w:r w:rsidRPr="00A32225">
        <w:rPr>
          <w:rFonts w:cs="Arial"/>
          <w:u w:val="single"/>
        </w:rPr>
        <w:t>Uvođenje novih kultivara, sorti i vrsta</w:t>
      </w:r>
    </w:p>
    <w:p w14:paraId="6DACFAB5" w14:textId="27B3FA50" w:rsidR="00A32225" w:rsidRDefault="00A32225" w:rsidP="00A32225">
      <w:pPr>
        <w:ind w:left="147"/>
        <w:rPr>
          <w:rFonts w:cs="Arial"/>
        </w:rPr>
      </w:pPr>
      <w:r w:rsidRPr="00A32225">
        <w:rPr>
          <w:rFonts w:cs="Arial"/>
        </w:rPr>
        <w:t>Poticanje razvoja, obrazovanja i primjene tehnologija na nacionalnoj i regionalnoj razini, poticanje prijelaza i prilagodbe cijelog proizvodnog lanca za proizvodnju novih usjeva ili omogućavanje i poticanje primjene kultivara i sorti koje su otpornije na sušu i bolesti te imaju niži ugljični otisak. To je, uz druge prednosti, usmjereno prema smanjenju potrebe za uvođenjem dušika u tlo kroz gnojiva.</w:t>
      </w:r>
    </w:p>
    <w:p w14:paraId="427C8116" w14:textId="4BB7062F" w:rsidR="00A32225" w:rsidRDefault="00A32225" w:rsidP="00A32225">
      <w:pPr>
        <w:rPr>
          <w:rFonts w:cs="Arial"/>
          <w:u w:val="single"/>
        </w:rPr>
      </w:pPr>
      <w:r>
        <w:rPr>
          <w:rFonts w:cs="Arial"/>
          <w:u w:val="single"/>
        </w:rPr>
        <w:t>POLJ</w:t>
      </w:r>
      <w:r w:rsidRPr="001025CD">
        <w:rPr>
          <w:rFonts w:cs="Arial"/>
          <w:u w:val="single"/>
        </w:rPr>
        <w:t>-</w:t>
      </w:r>
      <w:r w:rsidR="00642B7C">
        <w:rPr>
          <w:rFonts w:cs="Arial"/>
          <w:u w:val="single"/>
        </w:rPr>
        <w:t>7</w:t>
      </w:r>
      <w:r w:rsidRPr="001025CD">
        <w:rPr>
          <w:rFonts w:cs="Arial"/>
          <w:u w:val="single"/>
        </w:rPr>
        <w:t xml:space="preserve">: </w:t>
      </w:r>
      <w:r w:rsidRPr="00A32225">
        <w:rPr>
          <w:rFonts w:cs="Arial"/>
          <w:u w:val="single"/>
        </w:rPr>
        <w:t>Provedba programa ruralnog razvoja</w:t>
      </w:r>
    </w:p>
    <w:p w14:paraId="3D7107DA" w14:textId="39E1181B" w:rsidR="00A32225" w:rsidRDefault="00A32225" w:rsidP="00A32225">
      <w:pPr>
        <w:ind w:left="147"/>
        <w:rPr>
          <w:rFonts w:cs="Arial"/>
        </w:rPr>
      </w:pPr>
      <w:r w:rsidRPr="00A32225">
        <w:rPr>
          <w:rFonts w:cs="Arial"/>
        </w:rPr>
        <w:t xml:space="preserve">Jedno od najznačajnijih područja djelovanja institucija Europske unije, kako u smislu obuhvata zajedničke pravne stečevine, tako i u smislu udjela u EU proračunu, predstavlja Zajednička poljoprivredna politika (ZPP). Ruralni razvoj, kao drugi stup ZPP financiran je sredstvima Europskog poljoprivrednog fonda za ruralni razvoj (EAFRD). </w:t>
      </w:r>
      <w:r>
        <w:rPr>
          <w:rFonts w:cs="Arial"/>
        </w:rPr>
        <w:t xml:space="preserve">Po završetku provedbe </w:t>
      </w:r>
      <w:r w:rsidRPr="00A32225">
        <w:rPr>
          <w:rFonts w:cs="Arial"/>
        </w:rPr>
        <w:t>Programa ruralnog razvoja Republike Hrvatske 2014.-2020. godine</w:t>
      </w:r>
      <w:r>
        <w:rPr>
          <w:rFonts w:cs="Arial"/>
        </w:rPr>
        <w:t>, očekuje se ugovaranje programa za naredno razdoblje</w:t>
      </w:r>
      <w:r w:rsidR="00067915">
        <w:rPr>
          <w:rFonts w:cs="Arial"/>
        </w:rPr>
        <w:t>, u okviru čega će se razraditi pri</w:t>
      </w:r>
      <w:r w:rsidR="00D43BFD">
        <w:rPr>
          <w:rFonts w:cs="Arial"/>
        </w:rPr>
        <w:t>o</w:t>
      </w:r>
      <w:r w:rsidR="00067915">
        <w:rPr>
          <w:rFonts w:cs="Arial"/>
        </w:rPr>
        <w:t>r</w:t>
      </w:r>
      <w:r w:rsidR="00D43BFD">
        <w:rPr>
          <w:rFonts w:cs="Arial"/>
        </w:rPr>
        <w:t>i</w:t>
      </w:r>
      <w:r w:rsidR="00067915">
        <w:rPr>
          <w:rFonts w:cs="Arial"/>
        </w:rPr>
        <w:t>teti i mjere ruralnog razvoja.</w:t>
      </w:r>
    </w:p>
    <w:p w14:paraId="224EA255" w14:textId="2C326F54" w:rsidR="004A0AFB" w:rsidRDefault="004A0AFB" w:rsidP="004A0AFB">
      <w:pPr>
        <w:rPr>
          <w:rFonts w:cs="Arial"/>
          <w:u w:val="single"/>
        </w:rPr>
      </w:pPr>
      <w:bookmarkStart w:id="311" w:name="_Hlk531641108"/>
      <w:r>
        <w:rPr>
          <w:rFonts w:cs="Arial"/>
          <w:u w:val="single"/>
        </w:rPr>
        <w:t>POLJ</w:t>
      </w:r>
      <w:r w:rsidRPr="001025CD">
        <w:rPr>
          <w:rFonts w:cs="Arial"/>
          <w:u w:val="single"/>
        </w:rPr>
        <w:t>-</w:t>
      </w:r>
      <w:r w:rsidR="00642B7C">
        <w:rPr>
          <w:rFonts w:cs="Arial"/>
          <w:u w:val="single"/>
        </w:rPr>
        <w:t>8</w:t>
      </w:r>
      <w:r w:rsidRPr="001025CD">
        <w:rPr>
          <w:rFonts w:cs="Arial"/>
          <w:u w:val="single"/>
        </w:rPr>
        <w:t xml:space="preserve">: </w:t>
      </w:r>
      <w:r>
        <w:rPr>
          <w:rFonts w:cs="Arial"/>
          <w:u w:val="single"/>
        </w:rPr>
        <w:t>Izgradnja kapaciteta poljoprivrednika</w:t>
      </w:r>
    </w:p>
    <w:p w14:paraId="663E422F" w14:textId="6CD1CF53" w:rsidR="004A0AFB" w:rsidRDefault="00025CA9" w:rsidP="00A32225">
      <w:pPr>
        <w:ind w:left="147"/>
        <w:rPr>
          <w:rFonts w:cs="Arial"/>
        </w:rPr>
      </w:pPr>
      <w:r w:rsidRPr="00025CA9">
        <w:rPr>
          <w:rFonts w:cs="Arial"/>
        </w:rPr>
        <w:t xml:space="preserve">Za </w:t>
      </w:r>
      <w:r w:rsidR="00625A6F">
        <w:rPr>
          <w:rFonts w:cs="Arial"/>
        </w:rPr>
        <w:t>poticanje projekata koji doprinose</w:t>
      </w:r>
      <w:r w:rsidRPr="00025CA9">
        <w:rPr>
          <w:rFonts w:cs="Arial"/>
        </w:rPr>
        <w:t xml:space="preserve"> dekarbonizacij</w:t>
      </w:r>
      <w:r w:rsidR="00625A6F">
        <w:rPr>
          <w:rFonts w:cs="Arial"/>
        </w:rPr>
        <w:t>i</w:t>
      </w:r>
      <w:r w:rsidRPr="00025CA9">
        <w:rPr>
          <w:rFonts w:cs="Arial"/>
        </w:rPr>
        <w:t xml:space="preserve"> poljoprivrede, predlaže se izraditi nekoliko jednostavnih i lako primjenjivih poslovnih modela za različite poljoprivredne proizvodnje (stočarstvo, višegodišnji nasadi, ratarstvo, povrtlarstvo</w:t>
      </w:r>
      <w:r w:rsidR="00F3409E">
        <w:rPr>
          <w:rFonts w:cs="Arial"/>
        </w:rPr>
        <w:t>, itd)</w:t>
      </w:r>
      <w:r w:rsidRPr="00025CA9">
        <w:rPr>
          <w:rFonts w:cs="Arial"/>
        </w:rPr>
        <w:t xml:space="preserve"> s visokom replika</w:t>
      </w:r>
      <w:r w:rsidR="00D43BFD">
        <w:rPr>
          <w:rFonts w:cs="Arial"/>
        </w:rPr>
        <w:t>bil</w:t>
      </w:r>
      <w:r w:rsidRPr="00025CA9">
        <w:rPr>
          <w:rFonts w:cs="Arial"/>
        </w:rPr>
        <w:t>nosti</w:t>
      </w:r>
      <w:r w:rsidR="00F3409E">
        <w:rPr>
          <w:rFonts w:cs="Arial"/>
        </w:rPr>
        <w:t>,</w:t>
      </w:r>
      <w:r w:rsidRPr="00025CA9">
        <w:rPr>
          <w:rFonts w:cs="Arial"/>
        </w:rPr>
        <w:t xml:space="preserve"> koj</w:t>
      </w:r>
      <w:r w:rsidR="00F3409E">
        <w:rPr>
          <w:rFonts w:cs="Arial"/>
        </w:rPr>
        <w:t>i</w:t>
      </w:r>
      <w:r w:rsidRPr="00025CA9">
        <w:rPr>
          <w:rFonts w:cs="Arial"/>
        </w:rPr>
        <w:t xml:space="preserve"> omogućavaju istovremeno stvaranje dodane vrijednosti na poljoprivrednom gospodarstvu i smanjenje emisija stakleničkih plinova. Poslovni modeli </w:t>
      </w:r>
      <w:r w:rsidR="00F3409E">
        <w:rPr>
          <w:rFonts w:cs="Arial"/>
        </w:rPr>
        <w:t>će</w:t>
      </w:r>
      <w:r w:rsidRPr="00025CA9">
        <w:rPr>
          <w:rFonts w:cs="Arial"/>
        </w:rPr>
        <w:t xml:space="preserve"> </w:t>
      </w:r>
      <w:r w:rsidR="009F47C6">
        <w:rPr>
          <w:rFonts w:cs="Arial"/>
        </w:rPr>
        <w:t>poljoprivrednicima</w:t>
      </w:r>
      <w:r w:rsidRPr="00025CA9">
        <w:rPr>
          <w:rFonts w:cs="Arial"/>
        </w:rPr>
        <w:t xml:space="preserve"> pojednostavi</w:t>
      </w:r>
      <w:r w:rsidR="00F3409E">
        <w:rPr>
          <w:rFonts w:cs="Arial"/>
        </w:rPr>
        <w:t>ti</w:t>
      </w:r>
      <w:r w:rsidRPr="00025CA9">
        <w:rPr>
          <w:rFonts w:cs="Arial"/>
        </w:rPr>
        <w:t xml:space="preserve"> prepoznavanje </w:t>
      </w:r>
      <w:r w:rsidR="009F47C6">
        <w:rPr>
          <w:rFonts w:cs="Arial"/>
        </w:rPr>
        <w:t>poslovnih</w:t>
      </w:r>
      <w:r w:rsidRPr="00025CA9">
        <w:rPr>
          <w:rFonts w:cs="Arial"/>
        </w:rPr>
        <w:t xml:space="preserve"> prilik</w:t>
      </w:r>
      <w:r w:rsidR="009F47C6">
        <w:rPr>
          <w:rFonts w:cs="Arial"/>
        </w:rPr>
        <w:t>a</w:t>
      </w:r>
      <w:r w:rsidRPr="00025CA9">
        <w:rPr>
          <w:rFonts w:cs="Arial"/>
        </w:rPr>
        <w:t xml:space="preserve">, </w:t>
      </w:r>
      <w:r w:rsidR="009F47C6">
        <w:rPr>
          <w:rFonts w:cs="Arial"/>
        </w:rPr>
        <w:t xml:space="preserve">olakšati poštivanje zadanih </w:t>
      </w:r>
      <w:r w:rsidRPr="00025CA9">
        <w:rPr>
          <w:rFonts w:cs="Arial"/>
        </w:rPr>
        <w:t>procedur</w:t>
      </w:r>
      <w:r w:rsidR="009F47C6">
        <w:rPr>
          <w:rFonts w:cs="Arial"/>
        </w:rPr>
        <w:t>a</w:t>
      </w:r>
      <w:r w:rsidRPr="00025CA9">
        <w:rPr>
          <w:rFonts w:cs="Arial"/>
        </w:rPr>
        <w:t xml:space="preserve"> te maksimizira</w:t>
      </w:r>
      <w:r w:rsidR="00F3409E">
        <w:rPr>
          <w:rFonts w:cs="Arial"/>
        </w:rPr>
        <w:t>ti</w:t>
      </w:r>
      <w:r w:rsidRPr="00025CA9">
        <w:rPr>
          <w:rFonts w:cs="Arial"/>
        </w:rPr>
        <w:t xml:space="preserve"> učinak dekarbonizacije. Poslovni modeli </w:t>
      </w:r>
      <w:r w:rsidR="00F3409E">
        <w:rPr>
          <w:rFonts w:cs="Arial"/>
        </w:rPr>
        <w:t>će</w:t>
      </w:r>
      <w:r w:rsidRPr="00025CA9">
        <w:rPr>
          <w:rFonts w:cs="Arial"/>
        </w:rPr>
        <w:t xml:space="preserve"> integrira</w:t>
      </w:r>
      <w:r w:rsidR="00F3409E">
        <w:rPr>
          <w:rFonts w:cs="Arial"/>
        </w:rPr>
        <w:t>ti</w:t>
      </w:r>
      <w:r w:rsidRPr="00025CA9">
        <w:rPr>
          <w:rFonts w:cs="Arial"/>
        </w:rPr>
        <w:t xml:space="preserve"> mjere energetske učinkovitosti, korištenja obnovljivih izvora energije i stvaranje novih proizvoda iz biomase za potrebe bioekonomije</w:t>
      </w:r>
      <w:r w:rsidR="004A0AFB" w:rsidRPr="004A0AFB">
        <w:rPr>
          <w:rFonts w:cs="Arial"/>
        </w:rPr>
        <w:t>.</w:t>
      </w:r>
    </w:p>
    <w:p w14:paraId="2DDBE7B6" w14:textId="25E5A83C" w:rsidR="00F3409E" w:rsidRDefault="009614D0" w:rsidP="009614D0">
      <w:pPr>
        <w:rPr>
          <w:rFonts w:cs="Arial"/>
          <w:u w:val="single"/>
        </w:rPr>
      </w:pPr>
      <w:r>
        <w:rPr>
          <w:rFonts w:cs="Arial"/>
          <w:u w:val="single"/>
        </w:rPr>
        <w:t>POLJ</w:t>
      </w:r>
      <w:r w:rsidRPr="001025CD">
        <w:rPr>
          <w:rFonts w:cs="Arial"/>
          <w:u w:val="single"/>
        </w:rPr>
        <w:t>-</w:t>
      </w:r>
      <w:r w:rsidR="00642B7C">
        <w:rPr>
          <w:rFonts w:cs="Arial"/>
          <w:u w:val="single"/>
        </w:rPr>
        <w:t>9</w:t>
      </w:r>
      <w:r w:rsidRPr="001025CD">
        <w:rPr>
          <w:rFonts w:cs="Arial"/>
          <w:u w:val="single"/>
        </w:rPr>
        <w:t xml:space="preserve">: </w:t>
      </w:r>
      <w:r w:rsidR="00F3409E">
        <w:rPr>
          <w:rFonts w:cs="Arial"/>
          <w:u w:val="single"/>
        </w:rPr>
        <w:t>Unapređenje regulatornog okvira</w:t>
      </w:r>
      <w:r w:rsidR="009F47C6">
        <w:rPr>
          <w:rFonts w:cs="Arial"/>
          <w:u w:val="single"/>
        </w:rPr>
        <w:t xml:space="preserve"> za digestat</w:t>
      </w:r>
    </w:p>
    <w:p w14:paraId="1EE049B7" w14:textId="4B3A49F7" w:rsidR="00F3409E" w:rsidRDefault="00F3409E" w:rsidP="00276CE9">
      <w:pPr>
        <w:ind w:left="142"/>
        <w:rPr>
          <w:rFonts w:cs="Arial"/>
          <w:u w:val="single"/>
        </w:rPr>
      </w:pPr>
      <w:r>
        <w:rPr>
          <w:rFonts w:cs="Arial"/>
        </w:rPr>
        <w:t>Potrebno je prilagoditi regulatorni</w:t>
      </w:r>
      <w:r w:rsidRPr="00F3409E">
        <w:rPr>
          <w:rFonts w:cs="Arial"/>
        </w:rPr>
        <w:t xml:space="preserve"> okvir </w:t>
      </w:r>
      <w:r>
        <w:rPr>
          <w:rFonts w:cs="Arial"/>
        </w:rPr>
        <w:t xml:space="preserve">u cilju unapređenja upravljanja </w:t>
      </w:r>
      <w:r w:rsidRPr="00F3409E">
        <w:rPr>
          <w:rFonts w:cs="Arial"/>
        </w:rPr>
        <w:t>(pokriveni spremnici za digestat, pasterizacija digestata iz biootpada</w:t>
      </w:r>
      <w:r>
        <w:rPr>
          <w:rFonts w:cs="Arial"/>
        </w:rPr>
        <w:t>, isl.</w:t>
      </w:r>
      <w:r w:rsidRPr="00F3409E">
        <w:rPr>
          <w:rFonts w:cs="Arial"/>
        </w:rPr>
        <w:t>) i korištenj</w:t>
      </w:r>
      <w:r>
        <w:rPr>
          <w:rFonts w:cs="Arial"/>
        </w:rPr>
        <w:t>a</w:t>
      </w:r>
      <w:r w:rsidRPr="00F3409E">
        <w:rPr>
          <w:rFonts w:cs="Arial"/>
        </w:rPr>
        <w:t xml:space="preserve"> digestata za gnojidbu (uvažavajući sadržaj makro i mikronutrijenata) čime se omogućuje dekarbonizacija poljoprivrede kroz veću primjenu korištenja organskih gnojiva, povećanje organske tvari u tlu te smanjenje troškova agro-inputa</w:t>
      </w:r>
      <w:r>
        <w:rPr>
          <w:rFonts w:cs="Arial"/>
        </w:rPr>
        <w:t>.</w:t>
      </w:r>
    </w:p>
    <w:p w14:paraId="718E162D" w14:textId="7673BA8B" w:rsidR="009614D0" w:rsidRDefault="00F3409E" w:rsidP="009614D0">
      <w:pPr>
        <w:rPr>
          <w:rFonts w:cs="Arial"/>
          <w:u w:val="single"/>
        </w:rPr>
      </w:pPr>
      <w:r>
        <w:rPr>
          <w:rFonts w:cs="Arial"/>
          <w:u w:val="single"/>
        </w:rPr>
        <w:t>POLJ-</w:t>
      </w:r>
      <w:r w:rsidR="00642B7C">
        <w:rPr>
          <w:rFonts w:cs="Arial"/>
          <w:u w:val="single"/>
        </w:rPr>
        <w:t>10</w:t>
      </w:r>
      <w:r>
        <w:rPr>
          <w:rFonts w:cs="Arial"/>
          <w:u w:val="single"/>
        </w:rPr>
        <w:t xml:space="preserve">: </w:t>
      </w:r>
      <w:r w:rsidR="009614D0">
        <w:rPr>
          <w:rFonts w:cs="Arial"/>
          <w:u w:val="single"/>
        </w:rPr>
        <w:t>Uspostava sabirno-logističkih centara za biomasu</w:t>
      </w:r>
    </w:p>
    <w:p w14:paraId="72F5ABC3" w14:textId="4BF76016" w:rsidR="009614D0" w:rsidRDefault="00F3409E" w:rsidP="009614D0">
      <w:pPr>
        <w:ind w:left="147"/>
        <w:rPr>
          <w:rFonts w:cs="Arial"/>
        </w:rPr>
      </w:pPr>
      <w:r w:rsidRPr="00F3409E">
        <w:rPr>
          <w:rFonts w:cs="Arial"/>
        </w:rPr>
        <w:t>U cilju razvoja tržišta biomase, a polazeći od činjenice da su hrvatska poljoprivredna gospodarstva najmanja u EU, uspostavit će se sabirno-logistički centri za biomasu koristeći postojeću infrastrukturu (komunalna poduzeća, centre kompetencija, poslovne zone</w:t>
      </w:r>
      <w:r>
        <w:rPr>
          <w:rFonts w:cs="Arial"/>
        </w:rPr>
        <w:t>)</w:t>
      </w:r>
      <w:r w:rsidRPr="00F3409E">
        <w:rPr>
          <w:rFonts w:cs="Arial"/>
        </w:rPr>
        <w:t xml:space="preserve"> kako bi se smanjio jedinični trošak proizvodnje proizvoda iz biomase te kapitalizirali inovacijski kapaciteti i neophodna oprema za inovativne proizvode iz biomase za bioekonomiju. Sabirno-logistički centri ima</w:t>
      </w:r>
      <w:r>
        <w:rPr>
          <w:rFonts w:cs="Arial"/>
        </w:rPr>
        <w:t>t će</w:t>
      </w:r>
      <w:r w:rsidRPr="00F3409E">
        <w:rPr>
          <w:rFonts w:cs="Arial"/>
        </w:rPr>
        <w:t xml:space="preserve"> ulogu poveznice između poljoprivrednika koji posjeduje biomasu, prerade biomase u nove proizvode s većom dodanom vrijednosti, razvoja novih proizvoda te plasiranj</w:t>
      </w:r>
      <w:r>
        <w:rPr>
          <w:rFonts w:cs="Arial"/>
        </w:rPr>
        <w:t>a</w:t>
      </w:r>
      <w:r w:rsidRPr="00F3409E">
        <w:rPr>
          <w:rFonts w:cs="Arial"/>
        </w:rPr>
        <w:t xml:space="preserve"> tih novih proizvoda na tržište. </w:t>
      </w:r>
    </w:p>
    <w:bookmarkEnd w:id="311"/>
    <w:p w14:paraId="26B7E645" w14:textId="77777777" w:rsidR="009614D0" w:rsidRDefault="009614D0" w:rsidP="00276CE9">
      <w:pPr>
        <w:rPr>
          <w:rFonts w:cs="Arial"/>
        </w:rPr>
      </w:pPr>
    </w:p>
    <w:p w14:paraId="610BBA47" w14:textId="467C8BB2" w:rsidR="00E6316B" w:rsidRDefault="00E6316B" w:rsidP="00E6316B">
      <w:pPr>
        <w:suppressAutoHyphens w:val="0"/>
        <w:spacing w:after="160" w:line="259" w:lineRule="auto"/>
        <w:jc w:val="left"/>
      </w:pPr>
      <w:r>
        <w:t xml:space="preserve">U nastavku su prikazane mjere vezane za </w:t>
      </w:r>
      <w:r w:rsidRPr="0031468F">
        <w:rPr>
          <w:b/>
        </w:rPr>
        <w:t>sektor korištenja zemljišta, prenamjene zemljišta i šumarstvo (LULUCF)</w:t>
      </w:r>
      <w:r>
        <w:t>.</w:t>
      </w:r>
    </w:p>
    <w:p w14:paraId="19F62FEE" w14:textId="03F4A67F" w:rsidR="00E6316B" w:rsidRDefault="00E6316B" w:rsidP="00E6316B">
      <w:pPr>
        <w:rPr>
          <w:rFonts w:cs="Arial"/>
          <w:u w:val="single"/>
        </w:rPr>
      </w:pPr>
      <w:r>
        <w:rPr>
          <w:rFonts w:cs="Arial"/>
          <w:u w:val="single"/>
        </w:rPr>
        <w:t>LUF</w:t>
      </w:r>
      <w:r w:rsidRPr="001025CD">
        <w:rPr>
          <w:rFonts w:cs="Arial"/>
          <w:u w:val="single"/>
        </w:rPr>
        <w:t>-</w:t>
      </w:r>
      <w:r>
        <w:rPr>
          <w:rFonts w:cs="Arial"/>
          <w:u w:val="single"/>
        </w:rPr>
        <w:t>1</w:t>
      </w:r>
      <w:r w:rsidRPr="001025CD">
        <w:rPr>
          <w:rFonts w:cs="Arial"/>
          <w:u w:val="single"/>
        </w:rPr>
        <w:t xml:space="preserve">: </w:t>
      </w:r>
      <w:r w:rsidRPr="00E6316B">
        <w:rPr>
          <w:rFonts w:cs="Arial"/>
          <w:u w:val="single"/>
        </w:rPr>
        <w:t>Unaprjeđenje izvješćivanja iz sektora LULUCF</w:t>
      </w:r>
    </w:p>
    <w:p w14:paraId="149973C9" w14:textId="76B91016" w:rsidR="00E6316B" w:rsidRDefault="00E6316B" w:rsidP="00E6316B">
      <w:pPr>
        <w:ind w:left="147"/>
        <w:rPr>
          <w:rFonts w:cs="Arial"/>
        </w:rPr>
      </w:pPr>
      <w:r w:rsidRPr="00E6316B">
        <w:rPr>
          <w:rFonts w:cs="Arial"/>
        </w:rPr>
        <w:t>Zemlje Priloga I UNFCCC-a, među kojima je i Hrvatska, dužne su sukladno Prilogu I Odluke 15/CP.17 kontinuirano preispitivati kvalitetu relevantnih tehničkih elemenata inventara emisija stakleničkih plinova. Radi ove obveze i odredbi Odluke 529/2013/EU, koja obvezuje zemlje da pripreme i izvješća o emisijama/odlivima iz aktivnosti Gospodarenje pašnjacima i Gospodarenje poljoprivrednim zemljištem, te dostave svoje konačne godišnje procjene za obračun najkasnije do 15.3.2022. godine, provedba ove mjere smatra se i dalje nužnom.</w:t>
      </w:r>
      <w:r>
        <w:rPr>
          <w:rFonts w:cs="Arial"/>
        </w:rPr>
        <w:t xml:space="preserve"> </w:t>
      </w:r>
      <w:r w:rsidRPr="00E6316B">
        <w:rPr>
          <w:rFonts w:cs="Arial"/>
        </w:rPr>
        <w:t>Za potrebe provedbe ove mjere, Ministarstvo zaštite okoliša i energetike definiralo je posebne projekte čija je provedba predviđena u periodu do 2020. godine. Definiranim projektima predviđeno je unapređenje izračuna emisija/odliva u pojedinim pohraništima LULUCF sektora (nadzemna i podzemna fitotvar, stelja, mrtvo drvo, tlo i drvni proizvodi), uspostava jedinstvenog informacijskog sustava identifikacije pokrova i uporabe zemljišta za sve kategorije zemljišta u LULUCF sektoru kao unapređenja u svezi izrade projekcija u LULUCF sektoru radi kvalitetnijeg i lakšeg budućeg planiranja akt</w:t>
      </w:r>
      <w:r w:rsidR="00D43BFD">
        <w:rPr>
          <w:rFonts w:cs="Arial"/>
        </w:rPr>
        <w:t>i</w:t>
      </w:r>
      <w:r w:rsidRPr="00E6316B">
        <w:rPr>
          <w:rFonts w:cs="Arial"/>
        </w:rPr>
        <w:t>vnosti u ovom sektoru. Za svaki od d</w:t>
      </w:r>
      <w:r>
        <w:rPr>
          <w:rFonts w:cs="Arial"/>
        </w:rPr>
        <w:t>e</w:t>
      </w:r>
      <w:r w:rsidRPr="00E6316B">
        <w:rPr>
          <w:rFonts w:cs="Arial"/>
        </w:rPr>
        <w:t>fin</w:t>
      </w:r>
      <w:r w:rsidR="0056173F">
        <w:rPr>
          <w:rFonts w:cs="Arial"/>
        </w:rPr>
        <w:t>i</w:t>
      </w:r>
      <w:r w:rsidRPr="00E6316B">
        <w:rPr>
          <w:rFonts w:cs="Arial"/>
        </w:rPr>
        <w:t>ranih projekta MZOE će odrediti načine i mehanizme financiranja u ovisnosti o sredstvima raspoloživim u pojedinim financijskim instrumentima u razdoblju do 2020. godine.</w:t>
      </w:r>
    </w:p>
    <w:p w14:paraId="7F8BF91D" w14:textId="73BDD7A7" w:rsidR="00E6316B" w:rsidRDefault="00E6316B" w:rsidP="00E6316B">
      <w:pPr>
        <w:rPr>
          <w:rFonts w:cs="Arial"/>
          <w:u w:val="single"/>
        </w:rPr>
      </w:pPr>
      <w:r>
        <w:rPr>
          <w:rFonts w:cs="Arial"/>
          <w:u w:val="single"/>
        </w:rPr>
        <w:t>LUF</w:t>
      </w:r>
      <w:r w:rsidRPr="001025CD">
        <w:rPr>
          <w:rFonts w:cs="Arial"/>
          <w:u w:val="single"/>
        </w:rPr>
        <w:t>-</w:t>
      </w:r>
      <w:r>
        <w:rPr>
          <w:rFonts w:cs="Arial"/>
          <w:u w:val="single"/>
        </w:rPr>
        <w:t>2</w:t>
      </w:r>
      <w:r w:rsidRPr="001025CD">
        <w:rPr>
          <w:rFonts w:cs="Arial"/>
          <w:u w:val="single"/>
        </w:rPr>
        <w:t xml:space="preserve">: </w:t>
      </w:r>
      <w:r w:rsidRPr="00E6316B">
        <w:rPr>
          <w:rFonts w:cs="Arial"/>
          <w:u w:val="single"/>
        </w:rPr>
        <w:t>Izrada analize troškova i koristi pošumljavanja na novim površinama i biološke obnove šuma kao mjere povećanja odliva u LULUCF sektoru</w:t>
      </w:r>
    </w:p>
    <w:p w14:paraId="37E0B829" w14:textId="74E654DD" w:rsidR="00E6316B" w:rsidRDefault="00E6316B" w:rsidP="00E6316B">
      <w:pPr>
        <w:ind w:left="147"/>
        <w:rPr>
          <w:rFonts w:cs="Arial"/>
        </w:rPr>
      </w:pPr>
      <w:r w:rsidRPr="00E6316B">
        <w:rPr>
          <w:rFonts w:cs="Arial"/>
        </w:rPr>
        <w:t>Promjene u odlivima stakleničkih plinova kao rezultat izravne promjene u korištenju zemljišta nastale ljudskim djelovanjem i aktivnostima u šumarstvu, ograničene od 1990. godine na pošumljavanje, ponovno pošumljavanje i krčenje, dozvoljeno je obračunati u nacionalnoj bilanci emisija i odliva stakleničkih plinova i koristiti za ispunjenje obveze iz Kyotskog protokola. Navedeno je propisano Člankom 3., stavkom 3. Kyotskog protokola za stranke obuhvaćene Dodatkom I. Kyotskog protokola.</w:t>
      </w:r>
      <w:r>
        <w:rPr>
          <w:rFonts w:cs="Arial"/>
        </w:rPr>
        <w:t xml:space="preserve"> </w:t>
      </w:r>
      <w:r w:rsidRPr="00E6316B">
        <w:rPr>
          <w:rFonts w:cs="Arial"/>
        </w:rPr>
        <w:t>Analizom troškova i koristi pošumljavanja na novim površinama ispitale bi se mogućnosti povećanja odliva stakleničkih plinova primjenom aktivnosti pošumljavanja na neobraslom proizvodnom šumskom tlu. Time bi se pokazala opravdanost uvođenja mogućih poticajnih mjera, kao što su primjerice pošumljavanje brzorastućim vrstama i biološka obnova šuma, ekvivalentno mjerama kojima se smanjuje emisija stakleničkih plinova. Provedba ove aktivnosti utvrđena je u Planu zaštite zraka, ozonskog sloja i ublažavanja klimatskih promjena u Republici Hrvatskoj za razdoblje od 2013. do 2017. godine (NN 139/13) te se njezina provedba, izvorno planirana za 2015. godinu, odgađa i predviđa za 2017. godinu.</w:t>
      </w:r>
    </w:p>
    <w:p w14:paraId="304F8CD0" w14:textId="2E3A19F1" w:rsidR="00E6316B" w:rsidRDefault="00E6316B" w:rsidP="00E6316B">
      <w:pPr>
        <w:rPr>
          <w:rFonts w:cs="Arial"/>
          <w:u w:val="single"/>
        </w:rPr>
      </w:pPr>
      <w:r>
        <w:rPr>
          <w:rFonts w:cs="Arial"/>
          <w:u w:val="single"/>
        </w:rPr>
        <w:t>LUF</w:t>
      </w:r>
      <w:r w:rsidRPr="001025CD">
        <w:rPr>
          <w:rFonts w:cs="Arial"/>
          <w:u w:val="single"/>
        </w:rPr>
        <w:t>-</w:t>
      </w:r>
      <w:r>
        <w:rPr>
          <w:rFonts w:cs="Arial"/>
          <w:u w:val="single"/>
        </w:rPr>
        <w:t>3</w:t>
      </w:r>
      <w:r w:rsidRPr="001025CD">
        <w:rPr>
          <w:rFonts w:cs="Arial"/>
          <w:u w:val="single"/>
        </w:rPr>
        <w:t xml:space="preserve">: </w:t>
      </w:r>
      <w:r w:rsidRPr="00E6316B">
        <w:rPr>
          <w:rFonts w:cs="Arial"/>
          <w:u w:val="single"/>
        </w:rPr>
        <w:t>Provedba Akcijskog plana za LULUCF sektor</w:t>
      </w:r>
    </w:p>
    <w:p w14:paraId="76D9D556" w14:textId="00981678" w:rsidR="00E6316B" w:rsidRDefault="00E6316B" w:rsidP="00E6316B">
      <w:pPr>
        <w:ind w:left="147"/>
        <w:rPr>
          <w:rFonts w:cs="Arial"/>
        </w:rPr>
      </w:pPr>
      <w:r w:rsidRPr="00E6316B">
        <w:rPr>
          <w:rFonts w:cs="Arial"/>
        </w:rPr>
        <w:t>Sukladno Odluci 529/2013/EU15 Republika Hrvatska dužna je bila, kao članica Europske unije, izraditi i dostaviti Europskoj komisiji informacije u LULUCF sektoru u skladu s člankom 10. Odluke 529/2013/EU. Plan je izrađen i dostavljen Europskoj komisiji 9. siječnja 2015. godine, i činiti će sastavni dio nacionalne strategije nisko-ugljičnog razvoja.</w:t>
      </w:r>
      <w:r>
        <w:rPr>
          <w:rFonts w:cs="Arial"/>
        </w:rPr>
        <w:t xml:space="preserve"> </w:t>
      </w:r>
      <w:r w:rsidRPr="00E6316B">
        <w:rPr>
          <w:rFonts w:cs="Arial"/>
        </w:rPr>
        <w:t>Pri izradi ovog plana, mjere u LULUCF sektoru Republike Hrvatske bile su priznate i preuzete iz odgovarajućih strategija, programa i zakona poput: Plan zaštite zraka, ozonskog sloja i ublažavanja klimatskih promjena u Republici Hrvatskoj za razdoblje od 2013. do 2017. godine (NN 139/13), Program ruralnog razvoja Republike Hrvatske za razdoblje od 2014. do 2020. godine, Pravilnik o višestrukoj sukladnosti (NN 32/15) i Šumskogospodarska osnova područja Republike Hrvatske za razdoblje od 2006. do 2015. godine. Prvi izvještaj o provedbi mjera poslan je Komisiji u skladu s člankom 10., paragraf 4.</w:t>
      </w:r>
    </w:p>
    <w:p w14:paraId="44A25907" w14:textId="10C66DF6" w:rsidR="003A1EAF" w:rsidRDefault="003A1EAF" w:rsidP="003A1EAF">
      <w:pPr>
        <w:suppressAutoHyphens w:val="0"/>
        <w:spacing w:after="160" w:line="259" w:lineRule="auto"/>
        <w:contextualSpacing/>
        <w:jc w:val="left"/>
      </w:pPr>
    </w:p>
    <w:p w14:paraId="2DBF19FE" w14:textId="77777777" w:rsidR="00C21988" w:rsidRDefault="00C21988" w:rsidP="005822F8">
      <w:pPr>
        <w:pStyle w:val="ListParagraph"/>
        <w:numPr>
          <w:ilvl w:val="0"/>
          <w:numId w:val="32"/>
        </w:numPr>
        <w:tabs>
          <w:tab w:val="clear" w:pos="431"/>
        </w:tabs>
        <w:suppressAutoHyphens w:val="0"/>
        <w:spacing w:after="160" w:line="259" w:lineRule="auto"/>
        <w:contextualSpacing/>
        <w:jc w:val="left"/>
      </w:pPr>
      <w:r>
        <w:t>Regionalna suradnja u ovom području.</w:t>
      </w:r>
    </w:p>
    <w:p w14:paraId="62FCFC76" w14:textId="2775292C" w:rsidR="00BF3DF5" w:rsidRDefault="00E1632F" w:rsidP="00276CE9">
      <w:pPr>
        <w:suppressAutoHyphens w:val="0"/>
        <w:spacing w:after="160" w:line="259" w:lineRule="auto"/>
        <w:contextualSpacing/>
      </w:pPr>
      <w:r w:rsidRPr="00276CE9">
        <w:t>Nije primjenjivo.</w:t>
      </w:r>
    </w:p>
    <w:p w14:paraId="1754FAB2" w14:textId="77777777" w:rsidR="00C21988" w:rsidRDefault="00C21988" w:rsidP="00276CE9">
      <w:pPr>
        <w:pStyle w:val="ListParagraph"/>
        <w:numPr>
          <w:ilvl w:val="0"/>
          <w:numId w:val="32"/>
        </w:numPr>
        <w:tabs>
          <w:tab w:val="clear" w:pos="431"/>
        </w:tabs>
        <w:suppressAutoHyphens w:val="0"/>
        <w:spacing w:after="160" w:line="259" w:lineRule="auto"/>
        <w:contextualSpacing/>
      </w:pPr>
      <w:r>
        <w:t>Ne dovodeći u pitanje primjenjivost pravila o državnoj potpori, financijske mjere u ovom području na nacionalnoj razini, uključujući potporu EU-a i upotrebu sredstava EU-a, ako je primjenjivo.</w:t>
      </w:r>
    </w:p>
    <w:p w14:paraId="1C8DB77A" w14:textId="7503056A" w:rsidR="00577FD9" w:rsidRDefault="00577FD9" w:rsidP="00577FD9">
      <w:pPr>
        <w:suppressAutoHyphens w:val="0"/>
        <w:spacing w:after="160" w:line="259" w:lineRule="auto"/>
        <w:contextualSpacing/>
        <w:jc w:val="left"/>
      </w:pPr>
      <w:r>
        <w:t>U izradi.</w:t>
      </w:r>
    </w:p>
    <w:p w14:paraId="322234D7" w14:textId="77777777" w:rsidR="00C21988" w:rsidRDefault="00C21988" w:rsidP="00302043">
      <w:pPr>
        <w:pStyle w:val="Heading3"/>
      </w:pPr>
      <w:bookmarkStart w:id="312" w:name="_Toc531935155"/>
      <w:bookmarkStart w:id="313" w:name="_Toc531945105"/>
      <w:r>
        <w:t>Energija iz obnovljivih izvora</w:t>
      </w:r>
      <w:bookmarkEnd w:id="312"/>
      <w:bookmarkEnd w:id="313"/>
      <w:r>
        <w:t xml:space="preserve"> </w:t>
      </w:r>
    </w:p>
    <w:p w14:paraId="6551DC18" w14:textId="77777777" w:rsidR="00C21988" w:rsidRDefault="00C21988" w:rsidP="00276CE9">
      <w:pPr>
        <w:pStyle w:val="ListParagraph"/>
        <w:numPr>
          <w:ilvl w:val="0"/>
          <w:numId w:val="33"/>
        </w:numPr>
        <w:tabs>
          <w:tab w:val="clear" w:pos="431"/>
        </w:tabs>
        <w:suppressAutoHyphens w:val="0"/>
        <w:spacing w:after="160" w:line="259" w:lineRule="auto"/>
        <w:contextualSpacing/>
      </w:pPr>
      <w:r>
        <w:t xml:space="preserve">Politike i mjere za ostvarivanje nacionalnog doprinosa obvezujućem cilju na razini EU-a za 2030. u pogledu energije iz obnovljivih izvora i putanja iz članka 4. točke (a) podtočke 2. i, ako je primjenjivo i dostupno, elemenata iz odjeljka 2.1.2., uključujući mjere specifične za sektor i mjere specifične za tehnologiju </w:t>
      </w:r>
    </w:p>
    <w:p w14:paraId="368B708D" w14:textId="433DBBFF" w:rsidR="003A1EAF" w:rsidRDefault="003A1EAF" w:rsidP="003A1EAF">
      <w:pPr>
        <w:suppressAutoHyphens w:val="0"/>
        <w:spacing w:after="160" w:line="259" w:lineRule="auto"/>
        <w:contextualSpacing/>
        <w:jc w:val="left"/>
      </w:pPr>
    </w:p>
    <w:p w14:paraId="6A96FFB3" w14:textId="0A410E47" w:rsidR="004D58C9" w:rsidRDefault="004D58C9" w:rsidP="00276CE9">
      <w:pPr>
        <w:suppressAutoHyphens w:val="0"/>
        <w:spacing w:after="160" w:line="259" w:lineRule="auto"/>
        <w:contextualSpacing/>
        <w:rPr>
          <w:u w:val="single"/>
        </w:rPr>
      </w:pPr>
      <w:bookmarkStart w:id="314" w:name="_Hlk531785681"/>
      <w:r w:rsidRPr="00276CE9">
        <w:rPr>
          <w:u w:val="single"/>
        </w:rPr>
        <w:t>OIE-1: Informativno-edukativne mjere</w:t>
      </w:r>
    </w:p>
    <w:p w14:paraId="2F16104B" w14:textId="77777777" w:rsidR="00032233" w:rsidRPr="00276CE9" w:rsidRDefault="00032233" w:rsidP="00276CE9">
      <w:pPr>
        <w:suppressAutoHyphens w:val="0"/>
        <w:spacing w:after="160" w:line="259" w:lineRule="auto"/>
        <w:contextualSpacing/>
        <w:rPr>
          <w:u w:val="single"/>
        </w:rPr>
      </w:pPr>
    </w:p>
    <w:p w14:paraId="7CCD61A7" w14:textId="27F68588" w:rsidR="005F6139" w:rsidRDefault="00280A24" w:rsidP="00276CE9">
      <w:pPr>
        <w:suppressAutoHyphens w:val="0"/>
        <w:spacing w:after="160" w:line="259" w:lineRule="auto"/>
        <w:ind w:left="142"/>
        <w:contextualSpacing/>
      </w:pPr>
      <w:r w:rsidRPr="00280A24">
        <w:t>Informiranje opće javnosti i ciljnih skupina provodit će se organizacijom ciljanih info-kam</w:t>
      </w:r>
      <w:r>
        <w:t>p</w:t>
      </w:r>
      <w:r w:rsidRPr="00280A24">
        <w:t xml:space="preserve">anja vezanih uz </w:t>
      </w:r>
      <w:r>
        <w:t xml:space="preserve">investiranje u sustave koji koriste obnovljive izvore energije, posebice u </w:t>
      </w:r>
      <w:r w:rsidR="001D5CD2">
        <w:t>sustave namijenjene za vlastite potrebe</w:t>
      </w:r>
      <w:r w:rsidRPr="00280A24">
        <w:t>.</w:t>
      </w:r>
      <w:r w:rsidR="001D5CD2">
        <w:t xml:space="preserve"> Mjera će se provoditi u cilju izgradnje kapaciteta potrošača koji proizvode energiju za vlastite potrebe i energetskih zajednica.</w:t>
      </w:r>
    </w:p>
    <w:p w14:paraId="3AC8F6DC" w14:textId="77777777" w:rsidR="00814148" w:rsidRDefault="00814148" w:rsidP="00276CE9">
      <w:pPr>
        <w:suppressAutoHyphens w:val="0"/>
        <w:spacing w:after="160" w:line="259" w:lineRule="auto"/>
        <w:contextualSpacing/>
      </w:pPr>
    </w:p>
    <w:p w14:paraId="3DDC7255" w14:textId="15208A15" w:rsidR="004D58C9" w:rsidRDefault="004D58C9" w:rsidP="00276CE9">
      <w:pPr>
        <w:suppressAutoHyphens w:val="0"/>
        <w:spacing w:after="160" w:line="259" w:lineRule="auto"/>
        <w:contextualSpacing/>
        <w:rPr>
          <w:u w:val="single"/>
        </w:rPr>
      </w:pPr>
      <w:r w:rsidRPr="00276CE9">
        <w:rPr>
          <w:u w:val="single"/>
        </w:rPr>
        <w:t xml:space="preserve">OIE-2: </w:t>
      </w:r>
      <w:bookmarkStart w:id="315" w:name="_Hlk531781224"/>
      <w:r w:rsidR="00966AC9" w:rsidRPr="00966AC9">
        <w:rPr>
          <w:u w:val="single"/>
        </w:rPr>
        <w:t>Prostorno-planski preduvjeti za korištenje obnovljivih izvora</w:t>
      </w:r>
      <w:bookmarkEnd w:id="315"/>
    </w:p>
    <w:p w14:paraId="3837AA59" w14:textId="77777777" w:rsidR="00032233" w:rsidRPr="00276CE9" w:rsidRDefault="00032233" w:rsidP="00276CE9">
      <w:pPr>
        <w:suppressAutoHyphens w:val="0"/>
        <w:spacing w:after="160" w:line="259" w:lineRule="auto"/>
        <w:contextualSpacing/>
        <w:rPr>
          <w:u w:val="single"/>
        </w:rPr>
      </w:pPr>
    </w:p>
    <w:p w14:paraId="7A86AB36" w14:textId="4C8550BA" w:rsidR="0074137E" w:rsidRDefault="00351F07" w:rsidP="00276CE9">
      <w:pPr>
        <w:suppressAutoHyphens w:val="0"/>
        <w:spacing w:after="160" w:line="259" w:lineRule="auto"/>
        <w:ind w:left="142"/>
        <w:contextualSpacing/>
      </w:pPr>
      <w:r w:rsidRPr="00351F07">
        <w:t>Prema Strategiji i akcijskom planu biološke i krajobrazne raznolikosti (NN 143/08) planirana je izrada i Implementacija Krajobrazne osnove Republike Hrvatske u suradnji relevantnih sektora (prostorno planiranje, zaštita prirode, zaštita okoliša, zaštita kulturne baštine, promet, poljoprivreda, šumarstvo, vodno</w:t>
      </w:r>
      <w:r>
        <w:t xml:space="preserve"> </w:t>
      </w:r>
      <w:r w:rsidRPr="00351F07">
        <w:t>gospodarstvo, rudarstvo, energetika, prosvjeta i znanost i dr.) u cilju identifikacije stanje obilježja krajobraza te njegove inventarizacije i kategorizacije. Na temelju izrađenog inventara prostora, MZOE će, prema potrebi, u suradnji s MGIPU pripremiti prostorno plansku dokumentaciju za identificirane lokacije</w:t>
      </w:r>
      <w:r w:rsidR="005F6139">
        <w:t>.</w:t>
      </w:r>
    </w:p>
    <w:p w14:paraId="1A3F988A" w14:textId="0A37D785" w:rsidR="00814148" w:rsidRDefault="00814148" w:rsidP="00276CE9">
      <w:pPr>
        <w:suppressAutoHyphens w:val="0"/>
        <w:spacing w:after="160" w:line="259" w:lineRule="auto"/>
        <w:contextualSpacing/>
      </w:pPr>
    </w:p>
    <w:p w14:paraId="3E8603F8" w14:textId="3176D806" w:rsidR="00A21FBF" w:rsidRPr="00765552" w:rsidRDefault="00A21FBF" w:rsidP="00A21FBF">
      <w:pPr>
        <w:suppressAutoHyphens w:val="0"/>
        <w:spacing w:after="160" w:line="259" w:lineRule="auto"/>
        <w:contextualSpacing/>
        <w:rPr>
          <w:u w:val="single"/>
        </w:rPr>
      </w:pPr>
      <w:r w:rsidRPr="00765552">
        <w:rPr>
          <w:u w:val="single"/>
        </w:rPr>
        <w:t>OIE-</w:t>
      </w:r>
      <w:r>
        <w:rPr>
          <w:u w:val="single"/>
        </w:rPr>
        <w:t>3</w:t>
      </w:r>
      <w:r w:rsidRPr="00765552">
        <w:rPr>
          <w:u w:val="single"/>
        </w:rPr>
        <w:t xml:space="preserve">: </w:t>
      </w:r>
      <w:r w:rsidR="00914504" w:rsidRPr="00914504">
        <w:rPr>
          <w:u w:val="single"/>
        </w:rPr>
        <w:t>Poticanje korištenja obnovljivih izvora energije za proizvodnju električne i toplinske energije</w:t>
      </w:r>
      <w:r w:rsidR="00914504" w:rsidRPr="00914504" w:rsidDel="00914504">
        <w:rPr>
          <w:u w:val="single"/>
        </w:rPr>
        <w:t xml:space="preserve"> </w:t>
      </w:r>
    </w:p>
    <w:p w14:paraId="36531F81" w14:textId="77777777" w:rsidR="00A21FBF" w:rsidRPr="00765552" w:rsidRDefault="00A21FBF" w:rsidP="00A21FBF">
      <w:pPr>
        <w:suppressAutoHyphens w:val="0"/>
        <w:spacing w:after="160" w:line="259" w:lineRule="auto"/>
        <w:contextualSpacing/>
        <w:rPr>
          <w:u w:val="single"/>
        </w:rPr>
      </w:pPr>
    </w:p>
    <w:p w14:paraId="2DEC6C9C" w14:textId="43C8DE9F" w:rsidR="00A21FBF" w:rsidRDefault="00753E40" w:rsidP="00753E40">
      <w:pPr>
        <w:suppressAutoHyphens w:val="0"/>
        <w:spacing w:after="160" w:line="259" w:lineRule="auto"/>
        <w:ind w:left="142"/>
        <w:contextualSpacing/>
      </w:pPr>
      <w:r>
        <w:t xml:space="preserve">Očekuje se uspostavljanje premijskog sustava u punoj funkcionalnosti do 2020. </w:t>
      </w:r>
      <w:r w:rsidR="00406230">
        <w:t>godine.</w:t>
      </w:r>
      <w:r w:rsidR="00103A53">
        <w:t xml:space="preserve"> Sukladno ciljevima za korištenje obnovljivih izvora energije i </w:t>
      </w:r>
      <w:r w:rsidR="00731135">
        <w:t>planiranom porastu</w:t>
      </w:r>
      <w:r w:rsidR="00103A53">
        <w:t xml:space="preserve"> </w:t>
      </w:r>
      <w:r w:rsidR="00BE42C0">
        <w:t xml:space="preserve">instalirane snage u svim tehnologijama, </w:t>
      </w:r>
      <w:r>
        <w:t>MZOE će svake godine izra</w:t>
      </w:r>
      <w:r w:rsidR="002A3224">
        <w:t>đivati trogodišnji</w:t>
      </w:r>
      <w:r>
        <w:t xml:space="preserve"> plan porasta snage OIE po vrsti i tehnologiji, s detaljnom razradom za naredn</w:t>
      </w:r>
      <w:r w:rsidR="002A3224">
        <w:t xml:space="preserve">u </w:t>
      </w:r>
      <w:r>
        <w:t>godin</w:t>
      </w:r>
      <w:r w:rsidR="002A3224">
        <w:t>u</w:t>
      </w:r>
      <w:r>
        <w:t xml:space="preserve">, do 30.9. godine koja prethodi planu. MZOE će najmanje jednom godišnje raspisati natječaj za izgradnju postrojenja </w:t>
      </w:r>
      <w:r w:rsidR="0055280D">
        <w:t>koja koriste</w:t>
      </w:r>
      <w:r>
        <w:t xml:space="preserve"> OIE.</w:t>
      </w:r>
    </w:p>
    <w:p w14:paraId="04D2E865" w14:textId="77777777" w:rsidR="00A21FBF" w:rsidRDefault="00A21FBF" w:rsidP="00276CE9">
      <w:pPr>
        <w:suppressAutoHyphens w:val="0"/>
        <w:spacing w:after="160" w:line="259" w:lineRule="auto"/>
        <w:contextualSpacing/>
      </w:pPr>
    </w:p>
    <w:p w14:paraId="2DB1455A" w14:textId="0C116344" w:rsidR="00814148" w:rsidRPr="00765552" w:rsidRDefault="00814148" w:rsidP="00276CE9">
      <w:pPr>
        <w:suppressAutoHyphens w:val="0"/>
        <w:spacing w:after="160" w:line="259" w:lineRule="auto"/>
        <w:contextualSpacing/>
        <w:rPr>
          <w:u w:val="single"/>
        </w:rPr>
      </w:pPr>
      <w:r w:rsidRPr="00765552">
        <w:rPr>
          <w:u w:val="single"/>
        </w:rPr>
        <w:t>OIE-</w:t>
      </w:r>
      <w:r w:rsidR="008110B6">
        <w:rPr>
          <w:u w:val="single"/>
        </w:rPr>
        <w:t>4</w:t>
      </w:r>
      <w:r w:rsidRPr="00765552">
        <w:rPr>
          <w:u w:val="single"/>
        </w:rPr>
        <w:t xml:space="preserve">: </w:t>
      </w:r>
      <w:r w:rsidR="00143EFF">
        <w:rPr>
          <w:u w:val="single"/>
        </w:rPr>
        <w:t>Razrada regulatornog okvira</w:t>
      </w:r>
    </w:p>
    <w:p w14:paraId="6566BC43" w14:textId="77777777" w:rsidR="00032233" w:rsidRPr="00765552" w:rsidRDefault="00032233" w:rsidP="00276CE9">
      <w:pPr>
        <w:suppressAutoHyphens w:val="0"/>
        <w:spacing w:after="160" w:line="259" w:lineRule="auto"/>
        <w:contextualSpacing/>
        <w:rPr>
          <w:u w:val="single"/>
        </w:rPr>
      </w:pPr>
    </w:p>
    <w:p w14:paraId="66F6AEAE" w14:textId="3BBCC18C" w:rsidR="005F6139" w:rsidRDefault="00814148" w:rsidP="00276CE9">
      <w:pPr>
        <w:suppressAutoHyphens w:val="0"/>
        <w:spacing w:after="160" w:line="259" w:lineRule="auto"/>
        <w:ind w:left="142"/>
        <w:contextualSpacing/>
      </w:pPr>
      <w:r>
        <w:t>R</w:t>
      </w:r>
      <w:r w:rsidR="00A674C2">
        <w:t xml:space="preserve">azrada regulatornog okvira za </w:t>
      </w:r>
      <w:r w:rsidR="00226B34">
        <w:t xml:space="preserve">agregatore, </w:t>
      </w:r>
      <w:r w:rsidR="00A674C2">
        <w:t xml:space="preserve">energetske zajednice </w:t>
      </w:r>
      <w:r w:rsidR="00FE565B">
        <w:t xml:space="preserve">(sudjelovanje </w:t>
      </w:r>
      <w:r w:rsidR="00A674C2">
        <w:t>u lokalnoj proizvo</w:t>
      </w:r>
      <w:r w:rsidR="00226B34">
        <w:t>d</w:t>
      </w:r>
      <w:r w:rsidR="00A674C2">
        <w:t>nji energije, distribuciji, pohrani</w:t>
      </w:r>
      <w:r w:rsidR="00D34E37">
        <w:t xml:space="preserve"> i</w:t>
      </w:r>
      <w:r w:rsidR="00A674C2">
        <w:t xml:space="preserve"> opskrbi</w:t>
      </w:r>
      <w:r w:rsidR="00D34E37">
        <w:t xml:space="preserve"> te pružanju energetskih usluga i usluga</w:t>
      </w:r>
      <w:r w:rsidR="00FE565B">
        <w:t>ma</w:t>
      </w:r>
      <w:r w:rsidR="00D34E37">
        <w:t xml:space="preserve"> agregacije</w:t>
      </w:r>
      <w:r w:rsidR="00226B34">
        <w:t>) i proizvodnju energije za vlastite potrebe</w:t>
      </w:r>
      <w:r w:rsidR="00D34E37">
        <w:t xml:space="preserve">, sukladno odredbama </w:t>
      </w:r>
      <w:r>
        <w:t>d</w:t>
      </w:r>
      <w:r w:rsidR="005F6139">
        <w:t>irektive</w:t>
      </w:r>
      <w:r>
        <w:t xml:space="preserve"> o električnoj energiji</w:t>
      </w:r>
      <w:r w:rsidR="005F6139">
        <w:t xml:space="preserve"> i </w:t>
      </w:r>
      <w:r w:rsidR="00A674C2">
        <w:t>uredbe o unutarnjem tržištu</w:t>
      </w:r>
      <w:r w:rsidR="001532DC">
        <w:t xml:space="preserve"> električne energije</w:t>
      </w:r>
      <w:r w:rsidR="00FE565B">
        <w:t>)</w:t>
      </w:r>
      <w:r w:rsidR="001532DC">
        <w:t>.</w:t>
      </w:r>
    </w:p>
    <w:p w14:paraId="5272237A" w14:textId="6ECEB939" w:rsidR="0074137E" w:rsidRDefault="0074137E" w:rsidP="00276CE9">
      <w:pPr>
        <w:suppressAutoHyphens w:val="0"/>
        <w:spacing w:after="160" w:line="259" w:lineRule="auto"/>
        <w:contextualSpacing/>
      </w:pPr>
    </w:p>
    <w:p w14:paraId="5B8DAC6A" w14:textId="1219D197" w:rsidR="00814148" w:rsidRPr="00765552" w:rsidRDefault="00814148" w:rsidP="00276CE9">
      <w:pPr>
        <w:suppressAutoHyphens w:val="0"/>
        <w:spacing w:after="160" w:line="259" w:lineRule="auto"/>
        <w:contextualSpacing/>
        <w:rPr>
          <w:u w:val="single"/>
        </w:rPr>
      </w:pPr>
      <w:r w:rsidRPr="00765552">
        <w:rPr>
          <w:u w:val="single"/>
        </w:rPr>
        <w:t>OIE-</w:t>
      </w:r>
      <w:r w:rsidR="008110B6">
        <w:rPr>
          <w:u w:val="single"/>
        </w:rPr>
        <w:t>5</w:t>
      </w:r>
      <w:r w:rsidRPr="00765552">
        <w:rPr>
          <w:u w:val="single"/>
        </w:rPr>
        <w:t xml:space="preserve">: </w:t>
      </w:r>
      <w:r>
        <w:rPr>
          <w:u w:val="single"/>
        </w:rPr>
        <w:t>Poticanje korištenja OIE na mjestu potrošnje</w:t>
      </w:r>
    </w:p>
    <w:p w14:paraId="16D3F6CB" w14:textId="77777777" w:rsidR="00032233" w:rsidRPr="00765552" w:rsidRDefault="00032233" w:rsidP="00276CE9">
      <w:pPr>
        <w:suppressAutoHyphens w:val="0"/>
        <w:spacing w:after="160" w:line="259" w:lineRule="auto"/>
        <w:contextualSpacing/>
        <w:rPr>
          <w:u w:val="single"/>
        </w:rPr>
      </w:pPr>
    </w:p>
    <w:p w14:paraId="4EF99427" w14:textId="0566C3CC" w:rsidR="004D58C9" w:rsidRDefault="0074137E" w:rsidP="00276CE9">
      <w:pPr>
        <w:suppressAutoHyphens w:val="0"/>
        <w:spacing w:after="160" w:line="259" w:lineRule="auto"/>
        <w:ind w:left="142"/>
        <w:contextualSpacing/>
      </w:pPr>
      <w:r>
        <w:t xml:space="preserve">Subvencioniranje investicije u tehnologije OIE za kupce s vlastitom proizvodnjom. </w:t>
      </w:r>
    </w:p>
    <w:p w14:paraId="7DB84FAE" w14:textId="77777777" w:rsidR="004D58C9" w:rsidRDefault="004D58C9" w:rsidP="004D58C9">
      <w:pPr>
        <w:suppressAutoHyphens w:val="0"/>
        <w:spacing w:after="160" w:line="259" w:lineRule="auto"/>
        <w:contextualSpacing/>
        <w:jc w:val="left"/>
      </w:pPr>
    </w:p>
    <w:p w14:paraId="46DA7BFA" w14:textId="43F4BD49" w:rsidR="004D58C9" w:rsidRPr="00567044" w:rsidRDefault="00FE565B" w:rsidP="004D58C9">
      <w:pPr>
        <w:suppressAutoHyphens w:val="0"/>
        <w:spacing w:after="160" w:line="259" w:lineRule="auto"/>
        <w:contextualSpacing/>
        <w:jc w:val="left"/>
        <w:rPr>
          <w:u w:val="single"/>
        </w:rPr>
      </w:pPr>
      <w:bookmarkStart w:id="316" w:name="_Hlk531641214"/>
      <w:r w:rsidRPr="00276CE9">
        <w:rPr>
          <w:u w:val="single"/>
        </w:rPr>
        <w:t>OIE-</w:t>
      </w:r>
      <w:r w:rsidR="008110B6">
        <w:rPr>
          <w:u w:val="single"/>
        </w:rPr>
        <w:t>6</w:t>
      </w:r>
      <w:r w:rsidR="00814148" w:rsidRPr="00276CE9">
        <w:rPr>
          <w:u w:val="single"/>
        </w:rPr>
        <w:t>:</w:t>
      </w:r>
      <w:r w:rsidRPr="00276CE9">
        <w:rPr>
          <w:u w:val="single"/>
        </w:rPr>
        <w:t xml:space="preserve"> </w:t>
      </w:r>
      <w:r w:rsidR="004D58C9" w:rsidRPr="00276CE9">
        <w:rPr>
          <w:u w:val="single"/>
        </w:rPr>
        <w:t>Potica</w:t>
      </w:r>
      <w:r w:rsidR="00814148" w:rsidRPr="00276CE9">
        <w:rPr>
          <w:u w:val="single"/>
        </w:rPr>
        <w:t>nje</w:t>
      </w:r>
      <w:r w:rsidR="004D58C9" w:rsidRPr="00276CE9">
        <w:rPr>
          <w:u w:val="single"/>
        </w:rPr>
        <w:t xml:space="preserve"> poljoprivrednik</w:t>
      </w:r>
      <w:r w:rsidR="00814148" w:rsidRPr="00276CE9">
        <w:rPr>
          <w:u w:val="single"/>
        </w:rPr>
        <w:t>a</w:t>
      </w:r>
      <w:r w:rsidR="004D58C9" w:rsidRPr="00276CE9">
        <w:rPr>
          <w:u w:val="single"/>
        </w:rPr>
        <w:t xml:space="preserve"> i vlasnik</w:t>
      </w:r>
      <w:r w:rsidR="00814148" w:rsidRPr="00276CE9">
        <w:rPr>
          <w:u w:val="single"/>
        </w:rPr>
        <w:t>a</w:t>
      </w:r>
      <w:r w:rsidR="004D58C9" w:rsidRPr="00276CE9">
        <w:rPr>
          <w:u w:val="single"/>
        </w:rPr>
        <w:t xml:space="preserve"> zemljišta na uzgoj biomase za energetske potrebe</w:t>
      </w:r>
    </w:p>
    <w:p w14:paraId="5604671E" w14:textId="77777777" w:rsidR="00032233" w:rsidRPr="00276CE9" w:rsidRDefault="00032233" w:rsidP="004D58C9">
      <w:pPr>
        <w:suppressAutoHyphens w:val="0"/>
        <w:spacing w:after="160" w:line="259" w:lineRule="auto"/>
        <w:contextualSpacing/>
        <w:jc w:val="left"/>
        <w:rPr>
          <w:highlight w:val="yellow"/>
        </w:rPr>
      </w:pPr>
    </w:p>
    <w:p w14:paraId="73807B57" w14:textId="77777777" w:rsidR="00625A6F" w:rsidRDefault="00625A6F" w:rsidP="00276CE9">
      <w:pPr>
        <w:suppressAutoHyphens w:val="0"/>
        <w:spacing w:after="160" w:line="259" w:lineRule="auto"/>
        <w:ind w:left="147"/>
        <w:contextualSpacing/>
      </w:pPr>
      <w:r>
        <w:t>Davanje prednosti zakupa nekorištenog poljoprivrednog zemljišta i degradiranog poljoprivrednog zemljišta koje je u vlasništvu države/JLS za namjensku proizvodnju biomase koje ostvaruje sekvestraciju ugljika, a za napredna biogoriva (biorafinerije), uz poštivanje zahtjeva održivosti.</w:t>
      </w:r>
    </w:p>
    <w:p w14:paraId="31D28756" w14:textId="41826112" w:rsidR="00814148" w:rsidRDefault="00625A6F" w:rsidP="00276CE9">
      <w:pPr>
        <w:suppressAutoHyphens w:val="0"/>
        <w:spacing w:after="160" w:line="259" w:lineRule="auto"/>
        <w:ind w:left="147"/>
        <w:contextualSpacing/>
        <w:rPr>
          <w:highlight w:val="yellow"/>
        </w:rPr>
      </w:pPr>
      <w:r>
        <w:t>U cilju apsorpcije atmosferskog ugljika, a u skladu s potrebama razvoja sektora hrane i bioekonomije (biorafinerije i anaerobna digestija), izraditi modele za vlasnike poljoprivrednog zemljišta koji bi ih motivirali da se to zemljište stavi u funkciju, bilo kroz zakup ili drugi način kompenzacije za sekvestraciju ugljika i proizvodnju biomase.</w:t>
      </w:r>
      <w:r w:rsidRPr="001021F1" w:rsidDel="00625A6F">
        <w:rPr>
          <w:highlight w:val="yellow"/>
        </w:rPr>
        <w:t xml:space="preserve"> </w:t>
      </w:r>
    </w:p>
    <w:p w14:paraId="0CB3D0E7" w14:textId="77777777" w:rsidR="001D5CD2" w:rsidRPr="00276CE9" w:rsidRDefault="001D5CD2" w:rsidP="004D58C9">
      <w:pPr>
        <w:suppressAutoHyphens w:val="0"/>
        <w:spacing w:after="160" w:line="259" w:lineRule="auto"/>
        <w:contextualSpacing/>
        <w:jc w:val="left"/>
        <w:rPr>
          <w:highlight w:val="yellow"/>
        </w:rPr>
      </w:pPr>
    </w:p>
    <w:p w14:paraId="46D2F53F" w14:textId="0838A46D" w:rsidR="004D58C9" w:rsidRPr="00276CE9" w:rsidRDefault="00814148" w:rsidP="004D58C9">
      <w:pPr>
        <w:suppressAutoHyphens w:val="0"/>
        <w:spacing w:after="160" w:line="259" w:lineRule="auto"/>
        <w:contextualSpacing/>
        <w:jc w:val="left"/>
        <w:rPr>
          <w:u w:val="single"/>
        </w:rPr>
      </w:pPr>
      <w:r w:rsidRPr="00276CE9">
        <w:rPr>
          <w:u w:val="single"/>
        </w:rPr>
        <w:t>OIE-</w:t>
      </w:r>
      <w:r w:rsidR="008110B6">
        <w:rPr>
          <w:u w:val="single"/>
        </w:rPr>
        <w:t>7</w:t>
      </w:r>
      <w:r w:rsidRPr="00276CE9">
        <w:rPr>
          <w:u w:val="single"/>
        </w:rPr>
        <w:t xml:space="preserve">: </w:t>
      </w:r>
      <w:r w:rsidR="00625A6F" w:rsidRPr="00276CE9">
        <w:rPr>
          <w:u w:val="single"/>
        </w:rPr>
        <w:t>Poticanje b</w:t>
      </w:r>
      <w:r w:rsidR="004D58C9" w:rsidRPr="00276CE9">
        <w:rPr>
          <w:u w:val="single"/>
        </w:rPr>
        <w:t>iorafinerij</w:t>
      </w:r>
      <w:r w:rsidR="00625A6F" w:rsidRPr="00276CE9">
        <w:rPr>
          <w:u w:val="single"/>
        </w:rPr>
        <w:t>a</w:t>
      </w:r>
    </w:p>
    <w:bookmarkEnd w:id="316"/>
    <w:p w14:paraId="26173A0B" w14:textId="6EE51354" w:rsidR="004D58C9" w:rsidRDefault="004D58C9" w:rsidP="004D58C9">
      <w:pPr>
        <w:suppressAutoHyphens w:val="0"/>
        <w:spacing w:after="160" w:line="259" w:lineRule="auto"/>
        <w:contextualSpacing/>
        <w:jc w:val="left"/>
      </w:pPr>
    </w:p>
    <w:p w14:paraId="6CD3140E" w14:textId="2BE2F00D" w:rsidR="00625A6F" w:rsidRDefault="00625A6F" w:rsidP="004D58C9">
      <w:pPr>
        <w:suppressAutoHyphens w:val="0"/>
        <w:spacing w:after="160" w:line="259" w:lineRule="auto"/>
        <w:contextualSpacing/>
        <w:jc w:val="left"/>
      </w:pPr>
      <w:r w:rsidRPr="00625A6F">
        <w:t xml:space="preserve">Za potrebe dekarbonizacije društva te razvoja sektora hrane i bioekonomije, promovirati razvoj biorafinerija gdje </w:t>
      </w:r>
      <w:r>
        <w:t>će</w:t>
      </w:r>
      <w:r w:rsidRPr="00625A6F">
        <w:t xml:space="preserve"> se, uz proizvodnju naprednih biogoriva, proizvodi</w:t>
      </w:r>
      <w:r>
        <w:t>ti</w:t>
      </w:r>
      <w:r w:rsidRPr="00625A6F">
        <w:t xml:space="preserve"> i biopolimeri i biokemikalije, neophodne za smanjenje ugljičnog otiska prehrambenih i farmaceutskih proizvoda (ambalaža iz bioplastike, dodaci prehrani i farmaceutici). </w:t>
      </w:r>
    </w:p>
    <w:p w14:paraId="2ED34FD8" w14:textId="63140398" w:rsidR="00625A6F" w:rsidRDefault="00625A6F" w:rsidP="004D58C9">
      <w:pPr>
        <w:suppressAutoHyphens w:val="0"/>
        <w:spacing w:after="160" w:line="259" w:lineRule="auto"/>
        <w:contextualSpacing/>
        <w:jc w:val="left"/>
      </w:pPr>
    </w:p>
    <w:p w14:paraId="5FA213F7" w14:textId="0DBB5C2C" w:rsidR="00625A6F" w:rsidRDefault="00625A6F" w:rsidP="00625A6F">
      <w:pPr>
        <w:rPr>
          <w:u w:val="single"/>
        </w:rPr>
      </w:pPr>
      <w:r>
        <w:rPr>
          <w:u w:val="single"/>
        </w:rPr>
        <w:t>OIE-</w:t>
      </w:r>
      <w:r w:rsidR="008110B6">
        <w:rPr>
          <w:u w:val="single"/>
        </w:rPr>
        <w:t>8</w:t>
      </w:r>
      <w:r>
        <w:rPr>
          <w:u w:val="single"/>
        </w:rPr>
        <w:t>: Izgradnja kapaciteta za bioekonomiju</w:t>
      </w:r>
    </w:p>
    <w:p w14:paraId="11DAB91C" w14:textId="0C51E896" w:rsidR="00625A6F" w:rsidRDefault="00625A6F" w:rsidP="00567044">
      <w:r>
        <w:t xml:space="preserve">Za </w:t>
      </w:r>
      <w:r w:rsidR="00E40F68">
        <w:t>poticanje</w:t>
      </w:r>
      <w:r>
        <w:t xml:space="preserve"> uključivanj</w:t>
      </w:r>
      <w:r w:rsidR="00E40F68">
        <w:t>a</w:t>
      </w:r>
      <w:r>
        <w:t xml:space="preserve"> u bioekonomiju i povećanje konkurentnosti industrije temeljene na biomasi, predlaže se izraditi nekoliko poslovnih modela s visokom replika</w:t>
      </w:r>
      <w:r w:rsidR="00D43BFD">
        <w:t>bil</w:t>
      </w:r>
      <w:r>
        <w:t xml:space="preserve">nosti za različite izvore, vrste i tijekove biomase, čime </w:t>
      </w:r>
      <w:r w:rsidR="00E40F68">
        <w:t>će</w:t>
      </w:r>
      <w:r>
        <w:t xml:space="preserve"> se </w:t>
      </w:r>
      <w:r w:rsidR="00E40F68">
        <w:t>potaknuti korištenje inovativnih poslovnih lanaca s vrednovanjem nus-proizvoda i bio-otpada koji se s</w:t>
      </w:r>
      <w:r w:rsidR="00D43BFD">
        <w:t>t</w:t>
      </w:r>
      <w:r w:rsidR="00E40F68">
        <w:t>varaju tijekom proizvodnog procesa</w:t>
      </w:r>
      <w:r>
        <w:t xml:space="preserve">. </w:t>
      </w:r>
    </w:p>
    <w:bookmarkEnd w:id="314"/>
    <w:p w14:paraId="0AE5841A" w14:textId="77777777" w:rsidR="00E40F68" w:rsidRDefault="00E40F68" w:rsidP="00276CE9"/>
    <w:p w14:paraId="326205FF" w14:textId="299A1F77" w:rsidR="003A1EAF" w:rsidRDefault="004D58C9" w:rsidP="0072238A">
      <w:pPr>
        <w:pStyle w:val="ListParagraph"/>
        <w:numPr>
          <w:ilvl w:val="0"/>
          <w:numId w:val="33"/>
        </w:numPr>
        <w:suppressAutoHyphens w:val="0"/>
        <w:spacing w:after="160" w:line="259" w:lineRule="auto"/>
        <w:contextualSpacing/>
        <w:jc w:val="left"/>
      </w:pPr>
      <w:r w:rsidRPr="00393F2A">
        <w:t>Financiranje mjera</w:t>
      </w:r>
    </w:p>
    <w:p w14:paraId="7638BD24" w14:textId="0A4DE960" w:rsidR="00393F2A" w:rsidRPr="00393F2A" w:rsidRDefault="00814148" w:rsidP="00393F2A">
      <w:pPr>
        <w:suppressAutoHyphens w:val="0"/>
        <w:spacing w:after="160" w:line="259" w:lineRule="auto"/>
        <w:contextualSpacing/>
        <w:jc w:val="left"/>
      </w:pPr>
      <w:r>
        <w:t>U izradi.</w:t>
      </w:r>
    </w:p>
    <w:p w14:paraId="10756335" w14:textId="77777777" w:rsidR="00C21988" w:rsidRDefault="00C21988" w:rsidP="005822F8">
      <w:pPr>
        <w:pStyle w:val="ListParagraph"/>
        <w:numPr>
          <w:ilvl w:val="0"/>
          <w:numId w:val="33"/>
        </w:numPr>
        <w:tabs>
          <w:tab w:val="clear" w:pos="431"/>
        </w:tabs>
        <w:suppressAutoHyphens w:val="0"/>
        <w:spacing w:after="160" w:line="259" w:lineRule="auto"/>
        <w:contextualSpacing/>
        <w:jc w:val="left"/>
      </w:pPr>
      <w:r>
        <w:t>Posebne mjere za regionalnu suradnju, kao i, izborno, procijenjeni višak proizvodnje energije iz obnovljivih izvora koji bi se mogao prenijeti na druge države članice kako bi se ostvarili nacionalni doprinos i putanje iz odjeljka 2.1.2.</w:t>
      </w:r>
    </w:p>
    <w:p w14:paraId="2DCB010C" w14:textId="18B5D05B" w:rsidR="004D58C9" w:rsidRDefault="00E1632F" w:rsidP="004D58C9">
      <w:pPr>
        <w:suppressAutoHyphens w:val="0"/>
        <w:spacing w:after="160" w:line="259" w:lineRule="auto"/>
        <w:contextualSpacing/>
        <w:jc w:val="left"/>
      </w:pPr>
      <w:r>
        <w:t>Nije primjenjivo.</w:t>
      </w:r>
    </w:p>
    <w:p w14:paraId="026B9D9B" w14:textId="77777777" w:rsidR="00C21988" w:rsidRDefault="00C21988" w:rsidP="005822F8">
      <w:pPr>
        <w:pStyle w:val="ListParagraph"/>
        <w:numPr>
          <w:ilvl w:val="0"/>
          <w:numId w:val="33"/>
        </w:numPr>
        <w:tabs>
          <w:tab w:val="clear" w:pos="431"/>
        </w:tabs>
        <w:suppressAutoHyphens w:val="0"/>
        <w:spacing w:after="160" w:line="259" w:lineRule="auto"/>
        <w:contextualSpacing/>
        <w:jc w:val="left"/>
      </w:pPr>
      <w:r>
        <w:t xml:space="preserve">Posebne mjere za financijsku potporu, ako je primjenjivo, uključujući potporu EU-a i uporabu sredstava EU-a, za promicanje proizvodnje i uporabe energije iz obnovljivih izvora u elektroenergetici, grijanju, hlađenju i prometu </w:t>
      </w:r>
    </w:p>
    <w:p w14:paraId="0068FFA6" w14:textId="0F631BB1" w:rsidR="004D58C9" w:rsidRDefault="004D58C9" w:rsidP="004D58C9">
      <w:pPr>
        <w:suppressAutoHyphens w:val="0"/>
        <w:spacing w:after="160" w:line="259" w:lineRule="auto"/>
        <w:contextualSpacing/>
        <w:jc w:val="left"/>
      </w:pPr>
      <w:r>
        <w:t>U izradi.</w:t>
      </w:r>
    </w:p>
    <w:p w14:paraId="758A035F" w14:textId="1206E869" w:rsidR="00C21988" w:rsidRDefault="00C21988" w:rsidP="005822F8">
      <w:pPr>
        <w:pStyle w:val="ListParagraph"/>
        <w:numPr>
          <w:ilvl w:val="0"/>
          <w:numId w:val="33"/>
        </w:numPr>
        <w:tabs>
          <w:tab w:val="clear" w:pos="431"/>
        </w:tabs>
        <w:suppressAutoHyphens w:val="0"/>
        <w:spacing w:after="160" w:line="259" w:lineRule="auto"/>
        <w:contextualSpacing/>
        <w:jc w:val="left"/>
      </w:pPr>
      <w:r>
        <w:t>Posebne mjere za uvođenje</w:t>
      </w:r>
      <w:r w:rsidR="00E35991">
        <w:t xml:space="preserve"> </w:t>
      </w:r>
      <w:r>
        <w:t>jedne ili više kontaktnih točaka, racionalizaciju administrativnih postupaka, davanje informacija i osposobljavanje te jačanje potrošača energije iz obnovljivih izvora koji sami proizvode i troše svoju energiju i energetskih zajednica</w:t>
      </w:r>
    </w:p>
    <w:p w14:paraId="2E775184" w14:textId="6B252D43" w:rsidR="004D58C9" w:rsidRDefault="004D58C9" w:rsidP="004D58C9">
      <w:pPr>
        <w:suppressAutoHyphens w:val="0"/>
        <w:spacing w:after="160" w:line="259" w:lineRule="auto"/>
        <w:contextualSpacing/>
        <w:jc w:val="left"/>
      </w:pPr>
      <w:r>
        <w:t>Predviđeno unutar OIE-1 „Informativno-edukativne mjere“.</w:t>
      </w:r>
    </w:p>
    <w:p w14:paraId="4AB038F7" w14:textId="77777777" w:rsidR="00C21988" w:rsidRDefault="00C21988" w:rsidP="005822F8">
      <w:pPr>
        <w:pStyle w:val="ListParagraph"/>
        <w:numPr>
          <w:ilvl w:val="0"/>
          <w:numId w:val="33"/>
        </w:numPr>
        <w:tabs>
          <w:tab w:val="clear" w:pos="431"/>
        </w:tabs>
        <w:suppressAutoHyphens w:val="0"/>
        <w:spacing w:after="160" w:line="259" w:lineRule="auto"/>
        <w:contextualSpacing/>
        <w:jc w:val="left"/>
      </w:pPr>
      <w:r>
        <w:t>Ako je primjenjivo, ocjena potrebe za izgradnjom nove infrastrukture za centralizirano grijanje i hlađenje proizvedeno iz obnovljivih izvora energije</w:t>
      </w:r>
    </w:p>
    <w:p w14:paraId="4BF52723" w14:textId="1265B3AD" w:rsidR="004D58C9" w:rsidRDefault="004D58C9" w:rsidP="004D58C9">
      <w:pPr>
        <w:suppressAutoHyphens w:val="0"/>
        <w:spacing w:after="160" w:line="259" w:lineRule="auto"/>
        <w:contextualSpacing/>
        <w:jc w:val="left"/>
      </w:pPr>
      <w:r>
        <w:t>Nije primjenjivo.</w:t>
      </w:r>
    </w:p>
    <w:p w14:paraId="65864A66" w14:textId="77777777" w:rsidR="00C21988" w:rsidRDefault="00C21988" w:rsidP="005822F8">
      <w:pPr>
        <w:pStyle w:val="ListParagraph"/>
        <w:numPr>
          <w:ilvl w:val="0"/>
          <w:numId w:val="33"/>
        </w:numPr>
        <w:tabs>
          <w:tab w:val="clear" w:pos="431"/>
        </w:tabs>
        <w:suppressAutoHyphens w:val="0"/>
        <w:spacing w:after="160" w:line="259" w:lineRule="auto"/>
        <w:contextualSpacing/>
        <w:jc w:val="left"/>
      </w:pPr>
      <w:r>
        <w:t>Ako je primjenjivo, posebne mjere za poticanje uporabe energije iz biomase, posebno za dobivanje nove biomase pritom uzimajući u obzir:</w:t>
      </w:r>
    </w:p>
    <w:p w14:paraId="6BE10FC2" w14:textId="77777777" w:rsidR="00C21988" w:rsidRDefault="00C21988" w:rsidP="005822F8">
      <w:pPr>
        <w:pStyle w:val="ListParagraph"/>
        <w:numPr>
          <w:ilvl w:val="1"/>
          <w:numId w:val="33"/>
        </w:numPr>
        <w:tabs>
          <w:tab w:val="clear" w:pos="431"/>
        </w:tabs>
        <w:suppressAutoHyphens w:val="0"/>
        <w:spacing w:after="160" w:line="259" w:lineRule="auto"/>
        <w:contextualSpacing/>
        <w:jc w:val="left"/>
      </w:pPr>
      <w:r>
        <w:t>dostupnost biomase: domaći potencijal i uvoz iz trećih zemalja</w:t>
      </w:r>
    </w:p>
    <w:p w14:paraId="3426641D" w14:textId="77777777" w:rsidR="00C21988" w:rsidRDefault="00C21988" w:rsidP="005822F8">
      <w:pPr>
        <w:pStyle w:val="ListParagraph"/>
        <w:numPr>
          <w:ilvl w:val="1"/>
          <w:numId w:val="33"/>
        </w:numPr>
        <w:tabs>
          <w:tab w:val="clear" w:pos="431"/>
        </w:tabs>
        <w:suppressAutoHyphens w:val="0"/>
        <w:spacing w:after="160" w:line="259" w:lineRule="auto"/>
        <w:contextualSpacing/>
        <w:jc w:val="left"/>
      </w:pPr>
      <w:r>
        <w:t>druge uporabe biomase u drugim sektorima (sektori poljoprivrede i šumarstva); kao i mjere za održivost proizvodnje i uporabe biomase</w:t>
      </w:r>
    </w:p>
    <w:p w14:paraId="304C3CD8" w14:textId="719EA754" w:rsidR="00FC3F28" w:rsidRDefault="00FC3F28" w:rsidP="00276CE9">
      <w:pPr>
        <w:suppressAutoHyphens w:val="0"/>
        <w:spacing w:after="160" w:line="259" w:lineRule="auto"/>
        <w:contextualSpacing/>
        <w:jc w:val="left"/>
      </w:pPr>
      <w:r>
        <w:t>Nije primjen</w:t>
      </w:r>
      <w:r w:rsidR="00697A38">
        <w:t>j</w:t>
      </w:r>
      <w:r>
        <w:t>ivo.</w:t>
      </w:r>
    </w:p>
    <w:p w14:paraId="3FDB6FE5" w14:textId="77777777" w:rsidR="00C21988" w:rsidRDefault="00C21988" w:rsidP="00302043">
      <w:pPr>
        <w:pStyle w:val="Heading3"/>
      </w:pPr>
      <w:bookmarkStart w:id="317" w:name="_Toc531935156"/>
      <w:bookmarkStart w:id="318" w:name="_Toc531945106"/>
      <w:r>
        <w:t>Ostali elementi dimenzije</w:t>
      </w:r>
      <w:bookmarkEnd w:id="317"/>
      <w:bookmarkEnd w:id="318"/>
    </w:p>
    <w:p w14:paraId="60608958" w14:textId="3275967C" w:rsidR="00C21988" w:rsidRDefault="00C21988" w:rsidP="005822F8">
      <w:pPr>
        <w:pStyle w:val="ListParagraph"/>
        <w:numPr>
          <w:ilvl w:val="0"/>
          <w:numId w:val="34"/>
        </w:numPr>
        <w:tabs>
          <w:tab w:val="clear" w:pos="431"/>
        </w:tabs>
        <w:suppressAutoHyphens w:val="0"/>
        <w:spacing w:after="160" w:line="259" w:lineRule="auto"/>
        <w:contextualSpacing/>
        <w:jc w:val="left"/>
      </w:pPr>
      <w:r>
        <w:t>Nacionalne politike i mjere koje utječu na sektor sustava trgovanja emisijama (ETS) i ocjena komplementarnosti sa sustavom trgovanja emisijama EU-a (EU ETS) i utjecaja na njega, ako je primjenjivo</w:t>
      </w:r>
    </w:p>
    <w:p w14:paraId="641AF49A" w14:textId="653B5560" w:rsidR="00E1632F" w:rsidRDefault="00E1632F" w:rsidP="00276CE9">
      <w:pPr>
        <w:suppressAutoHyphens w:val="0"/>
        <w:spacing w:after="160" w:line="259" w:lineRule="auto"/>
        <w:contextualSpacing/>
        <w:jc w:val="left"/>
      </w:pPr>
      <w:r>
        <w:t>Nije primjenjivo.</w:t>
      </w:r>
    </w:p>
    <w:p w14:paraId="7281D70C" w14:textId="7692067D" w:rsidR="00C21988" w:rsidRDefault="00C21988" w:rsidP="005822F8">
      <w:pPr>
        <w:pStyle w:val="ListParagraph"/>
        <w:numPr>
          <w:ilvl w:val="0"/>
          <w:numId w:val="34"/>
        </w:numPr>
        <w:tabs>
          <w:tab w:val="clear" w:pos="431"/>
        </w:tabs>
        <w:suppressAutoHyphens w:val="0"/>
        <w:spacing w:after="160" w:line="259" w:lineRule="auto"/>
        <w:contextualSpacing/>
        <w:jc w:val="left"/>
      </w:pPr>
      <w:r>
        <w:t>Strategije, planovi i mjere prilagodbe klimatskim promjenama</w:t>
      </w:r>
    </w:p>
    <w:p w14:paraId="5B0FD47B" w14:textId="35B7CC15" w:rsidR="00E1632F" w:rsidRDefault="00E1632F" w:rsidP="00276CE9">
      <w:pPr>
        <w:suppressAutoHyphens w:val="0"/>
        <w:spacing w:after="160" w:line="259" w:lineRule="auto"/>
        <w:contextualSpacing/>
        <w:jc w:val="left"/>
      </w:pPr>
      <w:r>
        <w:t>Prema Nacrtu Strategije prilagodbe klimatskim promjenama.</w:t>
      </w:r>
    </w:p>
    <w:p w14:paraId="7A23DEA4" w14:textId="0F0F38EC" w:rsidR="00C21988" w:rsidRDefault="00C21988" w:rsidP="005822F8">
      <w:pPr>
        <w:pStyle w:val="ListParagraph"/>
        <w:numPr>
          <w:ilvl w:val="0"/>
          <w:numId w:val="34"/>
        </w:numPr>
        <w:tabs>
          <w:tab w:val="clear" w:pos="431"/>
        </w:tabs>
        <w:suppressAutoHyphens w:val="0"/>
        <w:spacing w:after="160" w:line="259" w:lineRule="auto"/>
        <w:contextualSpacing/>
        <w:jc w:val="left"/>
      </w:pPr>
      <w:r>
        <w:t>Politike i mjere za ostvarivanje drugih nacionalnih ciljeva, ako je primjenjivo</w:t>
      </w:r>
    </w:p>
    <w:p w14:paraId="56077D71" w14:textId="3363B4F3" w:rsidR="00E1632F" w:rsidRDefault="00E1632F" w:rsidP="00C40F03">
      <w:pPr>
        <w:suppressAutoHyphens w:val="0"/>
        <w:spacing w:after="160" w:line="259" w:lineRule="auto"/>
        <w:contextualSpacing/>
        <w:jc w:val="left"/>
      </w:pPr>
      <w:r>
        <w:t>Nije primjenjivo.</w:t>
      </w:r>
    </w:p>
    <w:p w14:paraId="1321AE57" w14:textId="77777777" w:rsidR="00C24D56" w:rsidRDefault="00C24D56" w:rsidP="00276CE9">
      <w:pPr>
        <w:suppressAutoHyphens w:val="0"/>
        <w:spacing w:after="160" w:line="259" w:lineRule="auto"/>
        <w:contextualSpacing/>
        <w:jc w:val="left"/>
      </w:pPr>
    </w:p>
    <w:p w14:paraId="4D214060" w14:textId="11AB193C" w:rsidR="00C21988" w:rsidRDefault="00C21988" w:rsidP="005822F8">
      <w:pPr>
        <w:pStyle w:val="ListParagraph"/>
        <w:numPr>
          <w:ilvl w:val="0"/>
          <w:numId w:val="34"/>
        </w:numPr>
        <w:tabs>
          <w:tab w:val="clear" w:pos="431"/>
        </w:tabs>
        <w:suppressAutoHyphens w:val="0"/>
        <w:spacing w:after="160" w:line="259" w:lineRule="auto"/>
        <w:contextualSpacing/>
        <w:jc w:val="left"/>
      </w:pPr>
      <w:r>
        <w:t xml:space="preserve">Politike i mjere za postizanje mobilnosti s niskom razinom emisije (uključujući elektrifikaciju prometa) </w:t>
      </w:r>
    </w:p>
    <w:p w14:paraId="6BF3D255" w14:textId="0E29EDD7" w:rsidR="00E1632F" w:rsidRDefault="00E1632F" w:rsidP="00D32B0B">
      <w:pPr>
        <w:suppressAutoHyphens w:val="0"/>
        <w:spacing w:after="160" w:line="259" w:lineRule="auto"/>
        <w:contextualSpacing/>
        <w:jc w:val="left"/>
      </w:pPr>
    </w:p>
    <w:p w14:paraId="16C49091" w14:textId="77777777" w:rsidR="00E1632F" w:rsidRDefault="00E1632F" w:rsidP="00E1632F">
      <w:pPr>
        <w:suppressAutoHyphens w:val="0"/>
        <w:spacing w:after="160" w:line="259" w:lineRule="auto"/>
        <w:jc w:val="left"/>
      </w:pPr>
      <w:r>
        <w:t xml:space="preserve">U nastavku su prikazane mjere vezane za </w:t>
      </w:r>
      <w:r w:rsidRPr="0031468F">
        <w:rPr>
          <w:b/>
        </w:rPr>
        <w:t>sektor prometa</w:t>
      </w:r>
      <w:r>
        <w:t>.</w:t>
      </w:r>
    </w:p>
    <w:p w14:paraId="0DEAB8D6" w14:textId="77777777" w:rsidR="00E1632F" w:rsidRPr="001025CD" w:rsidRDefault="00E1632F" w:rsidP="00E1632F">
      <w:pPr>
        <w:rPr>
          <w:rFonts w:cs="Arial"/>
          <w:u w:val="single"/>
        </w:rPr>
      </w:pPr>
      <w:r w:rsidRPr="001025CD">
        <w:rPr>
          <w:rFonts w:cs="Arial"/>
          <w:u w:val="single"/>
        </w:rPr>
        <w:t>TR-1: Informiranje potrošača o ekonomičnosti potrošnje goriva i emisiji CO</w:t>
      </w:r>
      <w:r w:rsidRPr="001025CD">
        <w:rPr>
          <w:rFonts w:cs="Arial"/>
          <w:u w:val="single"/>
          <w:vertAlign w:val="subscript"/>
        </w:rPr>
        <w:t>2</w:t>
      </w:r>
      <w:r w:rsidRPr="001025CD">
        <w:rPr>
          <w:rFonts w:cs="Arial"/>
          <w:u w:val="single"/>
        </w:rPr>
        <w:t xml:space="preserve"> novih osobnih automobila</w:t>
      </w:r>
    </w:p>
    <w:p w14:paraId="00C19907" w14:textId="77777777" w:rsidR="00E1632F" w:rsidRPr="001025CD" w:rsidRDefault="00E1632F" w:rsidP="00E1632F">
      <w:pPr>
        <w:ind w:left="147"/>
        <w:rPr>
          <w:rFonts w:cs="Arial"/>
        </w:rPr>
      </w:pPr>
      <w:r w:rsidRPr="001025CD">
        <w:rPr>
          <w:rFonts w:cs="Arial"/>
        </w:rPr>
        <w:t>Sukladno Pravilniku o dostupnosti podataka o ekonomičnosti potrošnje goriva i emisiji CO</w:t>
      </w:r>
      <w:r w:rsidRPr="001025CD">
        <w:rPr>
          <w:rFonts w:cs="Arial"/>
          <w:vertAlign w:val="subscript"/>
        </w:rPr>
        <w:t>2</w:t>
      </w:r>
      <w:r w:rsidRPr="001025CD">
        <w:rPr>
          <w:rFonts w:cs="Arial"/>
        </w:rPr>
        <w:t xml:space="preserve"> iz novih putničkih vozila (NN 7/15) svaki dobavljač novih osobnih vozila namijenjenih prodaji dužan je omogućiti potrošačima dostupne informacije o razini potrošnje goriva i specifičnoj emisiji CO</w:t>
      </w:r>
      <w:r w:rsidRPr="001025CD">
        <w:rPr>
          <w:rFonts w:cs="Arial"/>
          <w:vertAlign w:val="subscript"/>
        </w:rPr>
        <w:t>2</w:t>
      </w:r>
      <w:r w:rsidRPr="001025CD">
        <w:rPr>
          <w:rFonts w:cs="Arial"/>
        </w:rPr>
        <w:t xml:space="preserve"> putničkih vozila. Ministarstvo unutarnjih poslova, kao središnje tijelo državne uprave nadležno za sigurnost cestovnog prometa, na osnovi Pravilnika jedanput godišnje, najkasnije do 31. ožujka tekuće godine izrađuje Vodič o ekonomičnosti potrošnje goriva i emisiji CO</w:t>
      </w:r>
      <w:r w:rsidRPr="001025CD">
        <w:rPr>
          <w:rFonts w:cs="Arial"/>
          <w:vertAlign w:val="subscript"/>
        </w:rPr>
        <w:t>2</w:t>
      </w:r>
      <w:r w:rsidRPr="001025CD">
        <w:rPr>
          <w:rFonts w:cs="Arial"/>
        </w:rPr>
        <w:t xml:space="preserve"> novih osobnih automobila koji su dostupni za kupovinu na tržištu u Republici Hrvatskoj. Vodič sadrži potrebne podatke za svaki model novih osobnih automobila dostupnih na domaćem tržištu.</w:t>
      </w:r>
    </w:p>
    <w:p w14:paraId="1E184643" w14:textId="10643292" w:rsidR="00E1632F" w:rsidRPr="001025CD" w:rsidRDefault="00E1632F" w:rsidP="00E1632F">
      <w:pPr>
        <w:rPr>
          <w:rFonts w:cs="Arial"/>
          <w:u w:val="single"/>
        </w:rPr>
      </w:pPr>
      <w:r w:rsidRPr="001025CD">
        <w:rPr>
          <w:rFonts w:cs="Arial"/>
          <w:u w:val="single"/>
        </w:rPr>
        <w:t>TR-2: Posebna naknada za okoliš za vozil</w:t>
      </w:r>
      <w:r w:rsidR="003360C9">
        <w:rPr>
          <w:rFonts w:cs="Arial"/>
          <w:u w:val="single"/>
        </w:rPr>
        <w:t>a</w:t>
      </w:r>
      <w:r w:rsidRPr="001025CD">
        <w:rPr>
          <w:rFonts w:cs="Arial"/>
          <w:u w:val="single"/>
        </w:rPr>
        <w:t xml:space="preserve"> na motorni pogon</w:t>
      </w:r>
    </w:p>
    <w:p w14:paraId="244C2BF8" w14:textId="77777777" w:rsidR="00E1632F" w:rsidRPr="001025CD" w:rsidRDefault="00E1632F" w:rsidP="00E1632F">
      <w:pPr>
        <w:ind w:left="147"/>
        <w:rPr>
          <w:rFonts w:cs="Arial"/>
        </w:rPr>
      </w:pPr>
      <w:r w:rsidRPr="001025CD">
        <w:rPr>
          <w:rFonts w:cs="Arial"/>
        </w:rPr>
        <w:t>Postojeći sustav plaćanja posebne naknade za okoliš na motornim vozilima uređen je Zakonom o Fondu za zaštitu okoliša i energetsku učinkovitost (NN 107/03, 144/12), Uredbom o jediničnim naknadama, korektivnim koeficijentima i pobližim kriterijima i mjerilima za utvrđivanje posebne naknade za okoliš na vozila na motorni pogon (NN 114/14, 147/14). Posebna naknada naplaćuje se uzimajući u obzir vrstu motora i goriva, radni volumen motora, vrstu vozila, emisiju CO</w:t>
      </w:r>
      <w:r w:rsidRPr="001025CD">
        <w:rPr>
          <w:rFonts w:cs="Arial"/>
          <w:vertAlign w:val="subscript"/>
        </w:rPr>
        <w:t>2</w:t>
      </w:r>
      <w:r w:rsidRPr="001025CD">
        <w:rPr>
          <w:rFonts w:cs="Arial"/>
        </w:rPr>
        <w:t xml:space="preserve"> i starost vozila.</w:t>
      </w:r>
    </w:p>
    <w:p w14:paraId="193F8DD8" w14:textId="77777777" w:rsidR="00E1632F" w:rsidRPr="001025CD" w:rsidRDefault="00E1632F" w:rsidP="00E1632F">
      <w:pPr>
        <w:rPr>
          <w:rFonts w:cs="Arial"/>
          <w:u w:val="single"/>
        </w:rPr>
      </w:pPr>
      <w:r w:rsidRPr="001025CD">
        <w:rPr>
          <w:rFonts w:cs="Arial"/>
          <w:u w:val="single"/>
        </w:rPr>
        <w:t>TR-3: Posebni porez za motorna vozila</w:t>
      </w:r>
    </w:p>
    <w:p w14:paraId="363150E7" w14:textId="77777777" w:rsidR="00E1632F" w:rsidRPr="001025CD" w:rsidRDefault="00E1632F" w:rsidP="00E1632F">
      <w:pPr>
        <w:ind w:left="147"/>
        <w:rPr>
          <w:rFonts w:cs="Arial"/>
        </w:rPr>
      </w:pPr>
      <w:r w:rsidRPr="001025CD">
        <w:rPr>
          <w:rFonts w:cs="Arial"/>
        </w:rPr>
        <w:t>Bazirajući se na načelu „onečišćivač plaća“, model se obračunava s obzirom na emisije CO2 u zrak iz motornih vozila. Posebni porez utvrđuje se na temelju prodajne, odnosno tržišne cijene motornog vozila, emisije CO2 izražene u gramima po kilometru, obujmu motora u kubičnim centimetrima i razini emisije stakleničkih plinova. Ovim posebnim porezom potiče se kupovina učinkovitih vozila i vozila s manjim emisijama stakleničkih plinova. Donošenjem Zakona o posebnom porezu na motorna vozila (NN 15/13, 108/13, 115/16, 127/17) osigurana je primjena i provođenje mjere</w:t>
      </w:r>
    </w:p>
    <w:p w14:paraId="1CF97D4F" w14:textId="77777777" w:rsidR="00E1632F" w:rsidRPr="001025CD" w:rsidRDefault="00E1632F" w:rsidP="00E1632F">
      <w:pPr>
        <w:rPr>
          <w:rFonts w:cs="Arial"/>
          <w:u w:val="single"/>
        </w:rPr>
      </w:pPr>
      <w:r w:rsidRPr="001025CD">
        <w:rPr>
          <w:rFonts w:cs="Arial"/>
          <w:u w:val="single"/>
        </w:rPr>
        <w:t>TR-4: Praćenje, izvještavanje i verifikacija emisija stakleničkih plinova u životnom vijeku tekućih goriva</w:t>
      </w:r>
    </w:p>
    <w:p w14:paraId="2A48F127" w14:textId="77777777" w:rsidR="00E1632F" w:rsidRPr="001025CD" w:rsidRDefault="00E1632F" w:rsidP="00E1632F">
      <w:pPr>
        <w:ind w:left="147"/>
        <w:rPr>
          <w:rFonts w:cs="Arial"/>
        </w:rPr>
      </w:pPr>
      <w:r w:rsidRPr="001025CD">
        <w:rPr>
          <w:rFonts w:cs="Arial"/>
        </w:rPr>
        <w:t>U skladu sa Zakonom o zaštiti zraka (NN 130/11, 47/14, 61/17), dobavljač koji stavlja gorivo na domaće tržište će pratiti emisije stakleničkih plinova po jedinici energije za vrijeme trajanja goriva. Dobavljači trebaju sastaviti izvješće koje treba biti ovjereno i dostavljeno Hrvatskoj agenciji za okoliš i prirodu.</w:t>
      </w:r>
    </w:p>
    <w:p w14:paraId="4B583A83" w14:textId="77777777" w:rsidR="00E1632F" w:rsidRPr="001025CD" w:rsidRDefault="00E1632F" w:rsidP="00E1632F">
      <w:pPr>
        <w:ind w:left="147"/>
        <w:rPr>
          <w:rFonts w:cs="Arial"/>
        </w:rPr>
      </w:pPr>
      <w:r w:rsidRPr="001025CD">
        <w:rPr>
          <w:rFonts w:cs="Arial"/>
        </w:rPr>
        <w:t>Sukladno Zakonu, Uredbom o kvaliteti tekućih naftnih goriva i načinu praćenja i izvještavanja te metodologiji izračuna emisija stakleničkih plinova u životnom vijeku isporučenih goriva i energije (NN 57/17) Vlade RH, propisuju se granične vrijednosti sastavnica i/ili značajki kvalitete tekućih naftnih goriva, način utvrđivanja i praćenja kvalitete tekućih naftnih goriva, uvjeti za rad laboratorija za uzorkovanje i laboratorijsku analizu kvalitete tekućih naftnih goriva, način dokazivanja sukladnosti proizvoda, naziv i označavanje proizvoda, način i rokovi dostave izvješća o kvaliteti tekućih naftnih goriva i izvješća o emisijama stakleničkih plinova u životnom vijeku goriva i energije Hrvatskoj agenciji za okoliš i prirodu, način praćenja i izvješćivanja, metodologija izračuna emisija stakleničkih plinova u životnom vijeku goriva i energije, metodologija utvrđivanja razine emisija stakleničkih plinova u životnom vijeku goriva po energetskoj jedinici za baznu 2010. godinu, metodologija izračuna doprinosa električnih cestovnih vozila smanjenju emisija stakleničkih plinova, format izvješća i duljina čuvanja te način dostave podataka nadležnim tijelima Europske unije.</w:t>
      </w:r>
    </w:p>
    <w:p w14:paraId="12C98929" w14:textId="77777777" w:rsidR="00E1632F" w:rsidRPr="001025CD" w:rsidRDefault="00E1632F" w:rsidP="00E1632F">
      <w:pPr>
        <w:rPr>
          <w:rFonts w:cs="Arial"/>
          <w:u w:val="single"/>
        </w:rPr>
      </w:pPr>
      <w:r w:rsidRPr="001025CD">
        <w:rPr>
          <w:rFonts w:cs="Arial"/>
          <w:u w:val="single"/>
        </w:rPr>
        <w:t>TR-5: Obveza korištenja biogoriva u prometu</w:t>
      </w:r>
    </w:p>
    <w:p w14:paraId="589FAE01" w14:textId="77777777" w:rsidR="00E1632F" w:rsidRPr="001025CD" w:rsidRDefault="00E1632F" w:rsidP="00E1632F">
      <w:pPr>
        <w:ind w:left="147"/>
        <w:rPr>
          <w:rFonts w:cs="Arial"/>
        </w:rPr>
      </w:pPr>
      <w:r w:rsidRPr="001025CD">
        <w:rPr>
          <w:rFonts w:cs="Arial"/>
        </w:rPr>
        <w:t>Osnovna odredba koja regulira i promiče uporabu biogoriva je Zakon o biogorivima za prijevoz (NN 65/09, 145/10, 26/11, 144/12, 14/14, 94/18).</w:t>
      </w:r>
    </w:p>
    <w:p w14:paraId="00E33A7A" w14:textId="77777777" w:rsidR="00E1632F" w:rsidRPr="001025CD" w:rsidRDefault="00E1632F" w:rsidP="00E1632F">
      <w:pPr>
        <w:ind w:left="147"/>
        <w:rPr>
          <w:rFonts w:cs="Arial"/>
        </w:rPr>
      </w:pPr>
      <w:r w:rsidRPr="001025CD">
        <w:rPr>
          <w:rFonts w:cs="Arial"/>
        </w:rPr>
        <w:t>Temeljem ovog zakona, 2010. godine pripremljen je Nacionalni akcijski plan koji promovira proizvodnju i uporabu biogoriva u prijevozu za razdoblje od 2011. do 2020. godine. Planom se utvrđuje politika koja promiče povećanu proizvodnju i uporabu biogoriva u prijevozu u Republici Hrvatskoj. Plan sadrži pregled i procjenu stanja na tržištu goriva za transport i zaštitu zraka, usporedbenu analizu , dugoročne ciljeve, uključujući ciljano tržište biogoriva i mjere za promicanje povećane proizvodnje i korištenja biogoriva u transportu.</w:t>
      </w:r>
    </w:p>
    <w:p w14:paraId="28471331" w14:textId="77777777" w:rsidR="00E1632F" w:rsidRPr="001025CD" w:rsidRDefault="00E1632F" w:rsidP="00E1632F">
      <w:pPr>
        <w:ind w:left="147"/>
        <w:rPr>
          <w:rFonts w:cs="Arial"/>
        </w:rPr>
      </w:pPr>
      <w:r w:rsidRPr="001025CD">
        <w:rPr>
          <w:rFonts w:cs="Arial"/>
        </w:rPr>
        <w:t>Mjere propisane akcijskim planom uključuju mjere koje promiču proizvodnju sirovina za proizvodnju biogoriva, mjere koje promiču proizvodnju biogoriva s obzirom na naknadu za promociju proizvodnje, mjere koje promiču potrošnju biogoriva s obzirom na distributere tekućih naftnih derivata radi postavljanja biogoriva na tržište, administrativne mjere i aktivnosti istraživanja i razvoja. Nacionalni akcijski plan za obnovljive izvore energije iz 2013. godine utvrdio je ciljeve i politike vezane za povećanje udjela OIE u finalnoj potrošnji energije do 2020. godine te posebno procijenjeni doprinos energije biogoriva u prometu.</w:t>
      </w:r>
    </w:p>
    <w:p w14:paraId="49B81378" w14:textId="77777777" w:rsidR="00E1632F" w:rsidRPr="001025CD" w:rsidRDefault="00E1632F" w:rsidP="00E1632F">
      <w:pPr>
        <w:ind w:left="147"/>
        <w:rPr>
          <w:rFonts w:cs="Arial"/>
        </w:rPr>
      </w:pPr>
      <w:r w:rsidRPr="001025CD">
        <w:rPr>
          <w:rFonts w:cs="Arial"/>
        </w:rPr>
        <w:t>U narednom razdoblju Hrvatska bi trebala transponirati obveze iz konačnog prijedloga revizije Direktive o obnovljivim izvorima energije koji je usvojen u lipnju 2018. godine (cilj od 14 posto obnovljivih izvora energije u sektoru prometa u 2030. godini).</w:t>
      </w:r>
    </w:p>
    <w:p w14:paraId="35CFD1AD" w14:textId="77777777" w:rsidR="00E1632F" w:rsidRPr="001025CD" w:rsidRDefault="00E1632F" w:rsidP="00E1632F">
      <w:pPr>
        <w:rPr>
          <w:rFonts w:cs="Arial"/>
          <w:u w:val="single"/>
        </w:rPr>
      </w:pPr>
      <w:r w:rsidRPr="001025CD">
        <w:rPr>
          <w:rFonts w:cs="Arial"/>
          <w:u w:val="single"/>
        </w:rPr>
        <w:t>TR-6: Promicanje čistih i energetskih učinkovitih vozila u cestovnom prijevozu</w:t>
      </w:r>
    </w:p>
    <w:p w14:paraId="00ABAB60" w14:textId="77777777" w:rsidR="00E1632F" w:rsidRPr="001025CD" w:rsidRDefault="00E1632F" w:rsidP="00E1632F">
      <w:pPr>
        <w:ind w:left="147"/>
        <w:rPr>
          <w:rFonts w:cs="Arial"/>
        </w:rPr>
      </w:pPr>
      <w:r w:rsidRPr="001025CD">
        <w:rPr>
          <w:rFonts w:cs="Arial"/>
        </w:rPr>
        <w:t>Mjera koju uređuje Zakon o promicanju čistih i energetski učinkovitih vozila u cestovnom prometu (NN 127/13), koji definira da svi naručitelji i prijevoznici koji obavljaju javni linijski prijevoz putnika na temelju ugovora o obavljanju javnih usluga, pri kupnji vozila za cestovni prijevoz moraju uzeti u obzir energetske učinke i učinke na okoliš istog tijekom razdoblja eksploatacije vozila.</w:t>
      </w:r>
    </w:p>
    <w:p w14:paraId="54DA26F7" w14:textId="77777777" w:rsidR="00E1632F" w:rsidRPr="001025CD" w:rsidRDefault="00E1632F" w:rsidP="00E1632F">
      <w:pPr>
        <w:rPr>
          <w:rFonts w:cs="Arial"/>
          <w:u w:val="single"/>
        </w:rPr>
      </w:pPr>
      <w:r w:rsidRPr="001025CD">
        <w:rPr>
          <w:rFonts w:cs="Arial"/>
          <w:u w:val="single"/>
        </w:rPr>
        <w:t>TR-7: Poticanje intermodalnog prometa</w:t>
      </w:r>
    </w:p>
    <w:p w14:paraId="5015A833" w14:textId="77777777" w:rsidR="00E1632F" w:rsidRPr="001025CD" w:rsidRDefault="00E1632F" w:rsidP="00E1632F">
      <w:pPr>
        <w:ind w:left="147"/>
        <w:rPr>
          <w:rFonts w:cs="Arial"/>
        </w:rPr>
      </w:pPr>
      <w:r w:rsidRPr="001025CD">
        <w:rPr>
          <w:rFonts w:cs="Arial"/>
        </w:rPr>
        <w:t>Mjera uređena Zakonom o kombiniranom prijevozu tereta (NN 120/16), odnosno Pravilnikom o poticajima u kombiniranom prijevozu tereta (NN 5/18), kojim su propisani poticaji u kombiniranom prijevozu tereta željeznicom, unutarnjim vodama ili morem, te poticaji u kombiniranom prijevozu tereta cestovnom dionicom.</w:t>
      </w:r>
    </w:p>
    <w:p w14:paraId="69E282FE" w14:textId="77777777" w:rsidR="00E1632F" w:rsidRPr="001025CD" w:rsidRDefault="00E1632F" w:rsidP="00E1632F">
      <w:pPr>
        <w:rPr>
          <w:rFonts w:cs="Arial"/>
          <w:u w:val="single"/>
        </w:rPr>
      </w:pPr>
      <w:r w:rsidRPr="001025CD">
        <w:rPr>
          <w:rFonts w:cs="Arial"/>
          <w:u w:val="single"/>
        </w:rPr>
        <w:t>TR-8: Zakonodavna prilagodba odredbi o uspostavi infrastrukture za alternativna goriva</w:t>
      </w:r>
    </w:p>
    <w:p w14:paraId="31C83BA4" w14:textId="23E1BC68" w:rsidR="00E1632F" w:rsidRPr="001025CD" w:rsidRDefault="00E1632F" w:rsidP="00E1632F">
      <w:pPr>
        <w:ind w:left="147"/>
        <w:rPr>
          <w:rFonts w:cs="Arial"/>
        </w:rPr>
      </w:pPr>
      <w:r w:rsidRPr="001025CD">
        <w:rPr>
          <w:rFonts w:cs="Arial"/>
        </w:rPr>
        <w:t xml:space="preserve">Na nacionalnoj razini potrebno je donijeti zakonske i podzakonske akte kojima će se urediti određivanje uvjeta za punionice za električna vozila, uvjete distribuiranja, naplate i jediničnu cijenu alternativnih energenata koji se koriste u prometu, određivanje uvjeta punionica za ukapljeni prirodni plin i stlačeni prirodni plin. Potrebno je predvidjeti izmjene i dopune zakona koji reguliraju prometnu regulativnu </w:t>
      </w:r>
      <w:r w:rsidR="00D43BFD">
        <w:rPr>
          <w:rFonts w:cs="Arial"/>
        </w:rPr>
        <w:t>tako</w:t>
      </w:r>
      <w:r w:rsidRPr="001025CD">
        <w:rPr>
          <w:rFonts w:cs="Arial"/>
        </w:rPr>
        <w:t xml:space="preserve"> da se propišu obaveze uspostave infrastrukture za alternativna goriva za subjekte koji upravljaju prometnom infrastrukturom, te dopune zakona koji reguliraju uvjete građenja parkirališnih prostora tako da se uvede obveza postojanja punionica alternativnim gorivima. Ispunjenje ove obaveze preduvjet su daljnjeg razvoja infrastrukture alternativnih goriva.</w:t>
      </w:r>
    </w:p>
    <w:p w14:paraId="69A4D599" w14:textId="77777777" w:rsidR="00E1632F" w:rsidRPr="001025CD" w:rsidRDefault="00E1632F" w:rsidP="00E1632F">
      <w:pPr>
        <w:rPr>
          <w:rFonts w:cs="Arial"/>
          <w:u w:val="single"/>
        </w:rPr>
      </w:pPr>
      <w:r w:rsidRPr="001025CD">
        <w:rPr>
          <w:rFonts w:cs="Arial"/>
          <w:u w:val="single"/>
        </w:rPr>
        <w:t>TR-9: Financijski poticaji za energetski učinkovita vozila</w:t>
      </w:r>
    </w:p>
    <w:p w14:paraId="73A3324F" w14:textId="77777777" w:rsidR="00E1632F" w:rsidRPr="001025CD" w:rsidRDefault="00E1632F" w:rsidP="00E1632F">
      <w:pPr>
        <w:ind w:left="147"/>
        <w:rPr>
          <w:rFonts w:cs="Arial"/>
        </w:rPr>
      </w:pPr>
      <w:r w:rsidRPr="001025CD">
        <w:rPr>
          <w:rFonts w:cs="Arial"/>
        </w:rPr>
        <w:t>U kontekstu sufinanciranja projekata čišćeg prometa, potrebno je definirati posebne linije sufinanciranja za specifične namjene i to za kupnju vozila s pogonom na električnu energiju, stlačeni i ukapljeni prirodni plin i vodik. Poticajne mjere sufinanciranja nabave vozila bit će prvenstveno orijentirane na alternativna goriva za koje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w:t>
      </w:r>
    </w:p>
    <w:p w14:paraId="56CDF7D6" w14:textId="77777777" w:rsidR="00E1632F" w:rsidRPr="001025CD" w:rsidRDefault="00E1632F" w:rsidP="00E1632F">
      <w:pPr>
        <w:rPr>
          <w:rFonts w:cs="Arial"/>
          <w:u w:val="single"/>
        </w:rPr>
      </w:pPr>
      <w:r w:rsidRPr="001025CD">
        <w:rPr>
          <w:rFonts w:cs="Arial"/>
          <w:u w:val="single"/>
        </w:rPr>
        <w:t>TR-10: Razvoj infrastrukture za alternativna goriva</w:t>
      </w:r>
    </w:p>
    <w:p w14:paraId="36A99F64" w14:textId="77777777" w:rsidR="00E1632F" w:rsidRPr="001025CD" w:rsidRDefault="00E1632F" w:rsidP="00E1632F">
      <w:pPr>
        <w:ind w:left="147"/>
        <w:rPr>
          <w:rFonts w:cs="Arial"/>
        </w:rPr>
      </w:pPr>
      <w:r w:rsidRPr="001025CD">
        <w:rPr>
          <w:rFonts w:cs="Arial"/>
        </w:rPr>
        <w:t>Cilj ove mjere je olakšati prihvaćanje alternativnih goriva od strane korisnika/potrošača jačanjem infrastrukture za distribuciju alternativnih goriva i provedbom zajedničkih tehničkih specifikacija za ovu infrastrukturu. Mjera prati Direktivu o uspostavi infrastrukture za alternativna goriva (2014/94), Zakon o uspostavi infrastrukture za alternativna goriva (NN 120/16) i Nacionalni okvir politike za uspostavu infrastrukture i razvoj tržišta alternativnih goriva u prometu (NOP, NN 34/17) te potiče izgradnju punionica u skladu s navedenim dokumentima.</w:t>
      </w:r>
    </w:p>
    <w:p w14:paraId="24548038" w14:textId="77777777" w:rsidR="00E1632F" w:rsidRPr="001025CD" w:rsidRDefault="00E1632F" w:rsidP="00E1632F">
      <w:pPr>
        <w:ind w:left="147"/>
        <w:rPr>
          <w:rFonts w:cs="Arial"/>
        </w:rPr>
      </w:pPr>
      <w:r w:rsidRPr="001025CD">
        <w:rPr>
          <w:rFonts w:cs="Arial"/>
        </w:rPr>
        <w:t>Ovom infrastrukturnom mjerom se neće direktno utjecati na smanjenje potrošnje goriva u prometu, no svakako je razvoj infrastrukture nužan preduvjet razvoju tržišta vozila koja koriste električnu energiju, stlačeni i ukapljeni prirodni plin te vodik u Hrvatskoj.</w:t>
      </w:r>
    </w:p>
    <w:p w14:paraId="58C7A35B" w14:textId="77777777" w:rsidR="00E1632F" w:rsidRPr="001025CD" w:rsidRDefault="00E1632F" w:rsidP="00E1632F">
      <w:pPr>
        <w:ind w:left="147"/>
        <w:rPr>
          <w:rFonts w:cs="Arial"/>
        </w:rPr>
      </w:pPr>
      <w:r w:rsidRPr="001025CD">
        <w:rPr>
          <w:rFonts w:cs="Arial"/>
        </w:rPr>
        <w:t>Poticajne mjere sufinanciranja infrastrukture bit će prvenstveno orijentirane na alternativna goriva za koje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w:t>
      </w:r>
    </w:p>
    <w:p w14:paraId="7DD2D10B" w14:textId="77777777" w:rsidR="00E1632F" w:rsidRPr="00B76133" w:rsidRDefault="00E1632F" w:rsidP="00E1632F">
      <w:pPr>
        <w:rPr>
          <w:rFonts w:cs="Arial"/>
          <w:u w:val="single"/>
        </w:rPr>
      </w:pPr>
      <w:r w:rsidRPr="001025CD">
        <w:rPr>
          <w:rFonts w:cs="Arial"/>
          <w:u w:val="single"/>
        </w:rPr>
        <w:t xml:space="preserve">TR-11: </w:t>
      </w:r>
      <w:r w:rsidRPr="00B76133">
        <w:rPr>
          <w:rFonts w:cs="Arial"/>
          <w:u w:val="single"/>
        </w:rPr>
        <w:t>Promicanje integriranog i inteligentnog prometa i razvoj infrastrukture za alternativna goriva na lokalnoj i područnoj razini</w:t>
      </w:r>
    </w:p>
    <w:p w14:paraId="1BAA7DEC" w14:textId="28A5BA7F" w:rsidR="00E1632F" w:rsidRPr="001025CD" w:rsidRDefault="00E1632F" w:rsidP="00E1632F">
      <w:pPr>
        <w:ind w:left="147"/>
        <w:rPr>
          <w:rFonts w:cs="Arial"/>
        </w:rPr>
      </w:pPr>
      <w:r w:rsidRPr="001025CD">
        <w:rPr>
          <w:rFonts w:cs="Arial"/>
        </w:rPr>
        <w:t>Potrebno je promovirati održivi razvoj gradskih prometnih sustava i to kroz optimiranje logistike prijevoza tereta te inteligentno upravljanje javnim parkirnim površinama (ICT tehnologije), uvođenje integriranog prijevoza putnika, uvođenje car-sharing sheme u gradovima, uvođenje sustava javnih gradskih bicikala i izgradnje pripadajuće biciklističke infrastrukture, inteligentno upravljanje u prometu (nadogradnja, prilagodba i zamjena zastarjelih signalnih uređaja i opreme, ugradnja napredne prometne opreme i inteligentnih semafora opremljenih autonomnim sustavom napajanja iz obnovljivih izvora, izgradnja i opremanje središnjih operativnih centara za nadzor i upravljanje raskrižjima s postavljenim semaforima). Na lokalnim razinama, nužna je kontinuirana izrada i provedba Planova održive mobilnosti u gradovima, odnosno strateških planova koji se nadovezuju na postojeću</w:t>
      </w:r>
      <w:r w:rsidR="0086329E">
        <w:rPr>
          <w:rFonts w:cs="Arial"/>
        </w:rPr>
        <w:t xml:space="preserve"> </w:t>
      </w:r>
      <w:r w:rsidRPr="001025CD">
        <w:rPr>
          <w:rFonts w:cs="Arial"/>
        </w:rPr>
        <w:t>praksu u planiranju, a uzimaju u obzir integracijske, participacijske</w:t>
      </w:r>
      <w:r w:rsidR="0086329E">
        <w:rPr>
          <w:rFonts w:cs="Arial"/>
        </w:rPr>
        <w:t xml:space="preserve"> </w:t>
      </w:r>
      <w:r w:rsidRPr="001025CD">
        <w:rPr>
          <w:rFonts w:cs="Arial"/>
        </w:rPr>
        <w:t>i</w:t>
      </w:r>
      <w:r w:rsidR="0086329E">
        <w:rPr>
          <w:rFonts w:cs="Arial"/>
        </w:rPr>
        <w:t xml:space="preserve"> </w:t>
      </w:r>
      <w:r w:rsidRPr="001025CD">
        <w:rPr>
          <w:rFonts w:cs="Arial"/>
        </w:rPr>
        <w:t>evaluacijske</w:t>
      </w:r>
      <w:r w:rsidR="0086329E">
        <w:rPr>
          <w:rFonts w:cs="Arial"/>
        </w:rPr>
        <w:t xml:space="preserve"> </w:t>
      </w:r>
      <w:r w:rsidRPr="001025CD">
        <w:rPr>
          <w:rFonts w:cs="Arial"/>
        </w:rPr>
        <w:t>principe</w:t>
      </w:r>
      <w:r w:rsidR="0086329E">
        <w:rPr>
          <w:rFonts w:cs="Arial"/>
        </w:rPr>
        <w:t xml:space="preserve"> </w:t>
      </w:r>
      <w:r w:rsidRPr="001025CD">
        <w:rPr>
          <w:rFonts w:cs="Arial"/>
        </w:rPr>
        <w:t>kako</w:t>
      </w:r>
      <w:r w:rsidR="0086329E">
        <w:rPr>
          <w:rFonts w:cs="Arial"/>
        </w:rPr>
        <w:t xml:space="preserve"> </w:t>
      </w:r>
      <w:r w:rsidRPr="001025CD">
        <w:rPr>
          <w:rFonts w:cs="Arial"/>
        </w:rPr>
        <w:t>bi</w:t>
      </w:r>
      <w:r w:rsidR="0086329E">
        <w:rPr>
          <w:rFonts w:cs="Arial"/>
        </w:rPr>
        <w:t xml:space="preserve"> </w:t>
      </w:r>
      <w:r w:rsidRPr="001025CD">
        <w:rPr>
          <w:rFonts w:cs="Arial"/>
        </w:rPr>
        <w:t>se zadovoljile potrebe</w:t>
      </w:r>
      <w:r w:rsidR="0086329E">
        <w:rPr>
          <w:rFonts w:cs="Arial"/>
        </w:rPr>
        <w:t xml:space="preserve"> </w:t>
      </w:r>
      <w:r w:rsidRPr="001025CD">
        <w:rPr>
          <w:rFonts w:cs="Arial"/>
        </w:rPr>
        <w:t>stanovnika</w:t>
      </w:r>
      <w:r w:rsidR="0086329E">
        <w:rPr>
          <w:rFonts w:cs="Arial"/>
        </w:rPr>
        <w:t xml:space="preserve"> </w:t>
      </w:r>
      <w:r w:rsidRPr="001025CD">
        <w:rPr>
          <w:rFonts w:cs="Arial"/>
        </w:rPr>
        <w:t>gradova</w:t>
      </w:r>
      <w:r w:rsidR="0086329E">
        <w:rPr>
          <w:rFonts w:cs="Arial"/>
        </w:rPr>
        <w:t xml:space="preserve"> </w:t>
      </w:r>
      <w:r w:rsidRPr="001025CD">
        <w:rPr>
          <w:rFonts w:cs="Arial"/>
        </w:rPr>
        <w:t>za</w:t>
      </w:r>
      <w:r w:rsidR="0086329E">
        <w:rPr>
          <w:rFonts w:cs="Arial"/>
        </w:rPr>
        <w:t xml:space="preserve"> </w:t>
      </w:r>
      <w:r w:rsidRPr="001025CD">
        <w:rPr>
          <w:rFonts w:cs="Arial"/>
        </w:rPr>
        <w:t>mobilnošću,</w:t>
      </w:r>
      <w:r w:rsidR="0086329E">
        <w:rPr>
          <w:rFonts w:cs="Arial"/>
        </w:rPr>
        <w:t xml:space="preserve"> </w:t>
      </w:r>
      <w:r w:rsidRPr="001025CD">
        <w:rPr>
          <w:rFonts w:cs="Arial"/>
        </w:rPr>
        <w:t>sada</w:t>
      </w:r>
      <w:r w:rsidR="0086329E">
        <w:rPr>
          <w:rFonts w:cs="Arial"/>
        </w:rPr>
        <w:t xml:space="preserve"> </w:t>
      </w:r>
      <w:r w:rsidRPr="001025CD">
        <w:rPr>
          <w:rFonts w:cs="Arial"/>
        </w:rPr>
        <w:t>i</w:t>
      </w:r>
      <w:r w:rsidR="0086329E">
        <w:rPr>
          <w:rFonts w:cs="Arial"/>
        </w:rPr>
        <w:t xml:space="preserve"> </w:t>
      </w:r>
      <w:r w:rsidRPr="001025CD">
        <w:rPr>
          <w:rFonts w:cs="Arial"/>
        </w:rPr>
        <w:t>u budućnosti, te osigurala bolja kvaliteta života u gradovima i njihovoj okolini.</w:t>
      </w:r>
    </w:p>
    <w:p w14:paraId="76AD8200" w14:textId="77777777" w:rsidR="00E1632F" w:rsidRPr="001025CD" w:rsidRDefault="00E1632F" w:rsidP="00E1632F">
      <w:pPr>
        <w:rPr>
          <w:rFonts w:cs="Arial"/>
          <w:u w:val="single"/>
        </w:rPr>
      </w:pPr>
      <w:r w:rsidRPr="001025CD">
        <w:rPr>
          <w:rFonts w:cs="Arial"/>
          <w:u w:val="single"/>
        </w:rPr>
        <w:t>TR-12: Obuka vozača cestovnih vozila za eko vožnju</w:t>
      </w:r>
    </w:p>
    <w:p w14:paraId="79612DD6" w14:textId="77777777" w:rsidR="00E1632F" w:rsidRPr="001025CD" w:rsidRDefault="00E1632F" w:rsidP="00E1632F">
      <w:pPr>
        <w:ind w:left="147"/>
        <w:rPr>
          <w:rFonts w:cs="Arial"/>
        </w:rPr>
      </w:pPr>
      <w:r w:rsidRPr="001025CD">
        <w:rPr>
          <w:rFonts w:cs="Arial"/>
        </w:rPr>
        <w:t>Obrazovanje o elementima eko vožnje provodi se kratkim treninzima (u trajanju od oko 60-120 minuta po kandidatu) među vozačima koji su vozačku dozvolu dobili prije stupanja na snagu Pravilnika o osposobljavanju kandidata za vozače (NN 13/09), kojim je za sve autoškole i instruktore postavljena obveza provođenja izobrazbe o elementima eko-vožnje tijekom standardne izobrazbe vozača kandidata. Treba istaknuti da se predložena mjera ne odnosi na nove vozače, koji izobrazbu o eko vožnji dobivaju sukladno zakonskim obvezama iskazanim predmetnim Pravilnikom.</w:t>
      </w:r>
    </w:p>
    <w:p w14:paraId="2028640E" w14:textId="77777777" w:rsidR="00E1632F" w:rsidRPr="001025CD" w:rsidRDefault="00E1632F" w:rsidP="00E1632F">
      <w:pPr>
        <w:ind w:left="147"/>
        <w:rPr>
          <w:rFonts w:cs="Arial"/>
        </w:rPr>
      </w:pPr>
      <w:r w:rsidRPr="001025CD">
        <w:rPr>
          <w:rFonts w:cs="Arial"/>
        </w:rPr>
        <w:t>Posebni elementi nacionalne kampanje trebaju biti posvećeni edukaciji o eko vožnji za vozače osobnih automobila, autobusa, gospodarskih i teških teretnih vozila.</w:t>
      </w:r>
    </w:p>
    <w:p w14:paraId="4893238F" w14:textId="77777777" w:rsidR="00E1632F" w:rsidRPr="001025CD" w:rsidRDefault="00E1632F" w:rsidP="00E1632F">
      <w:pPr>
        <w:rPr>
          <w:rFonts w:cs="Arial"/>
          <w:u w:val="single"/>
        </w:rPr>
      </w:pPr>
      <w:r w:rsidRPr="001025CD">
        <w:rPr>
          <w:rFonts w:cs="Arial"/>
          <w:u w:val="single"/>
        </w:rPr>
        <w:t>TR-13: Poticanje razvoja intermodalnog i integriranog prometa</w:t>
      </w:r>
    </w:p>
    <w:p w14:paraId="4FC800D0" w14:textId="79335516" w:rsidR="00E1632F" w:rsidRDefault="00E1632F" w:rsidP="00E1632F">
      <w:pPr>
        <w:ind w:left="147"/>
        <w:rPr>
          <w:rFonts w:cs="Arial"/>
        </w:rPr>
      </w:pPr>
      <w:r w:rsidRPr="001025CD">
        <w:rPr>
          <w:rFonts w:cs="Arial"/>
        </w:rPr>
        <w:t xml:space="preserve">Mjera koja prati opće i specifične ciljeve definirane u Strategiji prometnog razvoja Republike Hrvatske (2017. – 2030.) </w:t>
      </w:r>
      <w:r w:rsidR="00970A07" w:rsidRPr="00970A07">
        <w:rPr>
          <w:rFonts w:cs="Arial"/>
        </w:rPr>
        <w:t>u kontekstu energetske učinkovitosti/intermodalnosti za željeznički, cestovni, pomorski promet, promet unutarnjim plovnim putovima i gradski, prigradski i regionalni promet (modernizacija pruga, sustava signalizacije, obnova fonda lokomotiva, vagona, flota plovila, logističke intermodalne platforme, integrirani javni prijevoz putnika, itd.)</w:t>
      </w:r>
    </w:p>
    <w:p w14:paraId="59A75ACB" w14:textId="77777777" w:rsidR="00E1632F" w:rsidRDefault="00E1632F" w:rsidP="00276CE9">
      <w:pPr>
        <w:suppressAutoHyphens w:val="0"/>
        <w:spacing w:after="160" w:line="259" w:lineRule="auto"/>
        <w:ind w:left="147"/>
        <w:contextualSpacing/>
      </w:pPr>
    </w:p>
    <w:p w14:paraId="39476CE7" w14:textId="77777777" w:rsidR="00E1632F" w:rsidRDefault="00E1632F" w:rsidP="00276CE9">
      <w:pPr>
        <w:suppressAutoHyphens w:val="0"/>
        <w:spacing w:after="160" w:line="259" w:lineRule="auto"/>
        <w:contextualSpacing/>
        <w:jc w:val="left"/>
      </w:pPr>
    </w:p>
    <w:p w14:paraId="0FAF7407" w14:textId="77777777" w:rsidR="00C21988" w:rsidRDefault="00C21988" w:rsidP="00C21988">
      <w:pPr>
        <w:pStyle w:val="Heading2"/>
      </w:pPr>
      <w:bookmarkStart w:id="319" w:name="_Toc531935157"/>
      <w:bookmarkStart w:id="320" w:name="_Toc531945107"/>
      <w:r>
        <w:t>Dimenzija: energetska učinkovitost</w:t>
      </w:r>
      <w:bookmarkEnd w:id="319"/>
      <w:bookmarkEnd w:id="320"/>
      <w:r>
        <w:t xml:space="preserve"> </w:t>
      </w:r>
    </w:p>
    <w:p w14:paraId="5902D927" w14:textId="2605AAFD" w:rsidR="00C21988" w:rsidRDefault="00C21988" w:rsidP="00C21988">
      <w:r>
        <w:t xml:space="preserve">Planirane politike, mjere i programi za ostvarivanje okvirnog nacionalnog cilja povećanja energetske učinkovitosti za 2030. kao i drugih ciljeva predstavljenih u odjeljku 2.2., uključujući planirane mjere i instrumente (i one financijske prirode) za promicanje energetskih svojstava zgrada, </w:t>
      </w:r>
      <w:r w:rsidR="00790677">
        <w:t>navedene su u nastavku, prema specifičnim područjima</w:t>
      </w:r>
      <w:r w:rsidR="00153005">
        <w:t>, koji se zaht</w:t>
      </w:r>
      <w:r w:rsidR="00D43BFD">
        <w:t>i</w:t>
      </w:r>
      <w:r w:rsidR="00153005">
        <w:t>jevaju u nacrtu Uredbe o upravljanju Energetskom unijom</w:t>
      </w:r>
      <w:r w:rsidR="00790677">
        <w:t xml:space="preserve">. </w:t>
      </w:r>
    </w:p>
    <w:p w14:paraId="5D51983D" w14:textId="452F9B07" w:rsidR="00C21988" w:rsidRPr="002B132A" w:rsidRDefault="00C21988" w:rsidP="006F7E97">
      <w:pPr>
        <w:pStyle w:val="ListParagraph"/>
        <w:numPr>
          <w:ilvl w:val="0"/>
          <w:numId w:val="63"/>
        </w:numPr>
        <w:tabs>
          <w:tab w:val="clear" w:pos="431"/>
        </w:tabs>
        <w:suppressAutoHyphens w:val="0"/>
        <w:spacing w:after="160" w:line="259" w:lineRule="auto"/>
        <w:contextualSpacing/>
        <w:jc w:val="left"/>
        <w:rPr>
          <w:b/>
          <w:i/>
        </w:rPr>
      </w:pPr>
      <w:r w:rsidRPr="002B132A">
        <w:rPr>
          <w:b/>
          <w:i/>
        </w:rPr>
        <w:t xml:space="preserve">Sustav obveze energetske učinkovitosti i alternativnih mjera iz članka 7.a i 7.b Direktive 2012/27/EU [u inačici kako je izmijenjena u skladu s prijedlogom COM(2016) 761] </w:t>
      </w:r>
    </w:p>
    <w:p w14:paraId="5AA5B6F5" w14:textId="2D9DEBD8" w:rsidR="00F55479" w:rsidRPr="009A052E" w:rsidRDefault="00F55479" w:rsidP="00F55479">
      <w:pPr>
        <w:rPr>
          <w:u w:val="single"/>
        </w:rPr>
      </w:pPr>
      <w:r>
        <w:rPr>
          <w:u w:val="single"/>
        </w:rPr>
        <w:t>ENU-1</w:t>
      </w:r>
      <w:r w:rsidR="009B0451">
        <w:rPr>
          <w:u w:val="single"/>
        </w:rPr>
        <w:t>:</w:t>
      </w:r>
      <w:r>
        <w:rPr>
          <w:u w:val="single"/>
        </w:rPr>
        <w:t xml:space="preserve"> Sustav obveze energetske učinkovitosti za opskrbljivače</w:t>
      </w:r>
      <w:r w:rsidR="00AD1756">
        <w:rPr>
          <w:rStyle w:val="FootnoteReference"/>
          <w:u w:val="single"/>
        </w:rPr>
        <w:footnoteReference w:id="3"/>
      </w:r>
    </w:p>
    <w:p w14:paraId="73BE87D8" w14:textId="6564B096" w:rsidR="001E3CC1" w:rsidRDefault="004157FE" w:rsidP="00BD2843">
      <w:r w:rsidRPr="00D110A5">
        <w:t xml:space="preserve">Obveznici </w:t>
      </w:r>
      <w:r w:rsidR="00B1043A" w:rsidRPr="00D110A5">
        <w:t>s</w:t>
      </w:r>
      <w:r w:rsidRPr="00D110A5">
        <w:t>ustava o</w:t>
      </w:r>
      <w:r w:rsidR="00B1043A" w:rsidRPr="00D110A5">
        <w:t xml:space="preserve">bveze energetske učinkovitosti su opskrbljivači energijom. </w:t>
      </w:r>
      <w:r w:rsidR="00120D04" w:rsidRPr="00D110A5">
        <w:t>Početak funkcioniranja sustava predviđen je za 2019. godinu</w:t>
      </w:r>
      <w:r w:rsidR="00204CA6" w:rsidRPr="00D110A5">
        <w:t xml:space="preserve">, kada u sustav obveze ulaze </w:t>
      </w:r>
      <w:r w:rsidR="006211DA" w:rsidRPr="00D110A5">
        <w:t xml:space="preserve">opskrbljivači koji su na tržište isporučili više od 300 GWh energije tijekom 2017. godine. U 2020. godini u sustav obveze ulaze opskrbljivači </w:t>
      </w:r>
      <w:r w:rsidR="007B46A8" w:rsidRPr="00D110A5">
        <w:t xml:space="preserve">koji su na tržište isporučili više od 100 GWh energije tijekom 2018. godine, a od 2021. godine </w:t>
      </w:r>
      <w:r w:rsidR="00D110A5" w:rsidRPr="00D110A5">
        <w:t>pa nadalje obveznici su svi oni opskrbljivači koji su na tržište isporučili više od 50 GWh energije tijekom te pretprošle godine.</w:t>
      </w:r>
      <w:r w:rsidR="009B3430">
        <w:t xml:space="preserve"> MZOE</w:t>
      </w:r>
      <w:r w:rsidR="009B3430" w:rsidRPr="009B3430">
        <w:t xml:space="preserve"> rješenjem </w:t>
      </w:r>
      <w:r w:rsidR="00746E1A">
        <w:t>svakoj</w:t>
      </w:r>
      <w:r w:rsidR="009B3430" w:rsidRPr="009B3430">
        <w:t xml:space="preserve"> stranci obveznici do 30. lipnja tekuće godine </w:t>
      </w:r>
      <w:r w:rsidR="00746E1A">
        <w:t>utvr</w:t>
      </w:r>
      <w:r w:rsidR="00D43BFD">
        <w:t>đ</w:t>
      </w:r>
      <w:r w:rsidR="00746E1A">
        <w:t xml:space="preserve">uje </w:t>
      </w:r>
      <w:r w:rsidR="009B3430" w:rsidRPr="009B3430">
        <w:t>točan godišnji iznos obveze uštede energije u kWh za narednu godinu, raspoređujući na sve stranke obveznice dio nacionalnog okvirnog cilja ušteda energije za iduću godinu koji se ostvaruje kroz sustav obveze, kao i kumulativni cilj uštede energije do kraja trenutnog razdoblja kumuliranja.</w:t>
      </w:r>
      <w:r w:rsidR="00BD2843">
        <w:t xml:space="preserve"> Opskrbljivači </w:t>
      </w:r>
      <w:r w:rsidR="001E3CC1">
        <w:t>svoju obvezu mogu ostvariti na jedan od sljedeć</w:t>
      </w:r>
      <w:r w:rsidR="007B1338">
        <w:t>a tri ključna</w:t>
      </w:r>
      <w:r w:rsidR="001E3CC1">
        <w:t xml:space="preserve"> načina:</w:t>
      </w:r>
    </w:p>
    <w:p w14:paraId="10542A14" w14:textId="261A8A2C" w:rsidR="00BD2843" w:rsidRDefault="00BD2843" w:rsidP="007B6EBA">
      <w:pPr>
        <w:pStyle w:val="ListParagraph"/>
        <w:numPr>
          <w:ilvl w:val="0"/>
          <w:numId w:val="71"/>
        </w:numPr>
      </w:pPr>
      <w:r>
        <w:t xml:space="preserve">ulaganjem </w:t>
      </w:r>
      <w:r w:rsidR="00DE54A4">
        <w:t xml:space="preserve">u </w:t>
      </w:r>
      <w:r>
        <w:t>i poticanjem poboljšanj</w:t>
      </w:r>
      <w:r w:rsidR="00DE54A4">
        <w:t>a</w:t>
      </w:r>
      <w:r>
        <w:t xml:space="preserve"> energetske učinkovitosti u neposrednoj potrošnji</w:t>
      </w:r>
      <w:r w:rsidR="00DE54A4">
        <w:t>;</w:t>
      </w:r>
      <w:r>
        <w:t xml:space="preserve"> </w:t>
      </w:r>
    </w:p>
    <w:p w14:paraId="07DEF6D8" w14:textId="5D532772" w:rsidR="00BD2843" w:rsidRDefault="00BD2843" w:rsidP="007B6EBA">
      <w:pPr>
        <w:pStyle w:val="ListParagraph"/>
        <w:numPr>
          <w:ilvl w:val="0"/>
          <w:numId w:val="71"/>
        </w:numPr>
      </w:pPr>
      <w:r>
        <w:t>kupnjom uštede od druge stranke obveznice</w:t>
      </w:r>
      <w:r w:rsidR="007B1338">
        <w:t xml:space="preserve"> ili</w:t>
      </w:r>
      <w:r>
        <w:t xml:space="preserve"> </w:t>
      </w:r>
    </w:p>
    <w:p w14:paraId="2C2E1219" w14:textId="10307E95" w:rsidR="00AD1756" w:rsidRDefault="00BD2843" w:rsidP="007B1338">
      <w:pPr>
        <w:pStyle w:val="ListParagraph"/>
        <w:numPr>
          <w:ilvl w:val="0"/>
          <w:numId w:val="71"/>
        </w:numPr>
      </w:pPr>
      <w:r>
        <w:t xml:space="preserve">uplatom </w:t>
      </w:r>
      <w:r w:rsidR="007B1338">
        <w:t>naknade u Fond za zaštitu okoliša i energetsku učinkovitost</w:t>
      </w:r>
      <w:r>
        <w:t>.</w:t>
      </w:r>
    </w:p>
    <w:p w14:paraId="667836FE" w14:textId="6E862432" w:rsidR="000333E1" w:rsidRDefault="00532D6F" w:rsidP="000333E1">
      <w:r>
        <w:t>Opskrbljivačima se ne pr</w:t>
      </w:r>
      <w:r w:rsidR="00AE4A54">
        <w:t>o</w:t>
      </w:r>
      <w:r>
        <w:t xml:space="preserve">pisuju niti </w:t>
      </w:r>
      <w:r w:rsidR="00715ABD">
        <w:t xml:space="preserve">prihvatljivi sektori za ulaganja niti prihvatljive mjere za ulaganja, dok god </w:t>
      </w:r>
      <w:r w:rsidR="00C4493D">
        <w:t xml:space="preserve">je uštede iz tih ulaganja moguće </w:t>
      </w:r>
      <w:r w:rsidR="0065406C">
        <w:t>dokazati</w:t>
      </w:r>
      <w:r w:rsidR="00C4493D">
        <w:t xml:space="preserve"> metodama iz </w:t>
      </w:r>
      <w:r w:rsidR="00C4493D" w:rsidRPr="00786881">
        <w:rPr>
          <w:rFonts w:cstheme="minorHAnsi"/>
        </w:rPr>
        <w:t>Pravilnik</w:t>
      </w:r>
      <w:r w:rsidR="0065406C">
        <w:rPr>
          <w:rFonts w:cstheme="minorHAnsi"/>
        </w:rPr>
        <w:t>a</w:t>
      </w:r>
      <w:r w:rsidR="00C4493D" w:rsidRPr="00786881">
        <w:rPr>
          <w:rFonts w:cstheme="minorHAnsi"/>
        </w:rPr>
        <w:t xml:space="preserve"> o sustavu za pra</w:t>
      </w:r>
      <w:r w:rsidR="00C4493D" w:rsidRPr="00EF39CD">
        <w:rPr>
          <w:rFonts w:cstheme="minorHAnsi"/>
        </w:rPr>
        <w:t>ćenje, mjerenje i verifikaciju ušteda energije</w:t>
      </w:r>
      <w:r w:rsidR="00500C17">
        <w:rPr>
          <w:rFonts w:cstheme="minorHAnsi"/>
        </w:rPr>
        <w:t xml:space="preserve">. </w:t>
      </w:r>
      <w:r w:rsidR="00500C17" w:rsidRPr="007B6EBA">
        <w:rPr>
          <w:b/>
        </w:rPr>
        <w:t>U tom je smislu nužno navedeni Pravilnik izmijeniti i redovito unaprjeđivati.</w:t>
      </w:r>
      <w:r w:rsidR="00500C17">
        <w:t xml:space="preserve"> </w:t>
      </w:r>
      <w:r w:rsidR="00E27285">
        <w:t>Ulaganje se ne smije odnositi na</w:t>
      </w:r>
      <w:r w:rsidR="00FD3BAD">
        <w:t xml:space="preserve"> aktivnosti koje su prethodno obuhvaćene</w:t>
      </w:r>
      <w:r w:rsidR="00E27285">
        <w:t xml:space="preserve"> alternativn</w:t>
      </w:r>
      <w:r w:rsidR="00FD3BAD">
        <w:t>im</w:t>
      </w:r>
      <w:r w:rsidR="00E27285">
        <w:t xml:space="preserve"> mjer</w:t>
      </w:r>
      <w:r w:rsidR="00FD3BAD">
        <w:t>ama</w:t>
      </w:r>
      <w:r w:rsidR="00BD44D4">
        <w:t>.</w:t>
      </w:r>
      <w:r w:rsidR="00C27729">
        <w:t xml:space="preserve"> </w:t>
      </w:r>
      <w:r w:rsidR="00023E51">
        <w:t>Prihode od naknade</w:t>
      </w:r>
      <w:r w:rsidR="00C27729">
        <w:t xml:space="preserve"> koju </w:t>
      </w:r>
      <w:r w:rsidR="00023E51">
        <w:t>prikuplja s osnove sust</w:t>
      </w:r>
      <w:r w:rsidR="00697A38">
        <w:t>a</w:t>
      </w:r>
      <w:r w:rsidR="00023E51">
        <w:t>va obveza</w:t>
      </w:r>
      <w:r w:rsidR="008431EE">
        <w:t>, Fond mora namjenski koristiti</w:t>
      </w:r>
      <w:r w:rsidR="005361FB">
        <w:t xml:space="preserve">. Zbog toga je potrebno izraditi </w:t>
      </w:r>
      <w:r w:rsidR="008431EE" w:rsidRPr="007B6EBA">
        <w:rPr>
          <w:b/>
        </w:rPr>
        <w:t xml:space="preserve">Plan korištenja </w:t>
      </w:r>
      <w:r w:rsidR="005361FB" w:rsidRPr="007B6EBA">
        <w:rPr>
          <w:b/>
        </w:rPr>
        <w:t xml:space="preserve">sredstava prikupljenih </w:t>
      </w:r>
      <w:r w:rsidR="00DD74D5" w:rsidRPr="007B6EBA">
        <w:rPr>
          <w:b/>
        </w:rPr>
        <w:t>od naknade za sustav obveze</w:t>
      </w:r>
      <w:r w:rsidR="00DD74D5">
        <w:t xml:space="preserve">, a </w:t>
      </w:r>
      <w:r w:rsidR="00535CCE">
        <w:t xml:space="preserve">s </w:t>
      </w:r>
      <w:r w:rsidR="00DD74D5">
        <w:t>čij</w:t>
      </w:r>
      <w:r w:rsidR="00535CCE">
        <w:t>om</w:t>
      </w:r>
      <w:r w:rsidR="00DD74D5">
        <w:t xml:space="preserve"> primjen</w:t>
      </w:r>
      <w:r w:rsidR="00535CCE">
        <w:t xml:space="preserve">om Fond </w:t>
      </w:r>
      <w:r w:rsidR="00DD74D5">
        <w:t xml:space="preserve">mora započeti od 2021. godine. </w:t>
      </w:r>
      <w:r w:rsidR="00535CCE">
        <w:t>Izrada ovakvog Plana je apsolutno nužna kako bi se osigurala optimalna raspodjela sredstava iz svih raspoloživih izvora i kako bi Fond imao jasne smjernice u koj</w:t>
      </w:r>
      <w:r w:rsidR="007D2DCB">
        <w:t>e</w:t>
      </w:r>
      <w:r w:rsidR="00535CCE">
        <w:t xml:space="preserve"> </w:t>
      </w:r>
      <w:r w:rsidR="007D2DCB">
        <w:t>mjere</w:t>
      </w:r>
      <w:r w:rsidR="00535CCE">
        <w:t xml:space="preserve"> </w:t>
      </w:r>
      <w:r w:rsidR="007D2DCB">
        <w:t>ulagati ova sredstva.</w:t>
      </w:r>
    </w:p>
    <w:p w14:paraId="3FFAC235" w14:textId="7538C1EA" w:rsidR="00FD3BAD" w:rsidRPr="00276CE9" w:rsidRDefault="007D2DCB" w:rsidP="000333E1">
      <w:r>
        <w:t>U RH se također predviđa i provedba alternativnih mjera</w:t>
      </w:r>
      <w:r w:rsidR="00F74D1A">
        <w:t>, koje uključuju mjere opisane u nastavku i to redom: ENU-3, ENU-4, ENU-5, ENU-6</w:t>
      </w:r>
      <w:r w:rsidR="009F62CE">
        <w:t xml:space="preserve"> i </w:t>
      </w:r>
      <w:r w:rsidR="00F5580A">
        <w:t>ENU-7.</w:t>
      </w:r>
      <w:r w:rsidR="00515210">
        <w:t xml:space="preserve"> Dodatno, u </w:t>
      </w:r>
      <w:r w:rsidR="00203F0B" w:rsidRPr="00195C5A">
        <w:t>alternativne</w:t>
      </w:r>
      <w:r w:rsidR="00515210" w:rsidRPr="00195C5A">
        <w:t xml:space="preserve"> mjere ulaze i mjere u prometu i to redom:</w:t>
      </w:r>
      <w:r w:rsidR="00195C5A" w:rsidRPr="00276CE9">
        <w:t xml:space="preserve"> </w:t>
      </w:r>
      <w:r w:rsidR="00F25E7D" w:rsidRPr="00276CE9">
        <w:t>TR-</w:t>
      </w:r>
      <w:r w:rsidR="00195C5A" w:rsidRPr="00195C5A">
        <w:t>9</w:t>
      </w:r>
      <w:r w:rsidR="004E5726" w:rsidRPr="00276CE9">
        <w:t>:</w:t>
      </w:r>
      <w:r w:rsidR="00195C5A">
        <w:t xml:space="preserve"> </w:t>
      </w:r>
      <w:r w:rsidR="00195C5A" w:rsidRPr="00195C5A">
        <w:t>Financijski poticaji za energetski učinkovita vozila</w:t>
      </w:r>
      <w:r w:rsidR="00195C5A">
        <w:t xml:space="preserve">, TR-11: </w:t>
      </w:r>
      <w:r w:rsidR="00195C5A" w:rsidRPr="00195C5A">
        <w:t>Promicanje integriranog i inteligentnog prometa i razvoj infrastrukture za alternativna goriva na lokalnoj i područnoj razini</w:t>
      </w:r>
      <w:r w:rsidR="00195C5A">
        <w:t xml:space="preserve"> </w:t>
      </w:r>
      <w:r w:rsidR="00CF389D" w:rsidRPr="00276CE9">
        <w:t>i</w:t>
      </w:r>
      <w:r w:rsidR="001F6207" w:rsidRPr="00276CE9">
        <w:t xml:space="preserve"> </w:t>
      </w:r>
      <w:r w:rsidR="001014D4" w:rsidRPr="00276CE9">
        <w:t>TR-12: Obuka vozača cestovnih vozila za eko vo</w:t>
      </w:r>
      <w:r w:rsidR="00F25E7D" w:rsidRPr="00276CE9">
        <w:t>žnju</w:t>
      </w:r>
      <w:r w:rsidR="00195C5A">
        <w:t>, k</w:t>
      </w:r>
      <w:r w:rsidR="004F11A0" w:rsidRPr="001C5E45">
        <w:t xml:space="preserve">ao i </w:t>
      </w:r>
      <w:r w:rsidR="00A62DF0">
        <w:t xml:space="preserve">provedba </w:t>
      </w:r>
      <w:r w:rsidR="007B6EBA" w:rsidRPr="001C5E45">
        <w:t>Program</w:t>
      </w:r>
      <w:r w:rsidR="009055F7">
        <w:t>a za</w:t>
      </w:r>
      <w:r w:rsidR="007B6EBA" w:rsidRPr="001C5E45">
        <w:t xml:space="preserve"> suzbijanja energetskog </w:t>
      </w:r>
      <w:r w:rsidR="007B6EBA" w:rsidRPr="00276CE9">
        <w:t>siromaštva (</w:t>
      </w:r>
      <w:r w:rsidR="00DC3266">
        <w:t>UET-</w:t>
      </w:r>
      <w:r w:rsidR="00F54710">
        <w:t>5</w:t>
      </w:r>
      <w:r w:rsidR="007B6EBA" w:rsidRPr="00276CE9">
        <w:t>).</w:t>
      </w:r>
      <w:r w:rsidR="004F11A0" w:rsidRPr="00276CE9">
        <w:t xml:space="preserve"> </w:t>
      </w:r>
    </w:p>
    <w:p w14:paraId="2F747D47" w14:textId="1D7414E3" w:rsidR="00C21988" w:rsidRPr="00046D46" w:rsidRDefault="00C21988" w:rsidP="006F7E97">
      <w:pPr>
        <w:pStyle w:val="ListParagraph"/>
        <w:numPr>
          <w:ilvl w:val="0"/>
          <w:numId w:val="63"/>
        </w:numPr>
        <w:tabs>
          <w:tab w:val="clear" w:pos="431"/>
        </w:tabs>
        <w:suppressAutoHyphens w:val="0"/>
        <w:spacing w:after="160" w:line="259" w:lineRule="auto"/>
        <w:contextualSpacing/>
        <w:jc w:val="left"/>
        <w:rPr>
          <w:b/>
          <w:i/>
        </w:rPr>
      </w:pPr>
      <w:r w:rsidRPr="00046D46">
        <w:rPr>
          <w:b/>
          <w:i/>
        </w:rPr>
        <w:t>Dugoročna strategija za obnovu nacionalnog fonda stambenih i nestambenih zgrada, i javnih i privatnih</w:t>
      </w:r>
      <w:r w:rsidR="0086329E">
        <w:rPr>
          <w:b/>
          <w:i/>
        </w:rPr>
        <w:t xml:space="preserve"> </w:t>
      </w:r>
    </w:p>
    <w:p w14:paraId="72378656" w14:textId="2DBBEBCE" w:rsidR="00C21988" w:rsidRDefault="00995EF9" w:rsidP="00C21988">
      <w:r>
        <w:t>Za os</w:t>
      </w:r>
      <w:r w:rsidR="00597C5A">
        <w:t xml:space="preserve">tvarenje strateških ciljeva </w:t>
      </w:r>
      <w:r w:rsidR="00A4522B">
        <w:t>smanjenja</w:t>
      </w:r>
      <w:r w:rsidR="00597C5A">
        <w:t xml:space="preserve"> potrošnje energije u </w:t>
      </w:r>
      <w:r w:rsidR="008C568C">
        <w:t xml:space="preserve">zgradarstvu, predviđa se </w:t>
      </w:r>
      <w:r w:rsidR="00195DA5">
        <w:t xml:space="preserve">donošenje </w:t>
      </w:r>
      <w:r w:rsidR="0025162D">
        <w:t>tri ključna programa energetske obnove</w:t>
      </w:r>
      <w:r w:rsidR="00961B1F">
        <w:t xml:space="preserve"> za razdoblje od 2021. do 2030. godine</w:t>
      </w:r>
      <w:r w:rsidR="00263955">
        <w:t xml:space="preserve"> i </w:t>
      </w:r>
      <w:r w:rsidR="006E14FA">
        <w:t xml:space="preserve">to za </w:t>
      </w:r>
      <w:r w:rsidR="00263955">
        <w:t>višestamben</w:t>
      </w:r>
      <w:r w:rsidR="006E14FA">
        <w:t>e</w:t>
      </w:r>
      <w:r w:rsidR="00263955">
        <w:t xml:space="preserve"> zgrad</w:t>
      </w:r>
      <w:r w:rsidR="006E14FA">
        <w:t>e</w:t>
      </w:r>
      <w:r w:rsidR="00263955">
        <w:t>, obiteljsk</w:t>
      </w:r>
      <w:r w:rsidR="006E14FA">
        <w:t>e</w:t>
      </w:r>
      <w:r w:rsidR="00263955">
        <w:t xml:space="preserve"> kuć</w:t>
      </w:r>
      <w:r w:rsidR="006E14FA">
        <w:t>e</w:t>
      </w:r>
      <w:r w:rsidR="00263955">
        <w:t xml:space="preserve"> i javn</w:t>
      </w:r>
      <w:r w:rsidR="006E14FA">
        <w:t>e</w:t>
      </w:r>
      <w:r w:rsidR="00263955">
        <w:t xml:space="preserve"> zgrad</w:t>
      </w:r>
      <w:r w:rsidR="006E14FA">
        <w:t>e</w:t>
      </w:r>
      <w:r w:rsidR="00263955">
        <w:t xml:space="preserve">, a smjernice za </w:t>
      </w:r>
      <w:r w:rsidR="006E14FA">
        <w:t>izradu tih programa</w:t>
      </w:r>
      <w:r w:rsidR="00263955">
        <w:t xml:space="preserve"> dane su u nastavku.</w:t>
      </w:r>
      <w:r w:rsidR="00D0363E">
        <w:t xml:space="preserve"> </w:t>
      </w:r>
      <w:r w:rsidR="00EE1E48">
        <w:t>Za komercijalne zgrade se ne predviđa donošenje novog programa koji bi se temeljio na sufinanciranju, već se predviđa da će ovaj segment fonda zgrada biti obuhvaćen aktivnostima opskrbljivača u sklopu sustava obveza energetske učinkovitosti kao i tržištem energetskih usluga.</w:t>
      </w:r>
      <w:r w:rsidR="00DD38DF">
        <w:t xml:space="preserve"> Uz navedene programe koje se temelje na financijskim poticajima, planira se i provedba sveouhvatnog programa </w:t>
      </w:r>
      <w:r w:rsidR="00271264">
        <w:t xml:space="preserve">za promociju nZEB standrda gradnje i obnove, koji ej također opisan u nastavku. </w:t>
      </w:r>
    </w:p>
    <w:p w14:paraId="58A83E99" w14:textId="30674799" w:rsidR="00F55479" w:rsidRPr="009A052E" w:rsidRDefault="00F55479" w:rsidP="00F55479">
      <w:pPr>
        <w:rPr>
          <w:u w:val="single"/>
        </w:rPr>
      </w:pPr>
      <w:r>
        <w:rPr>
          <w:u w:val="single"/>
        </w:rPr>
        <w:t>ENU-2</w:t>
      </w:r>
      <w:r w:rsidR="009B0451">
        <w:rPr>
          <w:u w:val="single"/>
        </w:rPr>
        <w:t>:</w:t>
      </w:r>
      <w:r>
        <w:rPr>
          <w:u w:val="single"/>
        </w:rPr>
        <w:t xml:space="preserve"> </w:t>
      </w:r>
      <w:r w:rsidR="00FC3FF7">
        <w:rPr>
          <w:u w:val="single"/>
        </w:rPr>
        <w:t xml:space="preserve">Program </w:t>
      </w:r>
      <w:r w:rsidR="009B0451">
        <w:rPr>
          <w:u w:val="single"/>
        </w:rPr>
        <w:t xml:space="preserve">povećanja zgrada </w:t>
      </w:r>
      <w:r w:rsidR="00FC3FF7" w:rsidRPr="00FC3FF7">
        <w:rPr>
          <w:u w:val="single"/>
        </w:rPr>
        <w:t>s gotovo nultom potrošnjom energije</w:t>
      </w:r>
      <w:r w:rsidR="009B0451">
        <w:rPr>
          <w:u w:val="single"/>
        </w:rPr>
        <w:t xml:space="preserve"> (B.2: MEN-1)</w:t>
      </w:r>
    </w:p>
    <w:p w14:paraId="48A84E13" w14:textId="7C6FE87B" w:rsidR="001A5AC8" w:rsidRDefault="001C305A" w:rsidP="001A5AC8">
      <w:r w:rsidRPr="001A5AC8">
        <w:t>Nakon 31.12.2018. godine sve javne zgrade u RH u kojima borave ili su u vlasništvu javnih tijela moraju biti izgrađene prema nZEB standardu</w:t>
      </w:r>
      <w:r w:rsidR="005931D8" w:rsidRPr="00342044">
        <w:t>, a obveza za sve ostale novoizgrađene zgrade nastupa nakon 31.12.2020. godini.</w:t>
      </w:r>
      <w:r w:rsidR="005931D8" w:rsidRPr="00047899">
        <w:t xml:space="preserve"> Navedene zakonske odredbe osiguravaju da sve novoizgrađene zgrade od 2021. godine pa nadalje budu u NZEB standardu. </w:t>
      </w:r>
      <w:r w:rsidR="00961A90" w:rsidRPr="00047899">
        <w:t>Ipak</w:t>
      </w:r>
      <w:r w:rsidR="0021356F" w:rsidRPr="00047899">
        <w:t>, kako bi se osigurala ispravna primjena ovih odredbi, ali i potaknula energetsk</w:t>
      </w:r>
      <w:r w:rsidR="0081005F" w:rsidRPr="00047899">
        <w:t>a</w:t>
      </w:r>
      <w:r w:rsidR="0021356F" w:rsidRPr="00047899">
        <w:t xml:space="preserve"> obnova </w:t>
      </w:r>
      <w:r w:rsidR="0081005F" w:rsidRPr="00047899">
        <w:t xml:space="preserve">zgrada do nZEB standarda, u sljedećem se razdoblju planira providiti niz informativno-edukativnih aktivnosti za promociju </w:t>
      </w:r>
      <w:r w:rsidR="00A41D87" w:rsidRPr="00047899">
        <w:t>izgradnje i obnove po nZEB stand</w:t>
      </w:r>
      <w:r w:rsidR="00D43BFD">
        <w:t>a</w:t>
      </w:r>
      <w:r w:rsidR="00A41D87" w:rsidRPr="00047899">
        <w:t>rdu. Aktivnosti uključuju:</w:t>
      </w:r>
    </w:p>
    <w:p w14:paraId="7C4DD84D" w14:textId="6C36AD84" w:rsidR="004D5071" w:rsidRDefault="00A41D87" w:rsidP="00AD27DF">
      <w:pPr>
        <w:pStyle w:val="ListParagraph"/>
        <w:numPr>
          <w:ilvl w:val="0"/>
          <w:numId w:val="57"/>
        </w:numPr>
        <w:suppressAutoHyphens w:val="0"/>
        <w:spacing w:after="160" w:line="259" w:lineRule="auto"/>
        <w:ind w:left="714" w:hanging="357"/>
        <w:contextualSpacing/>
      </w:pPr>
      <w:r w:rsidRPr="00047899">
        <w:t>Otvoreni dijalog partnera</w:t>
      </w:r>
      <w:r w:rsidR="001A5AC8">
        <w:t xml:space="preserve"> - </w:t>
      </w:r>
      <w:r>
        <w:t xml:space="preserve">radionice koje će okupiti </w:t>
      </w:r>
      <w:r w:rsidRPr="00047899">
        <w:t xml:space="preserve">dionike tijela državne uprave, lokalne vlasti, građevinskog sektora, energetskog sektora te obrazovnih i drugih javnih institucija, kako bi se zajedničkim dijalogom razvila adekvatna nacionalna definicija zgrade s gotovo nultom </w:t>
      </w:r>
      <w:r w:rsidR="00047899">
        <w:t xml:space="preserve">potrošnjom </w:t>
      </w:r>
      <w:r w:rsidRPr="00047899">
        <w:t>energij</w:t>
      </w:r>
      <w:r w:rsidR="00047899">
        <w:t xml:space="preserve">e </w:t>
      </w:r>
      <w:r w:rsidR="008B2F03">
        <w:t>i put</w:t>
      </w:r>
      <w:r w:rsidR="00D43BFD">
        <w:t>o</w:t>
      </w:r>
      <w:r w:rsidR="008B2F03">
        <w:t>kaz</w:t>
      </w:r>
      <w:r w:rsidR="00047899">
        <w:t xml:space="preserve"> za transformaciju postojećeg fonda zgrada u energetski visokoučinkovit i dekarboniziran fond zgrada do 2050. godine</w:t>
      </w:r>
      <w:r w:rsidR="00342044">
        <w:t>;</w:t>
      </w:r>
    </w:p>
    <w:p w14:paraId="3DFE3738" w14:textId="0A09DBE0" w:rsidR="00CB5545" w:rsidRDefault="00CB5545" w:rsidP="00AD27DF">
      <w:pPr>
        <w:pStyle w:val="ListParagraph"/>
        <w:numPr>
          <w:ilvl w:val="0"/>
          <w:numId w:val="57"/>
        </w:numPr>
        <w:suppressAutoHyphens w:val="0"/>
        <w:spacing w:after="160" w:line="259" w:lineRule="auto"/>
        <w:ind w:left="714" w:hanging="357"/>
        <w:contextualSpacing/>
      </w:pPr>
      <w:r>
        <w:t>Izrada smjernica o nZEB zgradama za investitore i projektante - s</w:t>
      </w:r>
      <w:r w:rsidRPr="00CB5545">
        <w:t xml:space="preserve">mjernice će dati stručnu, preglednu i nedvosmislenu informaciju o </w:t>
      </w:r>
      <w:r>
        <w:t xml:space="preserve">nZEB </w:t>
      </w:r>
      <w:r w:rsidRPr="00CB5545">
        <w:t>zgradam</w:t>
      </w:r>
      <w:r>
        <w:t xml:space="preserve">a, a ima te dvije ciljne skupine: </w:t>
      </w:r>
      <w:r w:rsidR="009146A1">
        <w:t>opću i stručnu javnost;</w:t>
      </w:r>
    </w:p>
    <w:p w14:paraId="146C897C" w14:textId="3BD0C797" w:rsidR="009943FE" w:rsidRDefault="009146A1" w:rsidP="00AD27DF">
      <w:pPr>
        <w:pStyle w:val="ListParagraph"/>
        <w:numPr>
          <w:ilvl w:val="0"/>
          <w:numId w:val="57"/>
        </w:numPr>
        <w:suppressAutoHyphens w:val="0"/>
        <w:spacing w:after="160" w:line="259" w:lineRule="auto"/>
        <w:ind w:left="714" w:hanging="357"/>
        <w:contextualSpacing/>
      </w:pPr>
      <w:r>
        <w:t xml:space="preserve">Medijske kampanje </w:t>
      </w:r>
      <w:r w:rsidR="00134020">
        <w:t xml:space="preserve">za energetsko certificiranje i </w:t>
      </w:r>
      <w:r w:rsidR="006C3DB3">
        <w:t xml:space="preserve">promidžbu </w:t>
      </w:r>
      <w:r w:rsidR="00134020">
        <w:t>nZEB standard</w:t>
      </w:r>
      <w:r w:rsidR="006C3DB3">
        <w:t>a</w:t>
      </w:r>
      <w:r w:rsidR="00134020">
        <w:t xml:space="preserve"> </w:t>
      </w:r>
      <w:r w:rsidR="004714A7">
        <w:t>–</w:t>
      </w:r>
      <w:r w:rsidR="00134020">
        <w:t xml:space="preserve"> </w:t>
      </w:r>
      <w:r w:rsidR="004714A7">
        <w:t>kampanjama će se informirati javnost s ciljem podizanja svijesti o značenju energetskih certifikata</w:t>
      </w:r>
      <w:r w:rsidR="00BB1B81">
        <w:t xml:space="preserve"> te njihovom značaju u energetskoj obnovi i dokazivanju</w:t>
      </w:r>
      <w:r w:rsidR="009943FE">
        <w:t xml:space="preserve"> nZEB standarda</w:t>
      </w:r>
      <w:r w:rsidR="00D95D9C">
        <w:t xml:space="preserve">, </w:t>
      </w:r>
      <w:r w:rsidR="003E2C7C">
        <w:t xml:space="preserve">o dostupnosti </w:t>
      </w:r>
      <w:r w:rsidR="003E2C7C" w:rsidRPr="003E2C7C">
        <w:t>informacija u sustavu IEC</w:t>
      </w:r>
      <w:r w:rsidR="003E2C7C">
        <w:t xml:space="preserve">, </w:t>
      </w:r>
      <w:r w:rsidR="00D95D9C">
        <w:t>a također će se provesti i ciljana kampanja za informiranje i podizanje svij</w:t>
      </w:r>
      <w:r w:rsidR="00D43BFD">
        <w:t>e</w:t>
      </w:r>
      <w:r w:rsidR="00D95D9C">
        <w:t>sti o nZEB standardu novogra</w:t>
      </w:r>
      <w:r w:rsidR="00D43BFD">
        <w:t>d</w:t>
      </w:r>
      <w:r w:rsidR="00D95D9C">
        <w:t xml:space="preserve">nje i energetske obnove zgrada. </w:t>
      </w:r>
    </w:p>
    <w:p w14:paraId="16CF5671" w14:textId="569CFC43" w:rsidR="00961B1F" w:rsidRPr="009A052E" w:rsidRDefault="009B0451" w:rsidP="00C21988">
      <w:pPr>
        <w:rPr>
          <w:u w:val="single"/>
        </w:rPr>
      </w:pPr>
      <w:r>
        <w:rPr>
          <w:u w:val="single"/>
        </w:rPr>
        <w:t xml:space="preserve">ENU-3: </w:t>
      </w:r>
      <w:r w:rsidR="00961B1F" w:rsidRPr="009A052E">
        <w:rPr>
          <w:u w:val="single"/>
        </w:rPr>
        <w:t>Program energetske obnove višestambenih zgrada</w:t>
      </w:r>
      <w:r w:rsidR="00294212" w:rsidRPr="009A052E">
        <w:rPr>
          <w:u w:val="single"/>
        </w:rPr>
        <w:t xml:space="preserve"> (B.3</w:t>
      </w:r>
      <w:r w:rsidR="004B2189" w:rsidRPr="009A052E">
        <w:rPr>
          <w:u w:val="single"/>
        </w:rPr>
        <w:t>; MEN-2</w:t>
      </w:r>
      <w:r w:rsidR="00294212" w:rsidRPr="009A052E">
        <w:rPr>
          <w:u w:val="single"/>
        </w:rPr>
        <w:t>)</w:t>
      </w:r>
    </w:p>
    <w:p w14:paraId="5C6E634D" w14:textId="09520B14" w:rsidR="004B2189" w:rsidRDefault="004B2189" w:rsidP="00C21988">
      <w:r w:rsidRPr="004B2189">
        <w:t>Program je potrebno koncipirati kao nastavak provedbe Programa energetske obnove višestambenih zgrada</w:t>
      </w:r>
      <w:r w:rsidR="00E35991">
        <w:t xml:space="preserve"> </w:t>
      </w:r>
      <w:r w:rsidR="008145E2">
        <w:t xml:space="preserve">iz razdoblja </w:t>
      </w:r>
      <w:r w:rsidR="00FB648C">
        <w:t xml:space="preserve">od </w:t>
      </w:r>
      <w:r w:rsidRPr="004B2189">
        <w:t>2014</w:t>
      </w:r>
      <w:r w:rsidR="008145E2">
        <w:t xml:space="preserve">. </w:t>
      </w:r>
      <w:r w:rsidR="00FB648C">
        <w:t>do</w:t>
      </w:r>
      <w:r w:rsidR="008145E2">
        <w:t xml:space="preserve"> </w:t>
      </w:r>
      <w:r w:rsidRPr="004B2189">
        <w:t>2020. U tu svrhu, potrebno je planirati sredstva iz ESI fondova za sljedeće programsko razdoblje 2021</w:t>
      </w:r>
      <w:r w:rsidR="008145E2">
        <w:t>.</w:t>
      </w:r>
      <w:r w:rsidRPr="004B2189">
        <w:t>-2027</w:t>
      </w:r>
      <w:r w:rsidR="008145E2">
        <w:t>.</w:t>
      </w:r>
      <w:r w:rsidRPr="004B2189">
        <w:t xml:space="preserve"> (s provedbom do 2030</w:t>
      </w:r>
      <w:r w:rsidR="008145E2">
        <w:t>.</w:t>
      </w:r>
      <w:r w:rsidRPr="004B2189">
        <w:t>)</w:t>
      </w:r>
      <w:r w:rsidR="006F7131">
        <w:t>, a provedbene procedure je potrebno značajno olakšati, poglavito u dijelu provedbe javne nabave</w:t>
      </w:r>
      <w:r w:rsidRPr="004B2189">
        <w:t xml:space="preserve">. Alokaciju za ovaj Program je potrebno planirati </w:t>
      </w:r>
      <w:r w:rsidR="00D43BFD">
        <w:t>tako</w:t>
      </w:r>
      <w:r w:rsidRPr="004B2189">
        <w:t xml:space="preserve"> da se osiguraju bespovratna sredstava u iznosu kao i u prethodnom Programu od 60% opravdanih troškova</w:t>
      </w:r>
      <w:r w:rsidR="00AE7A2C">
        <w:t xml:space="preserve">, uz maksimalno sufinanciranje energetskih pregleda, </w:t>
      </w:r>
      <w:r w:rsidR="00C04F9D">
        <w:t>energetskih certifikata, projektne dokumentacije i tehničke pomoći u</w:t>
      </w:r>
      <w:r w:rsidR="007D7B4A">
        <w:t xml:space="preserve"> </w:t>
      </w:r>
      <w:r w:rsidR="00C04F9D">
        <w:t>pripremi i provedbi projekta</w:t>
      </w:r>
      <w:r w:rsidR="00EE76EB">
        <w:t>. Tehnički</w:t>
      </w:r>
      <w:r w:rsidR="0086329E">
        <w:t xml:space="preserve"> </w:t>
      </w:r>
      <w:r w:rsidR="00EE76EB">
        <w:t>uvjeti također trebaju ostati kao u postojeć</w:t>
      </w:r>
      <w:r w:rsidR="007D7B4A">
        <w:t>e</w:t>
      </w:r>
      <w:r w:rsidR="00EE76EB">
        <w:t>m Programu, dakle potrebno je ostvariti</w:t>
      </w:r>
      <w:r w:rsidR="0029757B">
        <w:t xml:space="preserve"> smanjenje toplinskih potreba zgrade od najmanje 50%</w:t>
      </w:r>
      <w:r w:rsidRPr="004B2189">
        <w:t xml:space="preserve">. Snažnije je potrebno poticati obnovu do </w:t>
      </w:r>
      <w:r w:rsidR="00CF19AB">
        <w:t>nZEB</w:t>
      </w:r>
      <w:r w:rsidRPr="004B2189">
        <w:t xml:space="preserve"> standarda.</w:t>
      </w:r>
      <w:r w:rsidR="006E7E7A">
        <w:t xml:space="preserve"> Dodatno, potrebno je razmotriti osnivanje posebnog fonda iz kojega će se troškovi refundirati energetski siromašnim kućanstvima</w:t>
      </w:r>
      <w:r w:rsidR="00485E93">
        <w:t xml:space="preserve"> ili kućanstvima u riziku od energetskog siromaštva</w:t>
      </w:r>
      <w:r w:rsidR="006E7E7A">
        <w:t>, kako bi se uklonila</w:t>
      </w:r>
      <w:r w:rsidR="00EB4C50">
        <w:t xml:space="preserve"> prepreka</w:t>
      </w:r>
      <w:r w:rsidR="00FB6329">
        <w:t xml:space="preserve"> osiguravanja dovoljnog broja suglasnosti </w:t>
      </w:r>
      <w:r w:rsidR="008C76F9">
        <w:t xml:space="preserve">suvlasnika </w:t>
      </w:r>
      <w:r w:rsidR="00FB6329">
        <w:t xml:space="preserve">za energetsku obnovu. </w:t>
      </w:r>
      <w:r w:rsidR="00690C57">
        <w:t>Provedba Programa mora biti praćena snažnim promotivnim aktivnostima</w:t>
      </w:r>
      <w:r w:rsidR="00947024">
        <w:t xml:space="preserve">, </w:t>
      </w:r>
      <w:r w:rsidR="00B12475">
        <w:t xml:space="preserve">osiguranom </w:t>
      </w:r>
      <w:r w:rsidR="00947024">
        <w:t>tehničkom pomoći prijaviteljima</w:t>
      </w:r>
      <w:r w:rsidR="00690C57">
        <w:t xml:space="preserve"> te je nužno osigurati praćenje potrošnje energije prije </w:t>
      </w:r>
      <w:r w:rsidR="00E278BD">
        <w:t>i nakon energ</w:t>
      </w:r>
      <w:r w:rsidR="007D7B4A">
        <w:t>e</w:t>
      </w:r>
      <w:r w:rsidR="00E278BD">
        <w:t xml:space="preserve">tske obnove. </w:t>
      </w:r>
    </w:p>
    <w:p w14:paraId="0E536113" w14:textId="710CCE31" w:rsidR="00961B1F" w:rsidRPr="009A052E" w:rsidRDefault="009B0451" w:rsidP="00C21988">
      <w:pPr>
        <w:rPr>
          <w:u w:val="single"/>
        </w:rPr>
      </w:pPr>
      <w:r>
        <w:rPr>
          <w:u w:val="single"/>
        </w:rPr>
        <w:t xml:space="preserve">ENU-4: </w:t>
      </w:r>
      <w:r w:rsidR="00961B1F" w:rsidRPr="009A052E">
        <w:rPr>
          <w:u w:val="single"/>
        </w:rPr>
        <w:t>Program energetske obnove obiteljskih kuća</w:t>
      </w:r>
      <w:r w:rsidR="00000C32" w:rsidRPr="009A052E">
        <w:rPr>
          <w:u w:val="single"/>
        </w:rPr>
        <w:t xml:space="preserve"> (</w:t>
      </w:r>
      <w:r w:rsidR="00FE1DD6" w:rsidRPr="009A052E">
        <w:rPr>
          <w:u w:val="single"/>
        </w:rPr>
        <w:t>B.5; MEN-4</w:t>
      </w:r>
      <w:r w:rsidR="00000C32" w:rsidRPr="009A052E">
        <w:rPr>
          <w:u w:val="single"/>
        </w:rPr>
        <w:t>)</w:t>
      </w:r>
    </w:p>
    <w:p w14:paraId="0734561B" w14:textId="022AE5FE" w:rsidR="00C550CA" w:rsidRDefault="00C550CA" w:rsidP="00BA1987">
      <w:r w:rsidRPr="004B2189">
        <w:t xml:space="preserve">Program je potrebno koncipirati kao nastavak provedbe Programa energetske obnove </w:t>
      </w:r>
      <w:r>
        <w:t>obiteljskih kuća</w:t>
      </w:r>
      <w:r w:rsidRPr="004B2189">
        <w:t xml:space="preserve"> </w:t>
      </w:r>
      <w:r>
        <w:t xml:space="preserve">iz razdoblja </w:t>
      </w:r>
      <w:r w:rsidR="00FB648C">
        <w:t xml:space="preserve">od </w:t>
      </w:r>
      <w:r w:rsidRPr="004B2189">
        <w:t>2014</w:t>
      </w:r>
      <w:r>
        <w:t xml:space="preserve">. </w:t>
      </w:r>
      <w:r w:rsidR="00FB648C">
        <w:t>do</w:t>
      </w:r>
      <w:r>
        <w:t xml:space="preserve"> </w:t>
      </w:r>
      <w:r w:rsidRPr="004B2189">
        <w:t>2020.</w:t>
      </w:r>
      <w:r>
        <w:t xml:space="preserve">, poglavito iz razdoblja 2014. do 2016. kada se Program providio uz sufinanciranje iz sredstava Fonda za zaštitu okoliša i energetsku učinkovitost. </w:t>
      </w:r>
      <w:r w:rsidR="00041FD1">
        <w:t>Naime, zbog kompleksnosti administrativnih procedura za korištenje sred</w:t>
      </w:r>
      <w:r w:rsidR="00FB648C">
        <w:t>st</w:t>
      </w:r>
      <w:r w:rsidR="00CB45C0">
        <w:t>a</w:t>
      </w:r>
      <w:r w:rsidR="00041FD1">
        <w:t xml:space="preserve">va ESI fondova, za ovaj Program potrebno je planirati sredstva iz nacionalnih izvora. Primarni izvor sufinanciranja trebaju biti </w:t>
      </w:r>
      <w:r w:rsidR="0011531B" w:rsidRPr="0011531B">
        <w:t xml:space="preserve">prihodi od prodaje emisijskih jedinica stakleničkih plinova na </w:t>
      </w:r>
      <w:r w:rsidR="00CB45C0">
        <w:t>dražbama</w:t>
      </w:r>
      <w:r w:rsidR="00BA1987">
        <w:t xml:space="preserve">. </w:t>
      </w:r>
      <w:r w:rsidRPr="004B2189">
        <w:t xml:space="preserve">Alokaciju za ovaj Program je potrebno planirati </w:t>
      </w:r>
      <w:r w:rsidR="00C70AEA">
        <w:t>t</w:t>
      </w:r>
      <w:r w:rsidR="007D7B4A">
        <w:t xml:space="preserve">ako da </w:t>
      </w:r>
      <w:r w:rsidRPr="004B2189">
        <w:t>se osiguraju bespovratna sredstava u iznosu kao i u prethodnom Programu od 60% opravdanih troškova</w:t>
      </w:r>
      <w:r w:rsidR="00CB45C0">
        <w:t>, uz maksimalno sufinanciranje energetskih pregleda, energetskih certifikata, projektne dokumentacije i tehničke pomoći u</w:t>
      </w:r>
      <w:r w:rsidR="007D7B4A">
        <w:t xml:space="preserve"> </w:t>
      </w:r>
      <w:r w:rsidR="00CB45C0">
        <w:t>pripremi i provedbi projekta.</w:t>
      </w:r>
      <w:r w:rsidR="0086329E">
        <w:t xml:space="preserve"> </w:t>
      </w:r>
      <w:r w:rsidR="00CB45C0">
        <w:t>Tehnički</w:t>
      </w:r>
      <w:r w:rsidR="0086329E">
        <w:t xml:space="preserve"> </w:t>
      </w:r>
      <w:r w:rsidR="00CB45C0">
        <w:t>uvjeti također trebaju ostati kao u postojeć</w:t>
      </w:r>
      <w:r w:rsidR="007D7B4A">
        <w:t>e</w:t>
      </w:r>
      <w:r w:rsidR="00CB45C0">
        <w:t xml:space="preserve">m Programu, dakle potrebno je ostvariti </w:t>
      </w:r>
      <w:r>
        <w:t>smanjenje toplinskih potreba zgrade od najmanje 50%</w:t>
      </w:r>
      <w:r w:rsidRPr="004B2189">
        <w:t xml:space="preserve">. </w:t>
      </w:r>
      <w:r w:rsidR="00CB45C0">
        <w:t>Dodatno, p</w:t>
      </w:r>
      <w:r w:rsidR="0070079F">
        <w:t>otrebno je ostaviti mogućnost provedbe individualnih mjera</w:t>
      </w:r>
      <w:r w:rsidR="0028034A">
        <w:t>, ali uz uvažavanje redosl</w:t>
      </w:r>
      <w:r w:rsidR="007D7B4A">
        <w:t>i</w:t>
      </w:r>
      <w:r w:rsidR="0028034A">
        <w:t>jeda provedbe mjera (npr. zamjenu sustava grijanja učinkovitijim</w:t>
      </w:r>
      <w:r w:rsidR="00BD295B">
        <w:t xml:space="preserve"> treba om</w:t>
      </w:r>
      <w:r w:rsidR="007D7B4A">
        <w:t>o</w:t>
      </w:r>
      <w:r w:rsidR="00BD295B">
        <w:t xml:space="preserve">gućiti samo onim kućama koje imaju dobre </w:t>
      </w:r>
      <w:r w:rsidR="00011D51">
        <w:t>toplin</w:t>
      </w:r>
      <w:r w:rsidR="007D7B4A">
        <w:t>s</w:t>
      </w:r>
      <w:r w:rsidR="00011D51">
        <w:t>ke</w:t>
      </w:r>
      <w:r w:rsidR="00BD295B">
        <w:t xml:space="preserve"> karakteristike i ne trebaju </w:t>
      </w:r>
      <w:r w:rsidR="005D5BF2">
        <w:t>zahvate na ovojnici</w:t>
      </w:r>
      <w:r w:rsidR="0028034A">
        <w:t xml:space="preserve">). </w:t>
      </w:r>
      <w:r w:rsidRPr="004B2189">
        <w:t xml:space="preserve">Snažnije je potrebno poticati obnovu do </w:t>
      </w:r>
      <w:r>
        <w:t>nZEB</w:t>
      </w:r>
      <w:r w:rsidRPr="004B2189">
        <w:t xml:space="preserve"> standarda.</w:t>
      </w:r>
      <w:r>
        <w:t xml:space="preserve"> </w:t>
      </w:r>
      <w:r w:rsidR="00556246">
        <w:t xml:space="preserve">Energetski siromašna kućanstva trebaju biti obuhvaćena posebnim programom </w:t>
      </w:r>
      <w:r w:rsidR="009C7B93">
        <w:t>(</w:t>
      </w:r>
      <w:r w:rsidR="00B12475">
        <w:t>H.5; MEN-11</w:t>
      </w:r>
      <w:r w:rsidR="009C7B93">
        <w:t>)</w:t>
      </w:r>
      <w:r w:rsidR="00011D51">
        <w:t xml:space="preserve">, opisanim u </w:t>
      </w:r>
      <w:r w:rsidR="0037785D">
        <w:t>poglavlju 3.4.4. ovog Plana</w:t>
      </w:r>
      <w:r w:rsidR="009C7B93">
        <w:t xml:space="preserve">. </w:t>
      </w:r>
      <w:r>
        <w:t>Provedba Programa mora biti praćena snažnim promotivnim aktivnostima</w:t>
      </w:r>
      <w:r w:rsidR="00B12475">
        <w:t>, osiguranom tehničk</w:t>
      </w:r>
      <w:r w:rsidR="006F5EDA">
        <w:t>om pomoći prijaviteljima</w:t>
      </w:r>
      <w:r>
        <w:t xml:space="preserve"> te je nužno osigurati praćenje potrošnje energije prije i nakon energ</w:t>
      </w:r>
      <w:r w:rsidR="007D7B4A">
        <w:t>e</w:t>
      </w:r>
      <w:r>
        <w:t xml:space="preserve">tske obnove. </w:t>
      </w:r>
    </w:p>
    <w:p w14:paraId="7FAC3233" w14:textId="1E431FCD" w:rsidR="00263955" w:rsidRPr="00B66412" w:rsidRDefault="00DA25AD" w:rsidP="00C21988">
      <w:pPr>
        <w:rPr>
          <w:u w:val="single"/>
        </w:rPr>
      </w:pPr>
      <w:r>
        <w:rPr>
          <w:u w:val="single"/>
        </w:rPr>
        <w:t xml:space="preserve">ENU-5: </w:t>
      </w:r>
      <w:r w:rsidR="00961B1F" w:rsidRPr="00B66412">
        <w:rPr>
          <w:u w:val="single"/>
        </w:rPr>
        <w:t xml:space="preserve">Program energetske obnove zgrada javnog sektora </w:t>
      </w:r>
      <w:r w:rsidR="006F5EDA" w:rsidRPr="00B66412">
        <w:rPr>
          <w:u w:val="single"/>
        </w:rPr>
        <w:t>(</w:t>
      </w:r>
      <w:r w:rsidR="0058410E" w:rsidRPr="00B66412">
        <w:rPr>
          <w:u w:val="single"/>
        </w:rPr>
        <w:t>P.2; MEN-5</w:t>
      </w:r>
      <w:r w:rsidR="006F5EDA" w:rsidRPr="00B66412">
        <w:rPr>
          <w:u w:val="single"/>
        </w:rPr>
        <w:t>)</w:t>
      </w:r>
      <w:r w:rsidR="00961B1F" w:rsidRPr="00B66412">
        <w:rPr>
          <w:u w:val="single"/>
        </w:rPr>
        <w:t xml:space="preserve"> </w:t>
      </w:r>
    </w:p>
    <w:p w14:paraId="3176E0EE" w14:textId="401D11FC" w:rsidR="00961B1F" w:rsidRDefault="006176D6" w:rsidP="00C21988">
      <w:r w:rsidRPr="006176D6">
        <w:t xml:space="preserve">Mjera predstavlja nastavak provedbe Programa energetske obnove zgrada javnog sektora </w:t>
      </w:r>
      <w:r w:rsidR="0037785D">
        <w:t xml:space="preserve">iz razdoblja </w:t>
      </w:r>
      <w:r w:rsidRPr="006176D6">
        <w:t>2016</w:t>
      </w:r>
      <w:r w:rsidR="005F18DB">
        <w:t>.</w:t>
      </w:r>
      <w:r w:rsidR="0086329E">
        <w:t xml:space="preserve"> </w:t>
      </w:r>
      <w:r w:rsidR="0037785D">
        <w:t xml:space="preserve">do </w:t>
      </w:r>
      <w:r w:rsidRPr="006176D6">
        <w:t>2020. U tu svrhu, potrebno je planirati sredstva iz ESI fondova za sljedeće programsko razdoblje 2021</w:t>
      </w:r>
      <w:r w:rsidR="00500B62">
        <w:t xml:space="preserve">. </w:t>
      </w:r>
      <w:r w:rsidRPr="006176D6">
        <w:t>-2027</w:t>
      </w:r>
      <w:r w:rsidR="00500B62">
        <w:t>.</w:t>
      </w:r>
      <w:r w:rsidRPr="006176D6">
        <w:t xml:space="preserve"> (s provedbom do 2030). Sredstva je potrebno planirati </w:t>
      </w:r>
      <w:r w:rsidR="007D7B4A">
        <w:t xml:space="preserve">tako </w:t>
      </w:r>
      <w:r w:rsidRPr="006176D6">
        <w:t xml:space="preserve">da se osigura </w:t>
      </w:r>
      <w:r w:rsidR="0022301A">
        <w:t xml:space="preserve">i </w:t>
      </w:r>
      <w:r w:rsidRPr="006176D6">
        <w:t>aktiviranje privatnog kapitala i ESCO tržišta</w:t>
      </w:r>
      <w:r w:rsidR="000A7E4F">
        <w:t xml:space="preserve">, </w:t>
      </w:r>
      <w:r w:rsidR="00DD4B28">
        <w:t xml:space="preserve">poglavito za zgrade </w:t>
      </w:r>
      <w:r w:rsidR="00A07098">
        <w:t xml:space="preserve">koje su prikladne za </w:t>
      </w:r>
      <w:r w:rsidR="00D238F5">
        <w:t>ovakve modele financiranja (zgrade s</w:t>
      </w:r>
      <w:r w:rsidR="004E18D5">
        <w:t xml:space="preserve"> kontinuiranim radom, kao što su bolnice, kaznionice, </w:t>
      </w:r>
      <w:r w:rsidR="00EF0E4B">
        <w:t>domovi za smještaj starijih i sl.</w:t>
      </w:r>
      <w:r w:rsidR="00D238F5">
        <w:t>)</w:t>
      </w:r>
      <w:r w:rsidR="00BD677B">
        <w:t xml:space="preserve"> i koje pripadaju kategoriji zgrada središnje države, za koje postoji obvezujući cilj obnove definiran u Direktivi </w:t>
      </w:r>
      <w:r w:rsidR="0022301A">
        <w:t xml:space="preserve">2012/27/EU </w:t>
      </w:r>
      <w:r w:rsidR="00BD677B">
        <w:t xml:space="preserve">o </w:t>
      </w:r>
      <w:r w:rsidR="0022301A">
        <w:t>energetskoj učinkovitosti</w:t>
      </w:r>
      <w:r w:rsidRPr="006176D6">
        <w:t>.</w:t>
      </w:r>
      <w:r w:rsidR="006E5F3B">
        <w:t xml:space="preserve"> Tržišne modele potrebno je kombinirati s bespovratnim sredstvima</w:t>
      </w:r>
      <w:r w:rsidR="001355CA">
        <w:t xml:space="preserve"> s ciljem postizanja nZEB standarda. Za</w:t>
      </w:r>
      <w:r w:rsidR="0074794D">
        <w:t xml:space="preserve"> </w:t>
      </w:r>
      <w:r w:rsidR="001355CA">
        <w:t xml:space="preserve">zgrade </w:t>
      </w:r>
      <w:r w:rsidR="0074794D">
        <w:t>koje nisu prikladne za tržišne modele, potrebno je osigurati bespovratna sredstva pre</w:t>
      </w:r>
      <w:r w:rsidR="00273883">
        <w:t>ma istim uvjetima kao u dosadašnjem programu.</w:t>
      </w:r>
      <w:r w:rsidR="001074EE">
        <w:t xml:space="preserve"> Obnovu zgrada javnog sektora nužno je usmjeriti prema nZEB </w:t>
      </w:r>
      <w:r w:rsidR="00250654">
        <w:t>standardu</w:t>
      </w:r>
      <w:r w:rsidR="001074EE">
        <w:t xml:space="preserve"> </w:t>
      </w:r>
      <w:r w:rsidR="00FB37D7">
        <w:t xml:space="preserve">gdjegod je to tehnički izvedivo. </w:t>
      </w:r>
    </w:p>
    <w:p w14:paraId="57297AF7" w14:textId="77777777" w:rsidR="00C21988" w:rsidRPr="002B132A" w:rsidRDefault="00C21988" w:rsidP="00CA23DB">
      <w:pPr>
        <w:pStyle w:val="ListParagraph"/>
        <w:numPr>
          <w:ilvl w:val="0"/>
          <w:numId w:val="63"/>
        </w:numPr>
        <w:tabs>
          <w:tab w:val="clear" w:pos="431"/>
        </w:tabs>
        <w:suppressAutoHyphens w:val="0"/>
        <w:spacing w:after="160" w:line="259" w:lineRule="auto"/>
        <w:contextualSpacing/>
        <w:jc w:val="left"/>
        <w:rPr>
          <w:b/>
          <w:i/>
        </w:rPr>
      </w:pPr>
      <w:r w:rsidRPr="002B132A">
        <w:rPr>
          <w:b/>
          <w:i/>
        </w:rPr>
        <w:t xml:space="preserve">Opis politika i mjera za poticanje energetskih usluga u javnom sektoru i mjera za uklanjanje regulatornih i neregulatornih prepreka koje onemogućuju uvođenje ugovora o energetskom učinku i drugih modela usluga energetske učinkovitosti </w:t>
      </w:r>
    </w:p>
    <w:p w14:paraId="31C582C7" w14:textId="439213CD" w:rsidR="00BB04AA" w:rsidRDefault="00BB04AA" w:rsidP="000627D5">
      <w:pPr>
        <w:suppressAutoHyphens w:val="0"/>
        <w:spacing w:after="160" w:line="259" w:lineRule="auto"/>
      </w:pPr>
      <w:r>
        <w:t>Prema čl. 25 Zakona o energetskoj učinkovitosti (NN 127/14) definirana je energetska usluga kao okvir za provedbu projekata energetske učinkovitosti i ostalih povezanih aktivnosti, a temelji se na ugovoru o energetskom učinku s jamstvom da u referentnim uvjetima vodi do provjerljivog i mjerljivog ili procjenjivog poboljšanja energetske učinkovitosti i/ili ušteda energije i/ili vode. Prema konačnom prijedlogu Zakona o izmjenama i dopunama Zakona o energetskoj učinkovitosti definicija se proširuje čime je moguće uključiti i slučajeve gdje pružatelj energetske usluge pruža stručno znanje upravljanja energetikom bez izravnih ulaganja te je uključena mogućnost smanjenja troškova povezanih s energijom bez smanjenja potrošnje energije.</w:t>
      </w:r>
    </w:p>
    <w:p w14:paraId="0136D919" w14:textId="77777777" w:rsidR="00BB04AA" w:rsidRDefault="00BB04AA" w:rsidP="000627D5">
      <w:pPr>
        <w:suppressAutoHyphens w:val="0"/>
        <w:spacing w:after="160" w:line="259" w:lineRule="auto"/>
      </w:pPr>
      <w:r>
        <w:t>Sadržaj ugovora o energetskom učinku se prema konačnom prijedlogu Zakona o izmjenama i dopunama Zakona o energetskoj učinkovitosti definira samo za javne zgrade čime se u privatnom sektoru pristup ovoj problematici liberalizira i može se očekivati pozitivan utjecaj na tržište.</w:t>
      </w:r>
    </w:p>
    <w:p w14:paraId="30334E87" w14:textId="1134AFAC" w:rsidR="00BB04AA" w:rsidRDefault="00BB04AA" w:rsidP="000627D5">
      <w:pPr>
        <w:suppressAutoHyphens w:val="0"/>
        <w:spacing w:after="160" w:line="259" w:lineRule="auto"/>
      </w:pPr>
      <w:r>
        <w:t>Pravilnik o sustavu za praćenje, mjerenje i verifikaciju ušteda energije (NN 71/15) je potrebno kompletno revidirati</w:t>
      </w:r>
      <w:r w:rsidR="00BC7E10">
        <w:t>,</w:t>
      </w:r>
      <w:r>
        <w:t xml:space="preserve"> jer se konačnim prijedlogom Zakona o izmjenama i dopunama Zakona o energetskoj učinkovitosti propisuje detaljna razrada načina verifikacije ušteda navedenim pravilnikom. Ključne zamjerke su zastarjeli referentni podaci koji se koriste za izračun ušteda (pogotovo kod tehnologija koje su u prethodnom razdoblju imale značajan tehnološki razvoj), limitiran broj obrađenih mjera te, najvažnije, nedostatak metoda ili referenciranje na metode verifikacije ušteda prema stvarnim mjerenjima.</w:t>
      </w:r>
    </w:p>
    <w:p w14:paraId="3B585E98" w14:textId="7ED20652" w:rsidR="00BB04AA" w:rsidRDefault="00BB04AA" w:rsidP="000627D5">
      <w:pPr>
        <w:suppressAutoHyphens w:val="0"/>
        <w:spacing w:after="160" w:line="259" w:lineRule="auto"/>
      </w:pPr>
      <w:r>
        <w:t>Konačn</w:t>
      </w:r>
      <w:r w:rsidR="000627D5">
        <w:t>i</w:t>
      </w:r>
      <w:r>
        <w:t>m prijedlogu zakona o izmjenama i dopunama Zakona o energetskoj učinkovitosti ispravlja se većina uočenih nedostataka, poput poreza na dodanu vrijednost, uključenost stručnih usluga bez investiranja ili smanjenje isključivo troškova vezanih uz energiju.</w:t>
      </w:r>
    </w:p>
    <w:p w14:paraId="706AA5C9" w14:textId="62C03CC1" w:rsidR="00BE0B17" w:rsidRDefault="00BB04AA" w:rsidP="00BE0B17">
      <w:pPr>
        <w:suppressAutoHyphens w:val="0"/>
        <w:spacing w:after="160" w:line="259" w:lineRule="auto"/>
      </w:pPr>
      <w:r>
        <w:t xml:space="preserve">Zakonska regulativa i dosadašnja provedbena politika osigurava poticaj implementaciji mjera energetske učinkovitosti kroz financijske instrumente, pogotovo kroz energetsku uslugu. Potrebno je osigurati i uključenost novčanih sredstava iz Europskih strukturnih i investicijskih fondova uz kombinaciju energetske usluge ili javno-privatnog partnerstva. Potrebno je još uskladiti sekundarnu legislativu (pravilnike) i kao primjere dobre prakse izraditi javno dostupnu dokumentaciju kojim bi se detaljnije pojasnila složena tematika ugovora o energetskom učinku poput modela ugovaranja energetske usluge, detalje ugovaranja i osiguravanja dobave energenta i energetskog učinka, proračunsko-pravne probleme, hodogram projekata, identifikaciju projekata te razne tehničke priloge vezane uz intenzivnost potrošnje pojedinih javnih zgrada, primjere iz prakse te prijedlog ugovora sa svim stavkama. </w:t>
      </w:r>
    </w:p>
    <w:p w14:paraId="4D6C9009" w14:textId="6B544492" w:rsidR="00C21988" w:rsidRPr="00E359D4" w:rsidRDefault="00C21988" w:rsidP="00CA23DB">
      <w:pPr>
        <w:pStyle w:val="ListParagraph"/>
        <w:numPr>
          <w:ilvl w:val="0"/>
          <w:numId w:val="63"/>
        </w:numPr>
        <w:tabs>
          <w:tab w:val="clear" w:pos="431"/>
        </w:tabs>
        <w:suppressAutoHyphens w:val="0"/>
        <w:spacing w:after="160" w:line="259" w:lineRule="auto"/>
        <w:contextualSpacing/>
        <w:jc w:val="left"/>
        <w:rPr>
          <w:b/>
          <w:i/>
        </w:rPr>
      </w:pPr>
      <w:r w:rsidRPr="00E359D4">
        <w:rPr>
          <w:b/>
          <w:i/>
        </w:rPr>
        <w:t>Druge planirane politike, mjere i programi za ostvarivanje okvirnog nacionalnog cilja povećanja energetske učinkovitosti za 2030., kao i drugi ciljevi iz odjeljka 2.2. (primjerice mjere kojima se postiže da javne zgrade i energetski učinkovita javna nabava budu uzor, mjere za promicanje energetskih pregleda i sustava gospodarenja energijom , informiranje potrošača i mjere osposobljavanja</w:t>
      </w:r>
      <w:r w:rsidR="00E35991">
        <w:rPr>
          <w:b/>
          <w:i/>
        </w:rPr>
        <w:t xml:space="preserve"> </w:t>
      </w:r>
      <w:r w:rsidRPr="00E359D4">
        <w:rPr>
          <w:b/>
          <w:i/>
        </w:rPr>
        <w:t>te druge mjere za promicanje energetske učinkovitosti )</w:t>
      </w:r>
    </w:p>
    <w:p w14:paraId="6E7D76A1" w14:textId="77777777" w:rsidR="00C21988" w:rsidRPr="00114C23" w:rsidRDefault="00C21988" w:rsidP="00C21988">
      <w:pPr>
        <w:shd w:val="clear" w:color="auto" w:fill="D9D9D9" w:themeFill="background1" w:themeFillShade="D9"/>
        <w:ind w:left="705" w:hanging="705"/>
        <w:rPr>
          <w:rFonts w:cstheme="minorHAnsi"/>
          <w:i/>
        </w:rPr>
      </w:pPr>
      <w:r w:rsidRPr="00114C23">
        <w:rPr>
          <w:rFonts w:cstheme="minorHAnsi"/>
          <w:i/>
        </w:rPr>
        <w:t>Mjere u javnom sektoru</w:t>
      </w:r>
    </w:p>
    <w:p w14:paraId="1CE16A1D" w14:textId="2911BB7A" w:rsidR="00D61BE5" w:rsidRPr="00D54686" w:rsidRDefault="00D61BE5" w:rsidP="00D235FB">
      <w:pPr>
        <w:rPr>
          <w:rFonts w:cstheme="minorHAnsi"/>
        </w:rPr>
      </w:pPr>
      <w:r w:rsidRPr="00D54686">
        <w:rPr>
          <w:rFonts w:cstheme="minorHAnsi"/>
        </w:rPr>
        <w:t>Za javni sektor predviđa se nastavak provedbe postojećih mjera, uz širenje njihovog obuhvata</w:t>
      </w:r>
      <w:r w:rsidR="00D235FB" w:rsidRPr="00D54686">
        <w:rPr>
          <w:rFonts w:cstheme="minorHAnsi"/>
        </w:rPr>
        <w:t>.</w:t>
      </w:r>
      <w:r w:rsidRPr="00D54686">
        <w:rPr>
          <w:rFonts w:cstheme="minorHAnsi"/>
        </w:rPr>
        <w:t xml:space="preserve"> </w:t>
      </w:r>
    </w:p>
    <w:p w14:paraId="5E3CFB3E" w14:textId="5D004A08" w:rsidR="00C21988" w:rsidRPr="00114C23" w:rsidRDefault="00DA25AD" w:rsidP="00C21988">
      <w:pPr>
        <w:ind w:left="705" w:hanging="705"/>
        <w:rPr>
          <w:rFonts w:cstheme="minorHAnsi"/>
          <w:u w:val="single"/>
        </w:rPr>
      </w:pPr>
      <w:r>
        <w:rPr>
          <w:rFonts w:cstheme="minorHAnsi"/>
          <w:u w:val="single"/>
        </w:rPr>
        <w:t xml:space="preserve">ENU-6: </w:t>
      </w:r>
      <w:r w:rsidR="00C21988" w:rsidRPr="00114C23">
        <w:rPr>
          <w:rFonts w:cstheme="minorHAnsi"/>
          <w:u w:val="single"/>
        </w:rPr>
        <w:t>Sustavno gospodarenje energijom u javnom sektoru (P.3</w:t>
      </w:r>
      <w:r w:rsidR="00FF6995">
        <w:rPr>
          <w:rFonts w:cstheme="minorHAnsi"/>
          <w:u w:val="single"/>
        </w:rPr>
        <w:t>; MEN-6</w:t>
      </w:r>
      <w:r w:rsidR="00C21988" w:rsidRPr="00114C23">
        <w:rPr>
          <w:rFonts w:cstheme="minorHAnsi"/>
          <w:u w:val="single"/>
        </w:rPr>
        <w:t>)</w:t>
      </w:r>
    </w:p>
    <w:p w14:paraId="13DB7185" w14:textId="77777777" w:rsidR="00617530" w:rsidRDefault="00C21988" w:rsidP="006F06B4">
      <w:pPr>
        <w:suppressAutoHyphens w:val="0"/>
        <w:spacing w:after="160" w:line="259" w:lineRule="auto"/>
      </w:pPr>
      <w:r w:rsidRPr="006F06B4">
        <w:t xml:space="preserve">Javni sektor u Hrvatskoj obvezan je sustavno gospodariti energijom, što je posebno propisano Zakonom o energetskoj učinkovitosti odnosno Pravilnikom o sustavnom gospodarenju energijom (NN br. 18/15, 06/16). Temelj mjere je informacijski sustav za gospodarenje energijom (ISGE). </w:t>
      </w:r>
    </w:p>
    <w:p w14:paraId="360C1A46" w14:textId="77777777" w:rsidR="00617530" w:rsidRDefault="00C21988" w:rsidP="006F06B4">
      <w:pPr>
        <w:suppressAutoHyphens w:val="0"/>
        <w:spacing w:after="160" w:line="259" w:lineRule="auto"/>
      </w:pPr>
      <w:r w:rsidRPr="006F06B4">
        <w:t xml:space="preserve">U razdoblju do 2020. godine naglasak će biti na automatizaciji prikupljanja podataka o potrošnji energenata i vode (daljinsko očitanje), povezivanju ISGE-a sa sustavima dobavljača energenata i vode, izvještavanju i verifikaciji mjera uštede te educiranju energetskih suradnika i savjetnika zaduženih za gospodarenje energijom u svojim zgradama. Cilj je daljinskim očitanje do 2020. godine obuhvatiti sve lokacije unutar javnog sektora čija je potrošnje energije i vode veća od 400.000,00 kn/god. Dodatno se do 2020. godine planira provedba mjera koje uključuju: optimizaciju ugovaranja vršne snage, smanjenje prekomjerno preuzete jalove energije, optimizaciju ugovaranja toplinske snage, analizu potencijala za zamjenu i optimizaciju rada kotlova te analizu potencijala za akumulaciju rashladne energije u zgradama javnog sektora. </w:t>
      </w:r>
    </w:p>
    <w:p w14:paraId="647F63FF" w14:textId="649EAAD2" w:rsidR="00C21988" w:rsidRPr="006F06B4" w:rsidRDefault="00C21988" w:rsidP="006F06B4">
      <w:pPr>
        <w:suppressAutoHyphens w:val="0"/>
        <w:spacing w:after="160" w:line="259" w:lineRule="auto"/>
      </w:pPr>
      <w:r w:rsidRPr="006F06B4">
        <w:t>U razdoblju od 2021. do 2030. godine planira se u svim objektima javnog sektora uvesti sustav gospodarenja energijom te primjena ISGE-a te unaprijediti i proširiti cijeli sustav kroz sljedeće aktivnosti:</w:t>
      </w:r>
    </w:p>
    <w:p w14:paraId="062C0BC0" w14:textId="77777777"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Objediniti sve instalirane sustave daljinskog očitanja u ISGE;</w:t>
      </w:r>
    </w:p>
    <w:p w14:paraId="62CB7D9E" w14:textId="49804574"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Integrirati ISGE s ostalim bazama: DGU (Geoportal Državne geodetske uprave), katastar, registar zaštićenih objekata, IEC, SMIV i dr.);</w:t>
      </w:r>
    </w:p>
    <w:p w14:paraId="339F116F" w14:textId="77777777"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Propisati ISGE kao sustav za verifikaciju stvarnih ušteda nastalih nakon obnove zgrade (definirati koje podatke senzori u prostorijama šalju u sustav, ISGE je već spreman primati podatke);</w:t>
      </w:r>
    </w:p>
    <w:p w14:paraId="786C8C8A" w14:textId="66D31AC2"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Širenje upotrebe ISGE-a u sve sektore (privatni, industrijski...) na dobrovoljnoj bazi i/ili kao obveza vezana uz primitak financijske pomoći za obnovu odnosno provedbu mjera energetske učinkovitosti;</w:t>
      </w:r>
    </w:p>
    <w:p w14:paraId="77587354" w14:textId="659D4756"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 xml:space="preserve">Unaprjeđenje ISGE-a </w:t>
      </w:r>
      <w:r w:rsidR="007D7B4A">
        <w:t xml:space="preserve">tako </w:t>
      </w:r>
      <w:r w:rsidRPr="00617530">
        <w:t>da je njime moguće provesti financijske analize isplativosti obnove na temelju stvarnih podataka;</w:t>
      </w:r>
    </w:p>
    <w:p w14:paraId="174D5E9F" w14:textId="79B65A72" w:rsidR="00C21988" w:rsidRPr="00617530" w:rsidRDefault="00C21988" w:rsidP="00906FC3">
      <w:pPr>
        <w:pStyle w:val="ListParagraph"/>
        <w:numPr>
          <w:ilvl w:val="0"/>
          <w:numId w:val="56"/>
        </w:numPr>
        <w:suppressAutoHyphens w:val="0"/>
        <w:spacing w:after="160" w:line="259" w:lineRule="auto"/>
        <w:ind w:left="714" w:hanging="357"/>
        <w:contextualSpacing/>
      </w:pPr>
      <w:r w:rsidRPr="00617530">
        <w:t>Razvoj ISGE-a u smjeru tz</w:t>
      </w:r>
      <w:r w:rsidR="00FB1166">
        <w:t>v</w:t>
      </w:r>
      <w:r w:rsidRPr="00617530">
        <w:t>. umjetne inteligencije, pri čemu bi sustav prema unesenim parametrima sam predlagao mjere u svrhu povećanja energetske uči</w:t>
      </w:r>
      <w:r w:rsidR="00600A8B">
        <w:t>n</w:t>
      </w:r>
      <w:r w:rsidRPr="00617530">
        <w:t>kovitosti.</w:t>
      </w:r>
      <w:r w:rsidR="0086329E">
        <w:t xml:space="preserve"> </w:t>
      </w:r>
    </w:p>
    <w:p w14:paraId="0E33AC0B" w14:textId="63B8C5D1" w:rsidR="00C21988" w:rsidRPr="00617530" w:rsidRDefault="00C21988" w:rsidP="00617530">
      <w:pPr>
        <w:suppressAutoHyphens w:val="0"/>
        <w:spacing w:after="160" w:line="259" w:lineRule="auto"/>
      </w:pPr>
      <w:r w:rsidRPr="00617530">
        <w:t>Osim unaprjeđenja ISGE, ova mjera predviđa nastavak i povećanje opsega edukacija za institucije javnog i ostalih sektora, stvaranje baze korisnika koji su dobro upoznati s energetskom učinkovitošću i kapacitirani po tom pitanju djelovati unutar svojih institucija te razrad</w:t>
      </w:r>
      <w:r w:rsidR="00114C23">
        <w:t>u</w:t>
      </w:r>
      <w:r w:rsidRPr="00617530">
        <w:t xml:space="preserve"> prijedloga da 'energetski menadžer' postane radno mjesto u javnim institucijama. </w:t>
      </w:r>
    </w:p>
    <w:p w14:paraId="6F5BD0E6" w14:textId="7B2B0AF4" w:rsidR="00C21988" w:rsidRPr="00945FB2" w:rsidRDefault="00DA25AD" w:rsidP="00C21988">
      <w:pPr>
        <w:ind w:left="705" w:hanging="705"/>
        <w:rPr>
          <w:rFonts w:cstheme="minorHAnsi"/>
          <w:u w:val="single"/>
        </w:rPr>
      </w:pPr>
      <w:r>
        <w:rPr>
          <w:rFonts w:cstheme="minorHAnsi"/>
          <w:u w:val="single"/>
        </w:rPr>
        <w:t xml:space="preserve">ENU-7: </w:t>
      </w:r>
      <w:r w:rsidR="00C21988" w:rsidRPr="00945FB2">
        <w:rPr>
          <w:rFonts w:cstheme="minorHAnsi"/>
          <w:u w:val="single"/>
        </w:rPr>
        <w:t xml:space="preserve">Program </w:t>
      </w:r>
      <w:r w:rsidR="001E1A76">
        <w:rPr>
          <w:rFonts w:cstheme="minorHAnsi"/>
          <w:u w:val="single"/>
        </w:rPr>
        <w:t xml:space="preserve">energetske obnove </w:t>
      </w:r>
      <w:r w:rsidR="00C21988" w:rsidRPr="00945FB2">
        <w:rPr>
          <w:rFonts w:cstheme="minorHAnsi"/>
          <w:u w:val="single"/>
        </w:rPr>
        <w:t>javn</w:t>
      </w:r>
      <w:r w:rsidR="001E1A76">
        <w:rPr>
          <w:rFonts w:cstheme="minorHAnsi"/>
          <w:u w:val="single"/>
        </w:rPr>
        <w:t>e</w:t>
      </w:r>
      <w:r w:rsidR="00C21988" w:rsidRPr="00945FB2">
        <w:rPr>
          <w:rFonts w:cstheme="minorHAnsi"/>
          <w:u w:val="single"/>
        </w:rPr>
        <w:t xml:space="preserve"> </w:t>
      </w:r>
      <w:r w:rsidR="001E1A76" w:rsidRPr="00945FB2">
        <w:rPr>
          <w:rFonts w:cstheme="minorHAnsi"/>
          <w:u w:val="single"/>
        </w:rPr>
        <w:t>rasvjet</w:t>
      </w:r>
      <w:r w:rsidR="001E1A76">
        <w:rPr>
          <w:rFonts w:cstheme="minorHAnsi"/>
          <w:u w:val="single"/>
        </w:rPr>
        <w:t>e</w:t>
      </w:r>
      <w:r w:rsidR="00C21988" w:rsidRPr="00945FB2">
        <w:rPr>
          <w:rFonts w:cstheme="minorHAnsi"/>
          <w:u w:val="single"/>
        </w:rPr>
        <w:t xml:space="preserve"> (P.4</w:t>
      </w:r>
      <w:r w:rsidR="00122832">
        <w:rPr>
          <w:rFonts w:cstheme="minorHAnsi"/>
          <w:u w:val="single"/>
        </w:rPr>
        <w:t>; MEN-</w:t>
      </w:r>
      <w:r w:rsidR="008B1423">
        <w:rPr>
          <w:rFonts w:cstheme="minorHAnsi"/>
          <w:u w:val="single"/>
        </w:rPr>
        <w:t>13</w:t>
      </w:r>
      <w:r w:rsidR="00C21988" w:rsidRPr="00945FB2">
        <w:rPr>
          <w:rFonts w:cstheme="minorHAnsi"/>
          <w:u w:val="single"/>
        </w:rPr>
        <w:t>)</w:t>
      </w:r>
    </w:p>
    <w:p w14:paraId="5605611B" w14:textId="77777777" w:rsidR="00432554" w:rsidRDefault="00C21988" w:rsidP="00945FB2">
      <w:pPr>
        <w:suppressAutoHyphens w:val="0"/>
        <w:spacing w:after="160" w:line="259" w:lineRule="auto"/>
      </w:pPr>
      <w:r w:rsidRPr="00945FB2">
        <w:t>Energetska obnova javne rasvjete u Republici Hrvatskoj trenutno se provodi se korištenjem ESI sredstava iz Europskog fonda za regionalni razvij i to korištenjem financijskog instrumenta kredita s povoljnim kamatnim stopama kojega JLP(R)S-ima nudi HBOR</w:t>
      </w:r>
      <w:r w:rsidRPr="00432554">
        <w:rPr>
          <w:vertAlign w:val="superscript"/>
        </w:rPr>
        <w:footnoteReference w:id="4"/>
      </w:r>
      <w:r w:rsidRPr="00945FB2">
        <w:t xml:space="preserve">. U tu svrhu raspoloživo je 152 milijuna kn, a kreditom se pokriva do 100% prihvatljivih troškova projekta. Predviđa se da će se ova financijska alokacija iskoristiti do 2020. godine, a najkasnije do 2023. godine. Procijenjene uštede ove prve faze Programa su oko 15 GWh u 2020. (2023.) godini. </w:t>
      </w:r>
    </w:p>
    <w:p w14:paraId="3069FC85" w14:textId="4C9717E5" w:rsidR="00C21988" w:rsidRPr="00945FB2" w:rsidRDefault="00C21988" w:rsidP="00945FB2">
      <w:pPr>
        <w:suppressAutoHyphens w:val="0"/>
        <w:spacing w:after="160" w:line="259" w:lineRule="auto"/>
      </w:pPr>
      <w:r w:rsidRPr="00945FB2">
        <w:t>S obzirom na značajan potencijal koji postoji u sustavima javne rasvjete, planira se korištenje ESI fondova i u sljedećem programskom razdoblju 2021.-2027. godine. Programiranjem veće alokacije sredstava za ovu svrhu, mogao bi se iskoristiti postojeći potencijal do kraja 2030. godine, koji je procijenjen na 225 GWh. Istodobno, obnovom javne rasvjete ostvarilo bi se zadovoljavanje tehničkih normi za rasvijetljenost prometnica, što znači da bi se poboljšala sigurnost prometa te bi se smanjilo svjetlosno onečišćenje. Modeli financiranja koji će se koristiti u sljedećem razdoblju trebaju omogućiti i mobilizaciju privatnog kapitala</w:t>
      </w:r>
      <w:r w:rsidR="00D825FC">
        <w:t xml:space="preserve"> putem </w:t>
      </w:r>
      <w:r w:rsidR="00036540">
        <w:t>energetske usluge ili javno-privatnog partnerstva</w:t>
      </w:r>
      <w:r w:rsidRPr="00945FB2">
        <w:t>, kako bi se postigao što bolji multiplikacijski efekt. Model</w:t>
      </w:r>
      <w:r w:rsidR="005B6323">
        <w:t>i</w:t>
      </w:r>
      <w:r w:rsidRPr="00945FB2">
        <w:t xml:space="preserve"> koje treba razmotriti </w:t>
      </w:r>
      <w:r w:rsidR="005B6323">
        <w:t>uključuju</w:t>
      </w:r>
      <w:r w:rsidRPr="00945FB2">
        <w:t xml:space="preserve"> subvencije kamatne stope na komercijalne kredite / zahtijevanog prinosa pružatelju usluge i garancije, a za projekte koji zahtijevaju investiciju u novu infrastrukturu javne rasvjete (stupove, dodatne svjetiljke i slično) radi zadovoljavanja normiranih svjetlotehničkih zahtjeva nužno je osigurati bespovratna sredstva.</w:t>
      </w:r>
    </w:p>
    <w:p w14:paraId="6D09429F" w14:textId="58083904" w:rsidR="00C21988" w:rsidRPr="004A4362" w:rsidRDefault="00DA25AD" w:rsidP="00C21988">
      <w:pPr>
        <w:ind w:left="705" w:hanging="705"/>
        <w:rPr>
          <w:rFonts w:cstheme="minorHAnsi"/>
          <w:u w:val="single"/>
        </w:rPr>
      </w:pPr>
      <w:r>
        <w:rPr>
          <w:rFonts w:cstheme="minorHAnsi"/>
          <w:u w:val="single"/>
        </w:rPr>
        <w:t xml:space="preserve">ENU-8: </w:t>
      </w:r>
      <w:r w:rsidR="00C21988" w:rsidRPr="004A4362">
        <w:rPr>
          <w:rFonts w:cstheme="minorHAnsi"/>
          <w:u w:val="single"/>
        </w:rPr>
        <w:t>Zelena javna nabava (P.5</w:t>
      </w:r>
      <w:r w:rsidR="006426FD">
        <w:rPr>
          <w:rFonts w:cstheme="minorHAnsi"/>
          <w:u w:val="single"/>
        </w:rPr>
        <w:t xml:space="preserve">; </w:t>
      </w:r>
      <w:r w:rsidR="005F431B">
        <w:rPr>
          <w:rFonts w:cstheme="minorHAnsi"/>
          <w:u w:val="single"/>
        </w:rPr>
        <w:t>MEN-14</w:t>
      </w:r>
      <w:r w:rsidR="00C21988" w:rsidRPr="004A4362">
        <w:rPr>
          <w:rFonts w:cstheme="minorHAnsi"/>
          <w:u w:val="single"/>
        </w:rPr>
        <w:t>)</w:t>
      </w:r>
    </w:p>
    <w:p w14:paraId="2E6A6AD3" w14:textId="28520A45" w:rsidR="006A59A9" w:rsidRDefault="00C21988" w:rsidP="004A4362">
      <w:pPr>
        <w:suppressAutoHyphens w:val="0"/>
        <w:spacing w:after="160" w:line="259" w:lineRule="auto"/>
      </w:pPr>
      <w:r w:rsidRPr="004A4362">
        <w:t xml:space="preserve">Vlada Republike Hrvatske usvojila je 2015. godine I. </w:t>
      </w:r>
      <w:r w:rsidR="004A4362">
        <w:t>n</w:t>
      </w:r>
      <w:r w:rsidRPr="004A4362">
        <w:t xml:space="preserve">acionalni akcijski plan za Zelenu javnu nabavu za razdoblje od 2015. do 2017. godine s pogledom do 2020. godine te je zelena javna nabava prihvaćena i kao mjera u </w:t>
      </w:r>
      <w:r w:rsidR="006A59A9">
        <w:t xml:space="preserve">nacrtu </w:t>
      </w:r>
      <w:r w:rsidRPr="004A4362">
        <w:t xml:space="preserve">4. NAPEnU, koji postavlja cilj da do 2020. godine u 50% provedenih postupaka javne nabave budu primijenjena mjerila zelene javne nabave. Osnovano je nacionalno Povjerenstvo za zelenu javnu nabavu koje prati provedbu ZeJN putem anketnog upitnika i elektroničkog oglasnika javne nabave. </w:t>
      </w:r>
    </w:p>
    <w:p w14:paraId="174DB278" w14:textId="00527289" w:rsidR="00C21988" w:rsidRPr="004A4362" w:rsidRDefault="00C21988" w:rsidP="004A4362">
      <w:pPr>
        <w:suppressAutoHyphens w:val="0"/>
        <w:spacing w:after="160" w:line="259" w:lineRule="auto"/>
      </w:pPr>
      <w:r w:rsidRPr="004A4362">
        <w:t xml:space="preserve">Započete aktivnosti će se nastaviti i u razdoblju do 2030. godine i to kroz: 1) izobrazbu sudionika u javnoj nabavi i promidžbu mjerila zelene javne nabave; 2) unaprjeđenje praćenja provedbe zelene javne nabave, </w:t>
      </w:r>
      <w:r w:rsidR="00FA1398">
        <w:t>s</w:t>
      </w:r>
      <w:r w:rsidRPr="004A4362">
        <w:t xml:space="preserve"> ciljem kvantifikacije učinaka i 3) kontinuirani razvoj novih kriterija i mjerila za zelenu javnu nabavu, uključujući energetsku učinkovitost. Cilj je u 2030. godini imati 75% provedenih postupaka javne nabave s primijenjenim mjerilima zelene javne nabave. </w:t>
      </w:r>
      <w:r w:rsidR="005074BD">
        <w:t xml:space="preserve">Nužno je unaprijediti praćenje učinaka ove mjere. </w:t>
      </w:r>
    </w:p>
    <w:p w14:paraId="7A51D0EE" w14:textId="77777777" w:rsidR="00C21988" w:rsidRPr="00FA1398" w:rsidRDefault="00C21988" w:rsidP="00C21988">
      <w:pPr>
        <w:shd w:val="clear" w:color="auto" w:fill="D9D9D9" w:themeFill="background1" w:themeFillShade="D9"/>
        <w:ind w:left="705" w:hanging="705"/>
        <w:rPr>
          <w:rFonts w:cstheme="minorHAnsi"/>
          <w:i/>
        </w:rPr>
      </w:pPr>
      <w:r w:rsidRPr="00FA1398">
        <w:rPr>
          <w:rFonts w:cstheme="minorHAnsi"/>
          <w:i/>
        </w:rPr>
        <w:t>Mjere za promicanje energetskih pregleda i sustava gospodarenja energijom</w:t>
      </w:r>
    </w:p>
    <w:p w14:paraId="56831601" w14:textId="7600A77D" w:rsidR="00C21988" w:rsidRPr="00906FC3" w:rsidRDefault="00235381" w:rsidP="00CA23DB">
      <w:r w:rsidRPr="00CF4EC7">
        <w:rPr>
          <w:rFonts w:cstheme="minorHAnsi"/>
        </w:rPr>
        <w:t xml:space="preserve">Provedba energetskih pregleda </w:t>
      </w:r>
      <w:r w:rsidR="001C27CA" w:rsidRPr="00CF4EC7">
        <w:rPr>
          <w:rFonts w:cstheme="minorHAnsi"/>
        </w:rPr>
        <w:t xml:space="preserve">i promicanje sustavnog gospodarenja energijom </w:t>
      </w:r>
      <w:r w:rsidR="00FE0013" w:rsidRPr="00CF4EC7">
        <w:rPr>
          <w:rFonts w:cstheme="minorHAnsi"/>
        </w:rPr>
        <w:t>u razdoblju od 2021. do 2030. godine</w:t>
      </w:r>
      <w:r w:rsidR="001C27CA" w:rsidRPr="00CF4EC7">
        <w:rPr>
          <w:rFonts w:cstheme="minorHAnsi"/>
        </w:rPr>
        <w:t>, osim kroz vodeću ulogu javnog sektora (nastav</w:t>
      </w:r>
      <w:r w:rsidR="007D7B4A">
        <w:rPr>
          <w:rFonts w:cstheme="minorHAnsi"/>
        </w:rPr>
        <w:t>a</w:t>
      </w:r>
      <w:r w:rsidR="001C27CA" w:rsidRPr="00CF4EC7">
        <w:rPr>
          <w:rFonts w:cstheme="minorHAnsi"/>
        </w:rPr>
        <w:t>k provedbe mjere P.3; MEN-6),</w:t>
      </w:r>
      <w:r w:rsidR="00FE0013" w:rsidRPr="00CF4EC7">
        <w:rPr>
          <w:rFonts w:cstheme="minorHAnsi"/>
        </w:rPr>
        <w:t xml:space="preserve"> osigurat će se nastav</w:t>
      </w:r>
      <w:r w:rsidR="005D1887" w:rsidRPr="00CF4EC7">
        <w:rPr>
          <w:rFonts w:cstheme="minorHAnsi"/>
        </w:rPr>
        <w:t>kom primjene zakonski obvezujućih odredbi</w:t>
      </w:r>
      <w:r w:rsidR="001F3B23">
        <w:rPr>
          <w:rFonts w:cstheme="minorHAnsi"/>
        </w:rPr>
        <w:t xml:space="preserve">. Naime, </w:t>
      </w:r>
      <w:r w:rsidR="001F3B23">
        <w:t>t</w:t>
      </w:r>
      <w:r w:rsidR="00C21988" w:rsidRPr="00906FC3">
        <w:t xml:space="preserve">emeljem Zakona o energetskoj učinkovitosti i Zakona o gradnji, u Hrvatskoj su na snazi zakonske obveze provođenja energetskih pregleda za sljedeće obveznike: </w:t>
      </w:r>
    </w:p>
    <w:p w14:paraId="7DEFFBE0" w14:textId="77777777"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velika poduzeća (aktiva &gt;130 M kn, prihod &gt;260 M kn, &gt;250 radnika) svakih 4 godine (izuzetak ako je uspostavljen sustav upravljanja energijom i okolišem (ISO 50001) s obavezom energetskog pregleda);</w:t>
      </w:r>
    </w:p>
    <w:p w14:paraId="7A9EC691" w14:textId="5D899546"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javna rasvjeta;</w:t>
      </w:r>
    </w:p>
    <w:p w14:paraId="3834B52B" w14:textId="77777777"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zgrade javne namjene čija korisna (neto) površina prelazi 250 m² svakih 10 godina;</w:t>
      </w:r>
    </w:p>
    <w:p w14:paraId="5916FC46" w14:textId="77777777"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postojeće zgrade ili dijelovi zgrada koji čine samostalne uporabne cjeline i koje podliježu obvezi energetskog certificiranja zgrada, kada se daju u prodaju, najam ili leasing;</w:t>
      </w:r>
    </w:p>
    <w:p w14:paraId="61D8F879" w14:textId="77777777"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 xml:space="preserve">sustavi grijanja u zgradama s kotlom na tekuće (&gt; 100 kW svake 2 godine), plinovito gorivo ukupne nazivne snage 20 kW (svakih 10 godina) i veće (svake 4 godine); </w:t>
      </w:r>
    </w:p>
    <w:p w14:paraId="5BC11B23" w14:textId="77777777" w:rsidR="00C21988" w:rsidRPr="00906FC3" w:rsidRDefault="00C21988" w:rsidP="00906FC3">
      <w:pPr>
        <w:pStyle w:val="ListParagraph"/>
        <w:numPr>
          <w:ilvl w:val="0"/>
          <w:numId w:val="57"/>
        </w:numPr>
        <w:suppressAutoHyphens w:val="0"/>
        <w:spacing w:after="160" w:line="259" w:lineRule="auto"/>
        <w:ind w:left="714" w:hanging="357"/>
        <w:contextualSpacing/>
      </w:pPr>
      <w:r w:rsidRPr="00906FC3">
        <w:t>sustavi hlađenja i klimatizacije u zgradama s jednim ili više uređaja za proizvodnju toplinske/rashladne energije ukupne nazivne snage 12 kW i veće (svakih 10 godina).</w:t>
      </w:r>
    </w:p>
    <w:p w14:paraId="1A3AFE1C" w14:textId="5CB0513A" w:rsidR="00C21988" w:rsidRPr="00906FC3" w:rsidRDefault="00C21988" w:rsidP="00906FC3">
      <w:pPr>
        <w:suppressAutoHyphens w:val="0"/>
        <w:spacing w:after="160" w:line="259" w:lineRule="auto"/>
      </w:pPr>
      <w:r w:rsidRPr="00906FC3">
        <w:t>Navedene</w:t>
      </w:r>
      <w:r w:rsidR="00E35991">
        <w:t xml:space="preserve"> </w:t>
      </w:r>
      <w:r w:rsidRPr="00906FC3">
        <w:t>zakonske obveze zadržat će se i u razdoblju 2021. do 2030. godine</w:t>
      </w:r>
      <w:r w:rsidR="006513DB">
        <w:t xml:space="preserve"> te se očekuje i njihov daljnji razvoj, posebice u svjetlu </w:t>
      </w:r>
      <w:r w:rsidR="00D9661C">
        <w:t>izmijenjene Direktive o energetskim svojstvima zgrada</w:t>
      </w:r>
      <w:r w:rsidRPr="00906FC3">
        <w:t xml:space="preserve">. </w:t>
      </w:r>
    </w:p>
    <w:p w14:paraId="50514168" w14:textId="4326CDE1" w:rsidR="00522866" w:rsidRPr="00AB0897" w:rsidRDefault="00AB0897" w:rsidP="006D6627">
      <w:pPr>
        <w:rPr>
          <w:rFonts w:cstheme="minorHAnsi"/>
        </w:rPr>
      </w:pPr>
      <w:r>
        <w:rPr>
          <w:rFonts w:cstheme="minorHAnsi"/>
        </w:rPr>
        <w:t>Dodatno, z</w:t>
      </w:r>
      <w:r w:rsidR="00522866" w:rsidRPr="00AB0897">
        <w:rPr>
          <w:rFonts w:cstheme="minorHAnsi"/>
        </w:rPr>
        <w:t>a razdoblje od 2021. godine predviđa se uvođenje nove fiskalne mjere za</w:t>
      </w:r>
      <w:r w:rsidR="00B420A2" w:rsidRPr="00AB0897">
        <w:rPr>
          <w:rFonts w:cstheme="minorHAnsi"/>
        </w:rPr>
        <w:t xml:space="preserve"> poticanje sustavnog gospodarenja energijom u poslovnom sektoru. </w:t>
      </w:r>
    </w:p>
    <w:p w14:paraId="64333D54" w14:textId="6C66D322" w:rsidR="00C21988" w:rsidRPr="00B370A3" w:rsidRDefault="00522866" w:rsidP="006D6627">
      <w:pPr>
        <w:rPr>
          <w:rFonts w:cstheme="minorHAnsi"/>
          <w:u w:val="single"/>
        </w:rPr>
      </w:pPr>
      <w:r>
        <w:rPr>
          <w:rFonts w:cstheme="minorHAnsi"/>
          <w:u w:val="single"/>
        </w:rPr>
        <w:t xml:space="preserve">ENU-9: </w:t>
      </w:r>
      <w:r w:rsidR="00C21988" w:rsidRPr="00B370A3">
        <w:rPr>
          <w:rFonts w:cstheme="minorHAnsi"/>
          <w:u w:val="single"/>
        </w:rPr>
        <w:t>Sustavno gospodarenje energijom u poslovnom</w:t>
      </w:r>
      <w:r w:rsidR="00E35991">
        <w:rPr>
          <w:rFonts w:cstheme="minorHAnsi"/>
          <w:u w:val="single"/>
        </w:rPr>
        <w:t xml:space="preserve"> </w:t>
      </w:r>
      <w:r w:rsidR="00C21988" w:rsidRPr="00B370A3">
        <w:rPr>
          <w:rFonts w:cstheme="minorHAnsi"/>
          <w:u w:val="single"/>
        </w:rPr>
        <w:t>(uslužnom i proizvodnom) sektoru</w:t>
      </w:r>
      <w:r w:rsidR="006D6627">
        <w:rPr>
          <w:rFonts w:cstheme="minorHAnsi"/>
          <w:u w:val="single"/>
        </w:rPr>
        <w:t xml:space="preserve"> (nova </w:t>
      </w:r>
      <w:r w:rsidR="00874424">
        <w:rPr>
          <w:rFonts w:cstheme="minorHAnsi"/>
          <w:u w:val="single"/>
        </w:rPr>
        <w:t xml:space="preserve">fiskalna </w:t>
      </w:r>
      <w:r w:rsidR="006D6627">
        <w:rPr>
          <w:rFonts w:cstheme="minorHAnsi"/>
          <w:u w:val="single"/>
        </w:rPr>
        <w:t>mjera)</w:t>
      </w:r>
    </w:p>
    <w:p w14:paraId="40FEFE68" w14:textId="5A593274" w:rsidR="00C21988" w:rsidRPr="00B370A3" w:rsidRDefault="00C054EF" w:rsidP="00005A40">
      <w:pPr>
        <w:rPr>
          <w:rFonts w:cstheme="minorHAnsi"/>
        </w:rPr>
      </w:pPr>
      <w:r w:rsidRPr="001830CB">
        <w:rPr>
          <w:rFonts w:cstheme="minorHAnsi"/>
        </w:rPr>
        <w:t>Iako su velika poduzeća obvezna</w:t>
      </w:r>
      <w:r w:rsidR="00874424" w:rsidRPr="001830CB">
        <w:rPr>
          <w:rFonts w:cstheme="minorHAnsi"/>
        </w:rPr>
        <w:t xml:space="preserve"> redovno provoditi energetske preglede, ova</w:t>
      </w:r>
      <w:r w:rsidR="00874424" w:rsidRPr="00005A40">
        <w:rPr>
          <w:rFonts w:cstheme="minorHAnsi"/>
        </w:rPr>
        <w:t xml:space="preserve"> obveza ne osigurava kontinuiranu brigu o potrošnji energije u poduzeću niti obuhvaća mala i srednja poduzeća. </w:t>
      </w:r>
      <w:r w:rsidR="00B56172" w:rsidRPr="00005A40">
        <w:rPr>
          <w:rFonts w:cstheme="minorHAnsi"/>
        </w:rPr>
        <w:t>Kako bi se pod</w:t>
      </w:r>
      <w:r w:rsidR="007D7B4A">
        <w:rPr>
          <w:rFonts w:cstheme="minorHAnsi"/>
        </w:rPr>
        <w:t>u</w:t>
      </w:r>
      <w:r w:rsidR="00B56172" w:rsidRPr="00005A40">
        <w:rPr>
          <w:rFonts w:cstheme="minorHAnsi"/>
        </w:rPr>
        <w:t>zeća potaknula na uvođenje certificiranih sustava gospodarenja energijom (kao ISO 50001), do</w:t>
      </w:r>
      <w:r w:rsidR="00DF11C6" w:rsidRPr="00005A40">
        <w:rPr>
          <w:rFonts w:cstheme="minorHAnsi"/>
        </w:rPr>
        <w:t xml:space="preserve"> </w:t>
      </w:r>
      <w:r w:rsidR="00B56172" w:rsidRPr="00005A40">
        <w:rPr>
          <w:rFonts w:cstheme="minorHAnsi"/>
        </w:rPr>
        <w:t xml:space="preserve">2020. godine </w:t>
      </w:r>
      <w:r w:rsidR="00FA2B8C" w:rsidRPr="00005A40">
        <w:rPr>
          <w:rFonts w:cstheme="minorHAnsi"/>
        </w:rPr>
        <w:t xml:space="preserve">će se </w:t>
      </w:r>
      <w:r w:rsidR="00B56172" w:rsidRPr="00005A40">
        <w:rPr>
          <w:rFonts w:cstheme="minorHAnsi"/>
        </w:rPr>
        <w:t>izraditi sveobu</w:t>
      </w:r>
      <w:r w:rsidR="007D7B4A">
        <w:rPr>
          <w:rFonts w:cstheme="minorHAnsi"/>
        </w:rPr>
        <w:t>h</w:t>
      </w:r>
      <w:r w:rsidR="00B56172" w:rsidRPr="00005A40">
        <w:rPr>
          <w:rFonts w:cstheme="minorHAnsi"/>
        </w:rPr>
        <w:t>v</w:t>
      </w:r>
      <w:r w:rsidR="007D7B4A">
        <w:rPr>
          <w:rFonts w:cstheme="minorHAnsi"/>
        </w:rPr>
        <w:t>a</w:t>
      </w:r>
      <w:r w:rsidR="00B56172" w:rsidRPr="00005A40">
        <w:rPr>
          <w:rFonts w:cstheme="minorHAnsi"/>
        </w:rPr>
        <w:t>tn</w:t>
      </w:r>
      <w:r w:rsidR="00FA2B8C" w:rsidRPr="00005A40">
        <w:rPr>
          <w:rFonts w:cstheme="minorHAnsi"/>
        </w:rPr>
        <w:t>a</w:t>
      </w:r>
      <w:r w:rsidR="00B56172" w:rsidRPr="00005A40">
        <w:rPr>
          <w:rFonts w:cstheme="minorHAnsi"/>
        </w:rPr>
        <w:t xml:space="preserve"> analiz</w:t>
      </w:r>
      <w:r w:rsidR="00FA2B8C" w:rsidRPr="00005A40">
        <w:rPr>
          <w:rFonts w:cstheme="minorHAnsi"/>
        </w:rPr>
        <w:t>a</w:t>
      </w:r>
      <w:r w:rsidR="00B56172" w:rsidRPr="00005A40">
        <w:rPr>
          <w:rFonts w:cstheme="minorHAnsi"/>
        </w:rPr>
        <w:t xml:space="preserve"> mogućnosti korištenja</w:t>
      </w:r>
      <w:r w:rsidR="00E35991" w:rsidRPr="00005A40">
        <w:rPr>
          <w:rFonts w:cstheme="minorHAnsi"/>
        </w:rPr>
        <w:t xml:space="preserve"> </w:t>
      </w:r>
      <w:r w:rsidR="00FA2B8C" w:rsidRPr="00005A40">
        <w:rPr>
          <w:rFonts w:cstheme="minorHAnsi"/>
        </w:rPr>
        <w:t>poreznog sustava</w:t>
      </w:r>
      <w:r w:rsidR="00CC1E21" w:rsidRPr="00005A40">
        <w:rPr>
          <w:rFonts w:cstheme="minorHAnsi"/>
        </w:rPr>
        <w:t xml:space="preserve"> (uključujući poreze i parafiskalne namete)</w:t>
      </w:r>
      <w:r w:rsidR="00FA2B8C" w:rsidRPr="00005A40">
        <w:rPr>
          <w:rFonts w:cstheme="minorHAnsi"/>
        </w:rPr>
        <w:t xml:space="preserve"> za poticanje poduzeća koja uvedu ovakav sustav i time osiguraju kontinuiranu brigu o potrošnji energije.</w:t>
      </w:r>
      <w:r w:rsidR="00C63CAC" w:rsidRPr="00005A40">
        <w:rPr>
          <w:rFonts w:cstheme="minorHAnsi"/>
        </w:rPr>
        <w:t xml:space="preserve"> S primjenom poreznih poticaja potrebno </w:t>
      </w:r>
      <w:r w:rsidR="002E709D" w:rsidRPr="00005A40">
        <w:rPr>
          <w:rFonts w:cstheme="minorHAnsi"/>
        </w:rPr>
        <w:t>je</w:t>
      </w:r>
      <w:r w:rsidR="00C63CAC" w:rsidRPr="00005A40">
        <w:rPr>
          <w:rFonts w:cstheme="minorHAnsi"/>
        </w:rPr>
        <w:t xml:space="preserve"> započeti od 2021. godine. </w:t>
      </w:r>
    </w:p>
    <w:p w14:paraId="1172B5B3" w14:textId="4289CD40" w:rsidR="00C21988" w:rsidRPr="00B370A3" w:rsidRDefault="00C21988" w:rsidP="00C21988">
      <w:pPr>
        <w:shd w:val="clear" w:color="auto" w:fill="D9D9D9" w:themeFill="background1" w:themeFillShade="D9"/>
        <w:ind w:left="705" w:hanging="705"/>
        <w:rPr>
          <w:rFonts w:cstheme="minorHAnsi"/>
          <w:i/>
        </w:rPr>
      </w:pPr>
      <w:r w:rsidRPr="00B370A3">
        <w:rPr>
          <w:rFonts w:cstheme="minorHAnsi"/>
          <w:i/>
        </w:rPr>
        <w:t>Informiranje potrošača i mjere osposobljavanja</w:t>
      </w:r>
      <w:r w:rsidR="0086329E">
        <w:rPr>
          <w:rFonts w:cstheme="minorHAnsi"/>
          <w:i/>
        </w:rPr>
        <w:t xml:space="preserve"> </w:t>
      </w:r>
    </w:p>
    <w:p w14:paraId="581AD78B" w14:textId="5620D541" w:rsidR="00525A37" w:rsidRDefault="00B3343E" w:rsidP="00B3343E">
      <w:pPr>
        <w:suppressAutoHyphens w:val="0"/>
        <w:spacing w:after="160" w:line="259" w:lineRule="auto"/>
      </w:pPr>
      <w:r w:rsidRPr="00B3343E">
        <w:t>Informiranje po</w:t>
      </w:r>
      <w:r w:rsidR="002D52CA">
        <w:t xml:space="preserve">trošača </w:t>
      </w:r>
      <w:r w:rsidR="003F0BB1">
        <w:t xml:space="preserve">nastavit će se ostvarivati kroz unaprjeđenje provedbe postojećih regulatornih i </w:t>
      </w:r>
      <w:r w:rsidR="00FC55E9">
        <w:t xml:space="preserve">informativnih mjera. </w:t>
      </w:r>
    </w:p>
    <w:p w14:paraId="77120CE2" w14:textId="50A1986B" w:rsidR="00525A37" w:rsidRPr="004A4362" w:rsidRDefault="001B2AD1" w:rsidP="00525A37">
      <w:pPr>
        <w:ind w:left="705" w:hanging="705"/>
        <w:rPr>
          <w:rFonts w:cstheme="minorHAnsi"/>
          <w:u w:val="single"/>
        </w:rPr>
      </w:pPr>
      <w:r>
        <w:rPr>
          <w:rFonts w:cstheme="minorHAnsi"/>
          <w:u w:val="single"/>
        </w:rPr>
        <w:t xml:space="preserve">ENU-10: </w:t>
      </w:r>
      <w:r w:rsidR="00525A37">
        <w:rPr>
          <w:rFonts w:cstheme="minorHAnsi"/>
          <w:u w:val="single"/>
        </w:rPr>
        <w:t>Informativni računi</w:t>
      </w:r>
      <w:r w:rsidR="00525A37" w:rsidRPr="004A4362">
        <w:rPr>
          <w:rFonts w:cstheme="minorHAnsi"/>
          <w:u w:val="single"/>
        </w:rPr>
        <w:t xml:space="preserve"> (</w:t>
      </w:r>
      <w:r w:rsidR="00525A37">
        <w:rPr>
          <w:rFonts w:cstheme="minorHAnsi"/>
          <w:u w:val="single"/>
        </w:rPr>
        <w:t>H.1; MEN-7</w:t>
      </w:r>
      <w:r w:rsidR="00525A37" w:rsidRPr="004A4362">
        <w:rPr>
          <w:rFonts w:cstheme="minorHAnsi"/>
          <w:u w:val="single"/>
        </w:rPr>
        <w:t>)</w:t>
      </w:r>
    </w:p>
    <w:p w14:paraId="3E11D22F" w14:textId="13721B13" w:rsidR="00525A37" w:rsidRPr="00491A4E" w:rsidRDefault="00D42600" w:rsidP="00AC13B8">
      <w:pPr>
        <w:rPr>
          <w:rFonts w:cstheme="minorHAnsi"/>
        </w:rPr>
      </w:pPr>
      <w:r w:rsidRPr="00005A40">
        <w:rPr>
          <w:rFonts w:cstheme="minorHAnsi"/>
        </w:rPr>
        <w:t>J</w:t>
      </w:r>
      <w:r w:rsidR="00FC55E9" w:rsidRPr="00005A40">
        <w:rPr>
          <w:rFonts w:cstheme="minorHAnsi"/>
        </w:rPr>
        <w:t xml:space="preserve">edna od temeljnih mjera </w:t>
      </w:r>
      <w:r w:rsidR="002A566B" w:rsidRPr="00005A40">
        <w:rPr>
          <w:rFonts w:cstheme="minorHAnsi"/>
        </w:rPr>
        <w:t>informiranja potrošača</w:t>
      </w:r>
      <w:r w:rsidR="00FC55E9" w:rsidRPr="00910011">
        <w:rPr>
          <w:rFonts w:cstheme="minorHAnsi"/>
        </w:rPr>
        <w:t xml:space="preserve"> </w:t>
      </w:r>
      <w:r w:rsidR="00EB2A90" w:rsidRPr="00910011">
        <w:rPr>
          <w:rFonts w:cstheme="minorHAnsi"/>
        </w:rPr>
        <w:t xml:space="preserve">jest zakonska obveza opskrbljivača da barem jednom godišnje dostavljaju </w:t>
      </w:r>
      <w:r w:rsidR="00863F88" w:rsidRPr="00AC13B8">
        <w:rPr>
          <w:rFonts w:cstheme="minorHAnsi"/>
        </w:rPr>
        <w:t>potrošačima informativne račune</w:t>
      </w:r>
      <w:r w:rsidR="008C7A1F" w:rsidRPr="00AC13B8">
        <w:rPr>
          <w:rFonts w:cstheme="minorHAnsi"/>
        </w:rPr>
        <w:t xml:space="preserve"> i</w:t>
      </w:r>
      <w:r w:rsidR="00D31D2C" w:rsidRPr="00AC13B8">
        <w:rPr>
          <w:rFonts w:cstheme="minorHAnsi"/>
        </w:rPr>
        <w:t xml:space="preserve"> informacije o obračunu energije</w:t>
      </w:r>
      <w:r w:rsidR="00E35991" w:rsidRPr="00AC13B8">
        <w:rPr>
          <w:rFonts w:cstheme="minorHAnsi"/>
        </w:rPr>
        <w:t xml:space="preserve"> </w:t>
      </w:r>
      <w:r w:rsidR="00D31D2C" w:rsidRPr="00AC13B8">
        <w:rPr>
          <w:rFonts w:cstheme="minorHAnsi"/>
        </w:rPr>
        <w:t>te prethodnoj potrošnji krajnjeg kupca za obračunska mjerna mjesta koja su predmet ugovornog odnosa, koje obuhvaćaju usporedbu s prosječnim uobičajenim ili referentnim krajnjim kupcem iz iste kategorije krajnjih kupaca opskrbljivača</w:t>
      </w:r>
      <w:r w:rsidR="00CC04D7" w:rsidRPr="00AC13B8">
        <w:rPr>
          <w:rFonts w:cstheme="minorHAnsi"/>
        </w:rPr>
        <w:t xml:space="preserve">. </w:t>
      </w:r>
      <w:r w:rsidR="005324F1" w:rsidRPr="00AC13B8">
        <w:rPr>
          <w:rFonts w:cstheme="minorHAnsi"/>
        </w:rPr>
        <w:t xml:space="preserve">Poželjno je </w:t>
      </w:r>
      <w:r w:rsidR="00F77792" w:rsidRPr="00AC13B8">
        <w:rPr>
          <w:rFonts w:cstheme="minorHAnsi"/>
        </w:rPr>
        <w:t>frekvenciju primjene ove zakonske odredbe s godišnje razine svesti na mjesečnu razinu te je apsolutno nužno osigurati</w:t>
      </w:r>
      <w:r w:rsidR="00666263" w:rsidRPr="00AC13B8">
        <w:rPr>
          <w:rFonts w:cstheme="minorHAnsi"/>
        </w:rPr>
        <w:t xml:space="preserve"> </w:t>
      </w:r>
      <w:r w:rsidR="000F658A" w:rsidRPr="00AC13B8">
        <w:rPr>
          <w:rFonts w:cstheme="minorHAnsi"/>
        </w:rPr>
        <w:t>da regulatorno tijelo za energetiku (HERA) provodi nadzor nad ovim obvezama opskrbljivača energije.</w:t>
      </w:r>
      <w:r w:rsidR="001B2AD1" w:rsidRPr="00AC13B8">
        <w:rPr>
          <w:rFonts w:cstheme="minorHAnsi"/>
        </w:rPr>
        <w:t xml:space="preserve"> Osim toga, na temelju ovih regulatornih odredbi potrebno je i dodatno inf</w:t>
      </w:r>
      <w:r w:rsidR="007D7B4A">
        <w:rPr>
          <w:rFonts w:cstheme="minorHAnsi"/>
        </w:rPr>
        <w:t>o</w:t>
      </w:r>
      <w:r w:rsidR="001B2AD1" w:rsidRPr="00AC13B8">
        <w:rPr>
          <w:rFonts w:cstheme="minorHAnsi"/>
        </w:rPr>
        <w:t xml:space="preserve">rmirati potrošače o </w:t>
      </w:r>
      <w:r w:rsidR="00431A06" w:rsidRPr="00AC13B8">
        <w:rPr>
          <w:rFonts w:cstheme="minorHAnsi"/>
        </w:rPr>
        <w:t>sadržaju i značenju računa</w:t>
      </w:r>
      <w:r w:rsidR="00491A4E">
        <w:rPr>
          <w:rFonts w:cstheme="minorHAnsi"/>
        </w:rPr>
        <w:t xml:space="preserve">, što je zadatka Nacionalnog koordinacijskog tijela </w:t>
      </w:r>
      <w:r w:rsidR="004713CD">
        <w:rPr>
          <w:rFonts w:cstheme="minorHAnsi"/>
        </w:rPr>
        <w:t>(NKT) za energetsku učinkovitost</w:t>
      </w:r>
      <w:r w:rsidR="00431A06" w:rsidRPr="00491A4E">
        <w:rPr>
          <w:rFonts w:cstheme="minorHAnsi"/>
        </w:rPr>
        <w:t>.</w:t>
      </w:r>
      <w:r w:rsidR="000575CC" w:rsidRPr="00491A4E">
        <w:rPr>
          <w:rFonts w:cstheme="minorHAnsi"/>
        </w:rPr>
        <w:t xml:space="preserve"> </w:t>
      </w:r>
    </w:p>
    <w:p w14:paraId="641CFB59" w14:textId="604992DC" w:rsidR="00A71ADB" w:rsidRPr="00B66412" w:rsidRDefault="001B2AD1" w:rsidP="00B66412">
      <w:pPr>
        <w:ind w:left="705" w:hanging="705"/>
        <w:rPr>
          <w:rFonts w:cstheme="minorHAnsi"/>
          <w:u w:val="single"/>
        </w:rPr>
      </w:pPr>
      <w:r>
        <w:rPr>
          <w:rFonts w:cstheme="minorHAnsi"/>
          <w:u w:val="single"/>
        </w:rPr>
        <w:t xml:space="preserve">ENU-11: </w:t>
      </w:r>
      <w:r w:rsidR="0016642F">
        <w:rPr>
          <w:rFonts w:cstheme="minorHAnsi"/>
          <w:u w:val="single"/>
        </w:rPr>
        <w:t>Informiranje o energetskoj učinkovitosti</w:t>
      </w:r>
      <w:r w:rsidR="00A71ADB">
        <w:rPr>
          <w:rFonts w:cstheme="minorHAnsi"/>
          <w:u w:val="single"/>
        </w:rPr>
        <w:t xml:space="preserve"> (H.2;</w:t>
      </w:r>
      <w:r w:rsidR="00241719">
        <w:rPr>
          <w:rFonts w:cstheme="minorHAnsi"/>
          <w:u w:val="single"/>
        </w:rPr>
        <w:t xml:space="preserve"> MEN-10</w:t>
      </w:r>
      <w:r w:rsidR="00A71ADB">
        <w:rPr>
          <w:rFonts w:cstheme="minorHAnsi"/>
          <w:u w:val="single"/>
        </w:rPr>
        <w:t>)</w:t>
      </w:r>
    </w:p>
    <w:p w14:paraId="608F7BC9" w14:textId="2D654538" w:rsidR="00DF78A5" w:rsidRPr="004713CD" w:rsidRDefault="00665243" w:rsidP="00AC13B8">
      <w:pPr>
        <w:rPr>
          <w:rFonts w:cstheme="minorHAnsi"/>
        </w:rPr>
      </w:pPr>
      <w:r w:rsidRPr="00910011">
        <w:rPr>
          <w:rFonts w:cstheme="minorHAnsi"/>
        </w:rPr>
        <w:t>Informiranje opće javnosti i ciljnih skupina provodit će se organizacijom ciljanih info-ka</w:t>
      </w:r>
      <w:r w:rsidR="007D7B4A">
        <w:rPr>
          <w:rFonts w:cstheme="minorHAnsi"/>
        </w:rPr>
        <w:t>m</w:t>
      </w:r>
      <w:r w:rsidRPr="00910011">
        <w:rPr>
          <w:rFonts w:cstheme="minorHAnsi"/>
        </w:rPr>
        <w:t xml:space="preserve">panja vezanih uz </w:t>
      </w:r>
      <w:r w:rsidR="00C04CF8" w:rsidRPr="00910011">
        <w:rPr>
          <w:rFonts w:cstheme="minorHAnsi"/>
        </w:rPr>
        <w:t>specifične programe poticanja energetske učinkovitosti, poglavito energetske obnove zgrada</w:t>
      </w:r>
      <w:r w:rsidR="003825DE" w:rsidRPr="00491A4E">
        <w:rPr>
          <w:rFonts w:cstheme="minorHAnsi"/>
        </w:rPr>
        <w:t xml:space="preserve">. </w:t>
      </w:r>
      <w:r w:rsidR="00CD2BF5" w:rsidRPr="00491A4E">
        <w:rPr>
          <w:rFonts w:cstheme="minorHAnsi"/>
        </w:rPr>
        <w:t>NKT</w:t>
      </w:r>
      <w:r w:rsidR="004713CD">
        <w:rPr>
          <w:rFonts w:cstheme="minorHAnsi"/>
        </w:rPr>
        <w:t xml:space="preserve"> će</w:t>
      </w:r>
      <w:r w:rsidR="00CD2BF5" w:rsidRPr="00491A4E">
        <w:rPr>
          <w:rFonts w:cstheme="minorHAnsi"/>
        </w:rPr>
        <w:t xml:space="preserve"> </w:t>
      </w:r>
      <w:r w:rsidR="00835A57" w:rsidRPr="00491A4E">
        <w:rPr>
          <w:rFonts w:cstheme="minorHAnsi"/>
        </w:rPr>
        <w:t>održavat</w:t>
      </w:r>
      <w:r w:rsidR="007D7B4A">
        <w:rPr>
          <w:rFonts w:cstheme="minorHAnsi"/>
        </w:rPr>
        <w:t>i</w:t>
      </w:r>
      <w:r w:rsidR="00835A57" w:rsidRPr="00491A4E">
        <w:rPr>
          <w:rFonts w:cstheme="minorHAnsi"/>
        </w:rPr>
        <w:t xml:space="preserve"> </w:t>
      </w:r>
      <w:r w:rsidR="00340D19" w:rsidRPr="00491A4E">
        <w:rPr>
          <w:rFonts w:cstheme="minorHAnsi"/>
        </w:rPr>
        <w:t xml:space="preserve">nacionalni </w:t>
      </w:r>
      <w:r w:rsidR="0061248A" w:rsidRPr="00491A4E">
        <w:rPr>
          <w:rFonts w:cstheme="minorHAnsi"/>
        </w:rPr>
        <w:t xml:space="preserve">portal energetske učinkovitosti i </w:t>
      </w:r>
      <w:r w:rsidR="00910011">
        <w:rPr>
          <w:rFonts w:cstheme="minorHAnsi"/>
        </w:rPr>
        <w:t>kroz</w:t>
      </w:r>
      <w:r w:rsidR="0061248A" w:rsidRPr="00910011">
        <w:rPr>
          <w:rFonts w:cstheme="minorHAnsi"/>
        </w:rPr>
        <w:t xml:space="preserve"> osiguranje ažurnih informacija osigurati </w:t>
      </w:r>
      <w:r w:rsidR="0067663D" w:rsidRPr="00910011">
        <w:rPr>
          <w:rFonts w:cstheme="minorHAnsi"/>
        </w:rPr>
        <w:t>kontinuiranu promociju energetske učinkovitosti i energetskih usluga. Posebn</w:t>
      </w:r>
      <w:r w:rsidR="00E862E0" w:rsidRPr="00491A4E">
        <w:rPr>
          <w:rFonts w:cstheme="minorHAnsi"/>
        </w:rPr>
        <w:t xml:space="preserve">u je pozornost u sljedećem razdoblju potrebno </w:t>
      </w:r>
      <w:r w:rsidR="009114FD" w:rsidRPr="004713CD">
        <w:rPr>
          <w:rFonts w:cstheme="minorHAnsi"/>
        </w:rPr>
        <w:t>dati informiranju potrošača o dužnostima opskrbljivača u sklopu sust</w:t>
      </w:r>
      <w:r w:rsidR="007D7B4A">
        <w:rPr>
          <w:rFonts w:cstheme="minorHAnsi"/>
        </w:rPr>
        <w:t>a</w:t>
      </w:r>
      <w:r w:rsidR="009114FD" w:rsidRPr="004713CD">
        <w:rPr>
          <w:rFonts w:cstheme="minorHAnsi"/>
        </w:rPr>
        <w:t xml:space="preserve">va obveza. </w:t>
      </w:r>
    </w:p>
    <w:p w14:paraId="5415EC92" w14:textId="1134A8B5" w:rsidR="00706C8A" w:rsidRPr="00CF4EC7" w:rsidRDefault="001B2AD1" w:rsidP="00B3343E">
      <w:pPr>
        <w:suppressAutoHyphens w:val="0"/>
        <w:spacing w:after="160" w:line="259" w:lineRule="auto"/>
        <w:rPr>
          <w:u w:val="single"/>
        </w:rPr>
      </w:pPr>
      <w:r>
        <w:rPr>
          <w:u w:val="single"/>
        </w:rPr>
        <w:t xml:space="preserve">ENU-12: </w:t>
      </w:r>
      <w:r w:rsidR="00706C8A" w:rsidRPr="00CF4EC7">
        <w:rPr>
          <w:u w:val="single"/>
        </w:rPr>
        <w:t>Obrazovanje u području energetske učinkovitosti (H.4; MEN-12)</w:t>
      </w:r>
    </w:p>
    <w:p w14:paraId="43E2F39B" w14:textId="0F8A2B52" w:rsidR="00C21988" w:rsidRDefault="00A03B64" w:rsidP="00AC13B8">
      <w:pPr>
        <w:rPr>
          <w:rFonts w:cstheme="minorHAnsi"/>
        </w:rPr>
      </w:pPr>
      <w:r w:rsidRPr="00910011">
        <w:rPr>
          <w:rFonts w:cstheme="minorHAnsi"/>
        </w:rPr>
        <w:t>Osposobljav</w:t>
      </w:r>
      <w:r w:rsidR="007D7B4A">
        <w:rPr>
          <w:rFonts w:cstheme="minorHAnsi"/>
        </w:rPr>
        <w:t>a</w:t>
      </w:r>
      <w:r w:rsidRPr="00910011">
        <w:rPr>
          <w:rFonts w:cstheme="minorHAnsi"/>
        </w:rPr>
        <w:t xml:space="preserve">nje će se ostvariti </w:t>
      </w:r>
      <w:r w:rsidR="006951EE" w:rsidRPr="00910011">
        <w:rPr>
          <w:rFonts w:cstheme="minorHAnsi"/>
        </w:rPr>
        <w:t>kroz</w:t>
      </w:r>
      <w:r w:rsidRPr="00910011">
        <w:rPr>
          <w:rFonts w:cstheme="minorHAnsi"/>
        </w:rPr>
        <w:t xml:space="preserve"> nastavak provedbe</w:t>
      </w:r>
      <w:r w:rsidR="00047727" w:rsidRPr="00910011">
        <w:rPr>
          <w:rFonts w:cstheme="minorHAnsi"/>
        </w:rPr>
        <w:t xml:space="preserve"> </w:t>
      </w:r>
      <w:r w:rsidR="00577520" w:rsidRPr="00910011">
        <w:rPr>
          <w:rFonts w:cstheme="minorHAnsi"/>
        </w:rPr>
        <w:t xml:space="preserve">navedene </w:t>
      </w:r>
      <w:r w:rsidR="00047727" w:rsidRPr="00910011">
        <w:rPr>
          <w:rFonts w:cstheme="minorHAnsi"/>
        </w:rPr>
        <w:t>mjer</w:t>
      </w:r>
      <w:r w:rsidR="00A15838" w:rsidRPr="00910011">
        <w:rPr>
          <w:rFonts w:cstheme="minorHAnsi"/>
        </w:rPr>
        <w:t>e</w:t>
      </w:r>
      <w:r w:rsidR="00047727" w:rsidRPr="00910011">
        <w:rPr>
          <w:rFonts w:cstheme="minorHAnsi"/>
        </w:rPr>
        <w:t xml:space="preserve"> te prilagođavanje </w:t>
      </w:r>
      <w:r w:rsidR="004B4EFA" w:rsidRPr="00491A4E">
        <w:rPr>
          <w:rFonts w:cstheme="minorHAnsi"/>
        </w:rPr>
        <w:t>aktivnosti potrebama i</w:t>
      </w:r>
      <w:r w:rsidR="00C653A2" w:rsidRPr="00491A4E">
        <w:rPr>
          <w:rFonts w:cstheme="minorHAnsi"/>
        </w:rPr>
        <w:t xml:space="preserve"> stvarnoj situaciji. Poglavito je važno sustavno raditi na privla</w:t>
      </w:r>
      <w:r w:rsidR="007D7B4A">
        <w:rPr>
          <w:rFonts w:cstheme="minorHAnsi"/>
        </w:rPr>
        <w:t>č</w:t>
      </w:r>
      <w:r w:rsidR="00C653A2" w:rsidRPr="00491A4E">
        <w:rPr>
          <w:rFonts w:cstheme="minorHAnsi"/>
        </w:rPr>
        <w:t xml:space="preserve">enju mladih ljudi </w:t>
      </w:r>
      <w:r w:rsidR="00516171" w:rsidRPr="00AC13B8">
        <w:rPr>
          <w:rFonts w:cstheme="minorHAnsi"/>
        </w:rPr>
        <w:t>u</w:t>
      </w:r>
      <w:r w:rsidR="00C653A2" w:rsidRPr="00AC13B8">
        <w:rPr>
          <w:rFonts w:cstheme="minorHAnsi"/>
        </w:rPr>
        <w:t xml:space="preserve"> </w:t>
      </w:r>
      <w:r w:rsidR="005D651C" w:rsidRPr="00AC13B8">
        <w:rPr>
          <w:rFonts w:cstheme="minorHAnsi"/>
        </w:rPr>
        <w:t>građevinska</w:t>
      </w:r>
      <w:r w:rsidR="00AD3CA8" w:rsidRPr="00AC13B8">
        <w:rPr>
          <w:rFonts w:cstheme="minorHAnsi"/>
        </w:rPr>
        <w:t xml:space="preserve"> i ostala tehnička</w:t>
      </w:r>
      <w:r w:rsidR="005D651C" w:rsidRPr="00AC13B8">
        <w:rPr>
          <w:rFonts w:cstheme="minorHAnsi"/>
        </w:rPr>
        <w:t xml:space="preserve"> zanimanja, što će dugoročno doprinijeti </w:t>
      </w:r>
      <w:r w:rsidR="00AD3CA8" w:rsidRPr="00AC13B8">
        <w:rPr>
          <w:rFonts w:cstheme="minorHAnsi"/>
        </w:rPr>
        <w:t>raspoloživosti</w:t>
      </w:r>
      <w:r w:rsidR="005D651C" w:rsidRPr="00AC13B8">
        <w:rPr>
          <w:rFonts w:cstheme="minorHAnsi"/>
        </w:rPr>
        <w:t xml:space="preserve"> stručnih kapaciteta za prove</w:t>
      </w:r>
      <w:r w:rsidR="007D7B4A">
        <w:rPr>
          <w:rFonts w:cstheme="minorHAnsi"/>
        </w:rPr>
        <w:t>d</w:t>
      </w:r>
      <w:r w:rsidR="005D651C" w:rsidRPr="00AC13B8">
        <w:rPr>
          <w:rFonts w:cstheme="minorHAnsi"/>
        </w:rPr>
        <w:t xml:space="preserve">bu energetske obnove zgrada, </w:t>
      </w:r>
      <w:r w:rsidR="009E2209" w:rsidRPr="00AC13B8">
        <w:rPr>
          <w:rFonts w:cstheme="minorHAnsi"/>
        </w:rPr>
        <w:t>koja</w:t>
      </w:r>
      <w:r w:rsidR="005D651C" w:rsidRPr="00AC13B8">
        <w:rPr>
          <w:rFonts w:cstheme="minorHAnsi"/>
        </w:rPr>
        <w:t xml:space="preserve"> je temelj za postizanje </w:t>
      </w:r>
      <w:r w:rsidR="00D00B54" w:rsidRPr="00AC13B8">
        <w:rPr>
          <w:rFonts w:cstheme="minorHAnsi"/>
        </w:rPr>
        <w:t xml:space="preserve">zacrtanih </w:t>
      </w:r>
      <w:r w:rsidR="00A55291" w:rsidRPr="00AC13B8">
        <w:rPr>
          <w:rFonts w:cstheme="minorHAnsi"/>
        </w:rPr>
        <w:t xml:space="preserve">energetsko-klimatskih ciljeva. </w:t>
      </w:r>
    </w:p>
    <w:p w14:paraId="616BD768" w14:textId="37F51F80" w:rsidR="0026173B" w:rsidRPr="00CF4EC7" w:rsidRDefault="0026173B" w:rsidP="0026173B">
      <w:pPr>
        <w:suppressAutoHyphens w:val="0"/>
        <w:spacing w:after="160" w:line="259" w:lineRule="auto"/>
        <w:rPr>
          <w:u w:val="single"/>
        </w:rPr>
      </w:pPr>
      <w:r>
        <w:rPr>
          <w:u w:val="single"/>
        </w:rPr>
        <w:t xml:space="preserve">ENU-13: </w:t>
      </w:r>
      <w:r w:rsidR="0056174C">
        <w:rPr>
          <w:u w:val="single"/>
        </w:rPr>
        <w:t>Integrirani</w:t>
      </w:r>
      <w:r w:rsidR="0056174C" w:rsidRPr="0056174C">
        <w:rPr>
          <w:u w:val="single"/>
        </w:rPr>
        <w:t xml:space="preserve"> informacijsk</w:t>
      </w:r>
      <w:r w:rsidR="0056174C">
        <w:rPr>
          <w:u w:val="single"/>
        </w:rPr>
        <w:t>i</w:t>
      </w:r>
      <w:r w:rsidR="0056174C" w:rsidRPr="0056174C">
        <w:rPr>
          <w:u w:val="single"/>
        </w:rPr>
        <w:t xml:space="preserve"> sustav za praćenje energetske učinkovitosti</w:t>
      </w:r>
      <w:r w:rsidR="0056174C" w:rsidRPr="0056174C" w:rsidDel="0056174C">
        <w:rPr>
          <w:u w:val="single"/>
        </w:rPr>
        <w:t xml:space="preserve"> </w:t>
      </w:r>
      <w:r w:rsidRPr="00CF4EC7">
        <w:rPr>
          <w:u w:val="single"/>
        </w:rPr>
        <w:t>(H.</w:t>
      </w:r>
      <w:r w:rsidR="0056174C">
        <w:rPr>
          <w:u w:val="single"/>
        </w:rPr>
        <w:t>5</w:t>
      </w:r>
      <w:r w:rsidRPr="00CF4EC7">
        <w:rPr>
          <w:u w:val="single"/>
        </w:rPr>
        <w:t>; M</w:t>
      </w:r>
      <w:r w:rsidR="0056174C">
        <w:rPr>
          <w:u w:val="single"/>
        </w:rPr>
        <w:t>CC</w:t>
      </w:r>
      <w:r w:rsidRPr="00CF4EC7">
        <w:rPr>
          <w:u w:val="single"/>
        </w:rPr>
        <w:t>-2)</w:t>
      </w:r>
    </w:p>
    <w:p w14:paraId="70074195" w14:textId="3B93E06D" w:rsidR="0026173B" w:rsidRPr="00AC13B8" w:rsidRDefault="00043DF5" w:rsidP="00AC13B8">
      <w:pPr>
        <w:rPr>
          <w:rFonts w:cstheme="minorHAnsi"/>
        </w:rPr>
      </w:pPr>
      <w:r w:rsidRPr="009770C9">
        <w:rPr>
          <w:rFonts w:cstheme="minorHAnsi"/>
        </w:rPr>
        <w:t>Sustav za mjerenje i verifikaciju uš</w:t>
      </w:r>
      <w:r w:rsidRPr="00786881">
        <w:rPr>
          <w:rFonts w:cstheme="minorHAnsi"/>
        </w:rPr>
        <w:t>teda energije (SMIV) uspostavljen je</w:t>
      </w:r>
      <w:r w:rsidR="00786881">
        <w:rPr>
          <w:rFonts w:cstheme="minorHAnsi"/>
        </w:rPr>
        <w:t>,</w:t>
      </w:r>
      <w:r w:rsidRPr="00786881">
        <w:rPr>
          <w:rFonts w:cstheme="minorHAnsi"/>
        </w:rPr>
        <w:t xml:space="preserve"> temeljem zakona o energetskoj učinkovitos</w:t>
      </w:r>
      <w:r w:rsidR="007D7B4A">
        <w:rPr>
          <w:rFonts w:cstheme="minorHAnsi"/>
        </w:rPr>
        <w:t>t</w:t>
      </w:r>
      <w:r w:rsidRPr="00786881">
        <w:rPr>
          <w:rFonts w:cstheme="minorHAnsi"/>
        </w:rPr>
        <w:t>i</w:t>
      </w:r>
      <w:r w:rsidR="00786881">
        <w:rPr>
          <w:rFonts w:cstheme="minorHAnsi"/>
        </w:rPr>
        <w:t>,</w:t>
      </w:r>
      <w:r w:rsidRPr="00786881">
        <w:rPr>
          <w:rFonts w:cstheme="minorHAnsi"/>
        </w:rPr>
        <w:t xml:space="preserve"> Pravilnikom o sustavu za pra</w:t>
      </w:r>
      <w:r w:rsidRPr="00EF39CD">
        <w:rPr>
          <w:rFonts w:cstheme="minorHAnsi"/>
        </w:rPr>
        <w:t>ćenje, mjerenje i verifikaciju ušteda energije (NN 71/15). Sustav je izuzetno važ</w:t>
      </w:r>
      <w:r w:rsidR="00E95E58" w:rsidRPr="00EF39CD">
        <w:rPr>
          <w:rFonts w:cstheme="minorHAnsi"/>
        </w:rPr>
        <w:t>an</w:t>
      </w:r>
      <w:r w:rsidRPr="00EF39CD">
        <w:rPr>
          <w:rFonts w:cstheme="minorHAnsi"/>
        </w:rPr>
        <w:t xml:space="preserve"> jer se kroz njega</w:t>
      </w:r>
      <w:r w:rsidR="00E95E58" w:rsidRPr="00EF39CD">
        <w:rPr>
          <w:rFonts w:cstheme="minorHAnsi"/>
        </w:rPr>
        <w:t xml:space="preserve"> </w:t>
      </w:r>
      <w:r w:rsidRPr="00EF39CD">
        <w:rPr>
          <w:rFonts w:cstheme="minorHAnsi"/>
        </w:rPr>
        <w:t xml:space="preserve">prate uštede energije i </w:t>
      </w:r>
      <w:r w:rsidR="00E95E58" w:rsidRPr="00EF39CD">
        <w:rPr>
          <w:rFonts w:cstheme="minorHAnsi"/>
        </w:rPr>
        <w:t xml:space="preserve">rezultirajuće </w:t>
      </w:r>
      <w:r w:rsidRPr="00EF39CD">
        <w:rPr>
          <w:rFonts w:cstheme="minorHAnsi"/>
        </w:rPr>
        <w:t>smanjenj</w:t>
      </w:r>
      <w:r w:rsidR="00E95E58" w:rsidRPr="00EF39CD">
        <w:rPr>
          <w:rFonts w:cstheme="minorHAnsi"/>
        </w:rPr>
        <w:t>e</w:t>
      </w:r>
      <w:r w:rsidRPr="00EF39CD">
        <w:rPr>
          <w:rFonts w:cstheme="minorHAnsi"/>
        </w:rPr>
        <w:t xml:space="preserve"> stakleničkih plinova</w:t>
      </w:r>
      <w:r w:rsidR="00E95E58" w:rsidRPr="00EF39CD">
        <w:rPr>
          <w:rFonts w:cstheme="minorHAnsi"/>
        </w:rPr>
        <w:t xml:space="preserve"> te se podatci iz sustava koriste za izvješćivanje</w:t>
      </w:r>
      <w:r w:rsidRPr="00EF39CD">
        <w:rPr>
          <w:rFonts w:cstheme="minorHAnsi"/>
        </w:rPr>
        <w:t>.</w:t>
      </w:r>
      <w:r w:rsidR="00F377A4" w:rsidRPr="00EF39CD">
        <w:rPr>
          <w:rFonts w:cstheme="minorHAnsi"/>
        </w:rPr>
        <w:t xml:space="preserve"> U sljedećem razdoblju nužno je održavati i unaprjeđivati funkcionalnost sustava</w:t>
      </w:r>
      <w:r w:rsidR="009E0C48">
        <w:rPr>
          <w:rFonts w:cstheme="minorHAnsi"/>
        </w:rPr>
        <w:t>, povezati ga s drugim sustavima (ISGE)</w:t>
      </w:r>
      <w:r w:rsidRPr="00EF39CD">
        <w:rPr>
          <w:rFonts w:cstheme="minorHAnsi"/>
        </w:rPr>
        <w:t xml:space="preserve"> </w:t>
      </w:r>
      <w:r w:rsidR="00EF39CD">
        <w:rPr>
          <w:rFonts w:cstheme="minorHAnsi"/>
        </w:rPr>
        <w:t xml:space="preserve">te informirati i obučavati obveznike </w:t>
      </w:r>
      <w:r w:rsidR="009220CA">
        <w:rPr>
          <w:rFonts w:cstheme="minorHAnsi"/>
        </w:rPr>
        <w:t>o pravilnom unosu podatka potrebnih za izračun i verifikaciju u</w:t>
      </w:r>
      <w:r w:rsidR="009E0C48">
        <w:rPr>
          <w:rFonts w:cstheme="minorHAnsi"/>
        </w:rPr>
        <w:t>šteda energije.</w:t>
      </w:r>
    </w:p>
    <w:p w14:paraId="74A8500E" w14:textId="272962F0" w:rsidR="00C21988" w:rsidRPr="00B370A3" w:rsidRDefault="00112534" w:rsidP="00C21988">
      <w:pPr>
        <w:shd w:val="clear" w:color="auto" w:fill="D9D9D9" w:themeFill="background1" w:themeFillShade="D9"/>
        <w:ind w:left="705" w:hanging="705"/>
        <w:rPr>
          <w:rFonts w:cstheme="minorHAnsi"/>
          <w:i/>
        </w:rPr>
      </w:pPr>
      <w:r>
        <w:rPr>
          <w:rFonts w:cstheme="minorHAnsi"/>
          <w:i/>
        </w:rPr>
        <w:t>Mjere u sektoru prerađivačke industrije</w:t>
      </w:r>
    </w:p>
    <w:p w14:paraId="140F70BE" w14:textId="588889C5" w:rsidR="000C716B" w:rsidRPr="00AC13B8" w:rsidRDefault="00930EB5" w:rsidP="00AC13B8">
      <w:pPr>
        <w:rPr>
          <w:rFonts w:cstheme="minorHAnsi"/>
        </w:rPr>
      </w:pPr>
      <w:r w:rsidRPr="00AE1D3C">
        <w:rPr>
          <w:rFonts w:cstheme="minorHAnsi"/>
        </w:rPr>
        <w:t xml:space="preserve">U razdoblju od 2021. do 2030. godine, ETS </w:t>
      </w:r>
      <w:r w:rsidR="00BC3398" w:rsidRPr="00AE1D3C">
        <w:rPr>
          <w:rFonts w:cstheme="minorHAnsi"/>
        </w:rPr>
        <w:t>(</w:t>
      </w:r>
      <w:r w:rsidR="004E74E4" w:rsidRPr="00AE1D3C">
        <w:rPr>
          <w:rFonts w:cstheme="minorHAnsi"/>
        </w:rPr>
        <w:t>M</w:t>
      </w:r>
      <w:r w:rsidR="00195C5A">
        <w:rPr>
          <w:rFonts w:cstheme="minorHAnsi"/>
        </w:rPr>
        <w:t xml:space="preserve">S-3: </w:t>
      </w:r>
      <w:r w:rsidR="00195C5A" w:rsidRPr="00195C5A">
        <w:rPr>
          <w:rFonts w:cstheme="minorHAnsi"/>
        </w:rPr>
        <w:t>Europski sustav trgovanja emisijskim jedinicama</w:t>
      </w:r>
      <w:r w:rsidR="00BC3398" w:rsidRPr="00AE1D3C">
        <w:rPr>
          <w:rFonts w:cstheme="minorHAnsi"/>
        </w:rPr>
        <w:t xml:space="preserve">) </w:t>
      </w:r>
      <w:r w:rsidRPr="00AC13B8">
        <w:rPr>
          <w:rFonts w:cstheme="minorHAnsi"/>
        </w:rPr>
        <w:t>ostaje glavni instrument politike smanjenja emisija industrijskog sektor</w:t>
      </w:r>
      <w:r w:rsidR="00BC3398" w:rsidRPr="00AC13B8">
        <w:rPr>
          <w:rFonts w:cstheme="minorHAnsi"/>
        </w:rPr>
        <w:t>a</w:t>
      </w:r>
      <w:r w:rsidR="000D09FF" w:rsidRPr="00AC13B8">
        <w:rPr>
          <w:rFonts w:cstheme="minorHAnsi"/>
        </w:rPr>
        <w:t xml:space="preserve">. </w:t>
      </w:r>
      <w:r w:rsidR="002B2B5C" w:rsidRPr="00AC13B8">
        <w:rPr>
          <w:rFonts w:cstheme="minorHAnsi"/>
        </w:rPr>
        <w:t xml:space="preserve">Za postrojenja koja nisu u ETS-u, na snazi će i dalje biti </w:t>
      </w:r>
      <w:r w:rsidR="009E4E7E" w:rsidRPr="00AC13B8">
        <w:rPr>
          <w:rFonts w:cstheme="minorHAnsi"/>
        </w:rPr>
        <w:t>obveza plaćanja naknade za emisije CO</w:t>
      </w:r>
      <w:r w:rsidR="009E4E7E" w:rsidRPr="00AC13B8">
        <w:rPr>
          <w:rFonts w:cstheme="minorHAnsi"/>
          <w:vertAlign w:val="subscript"/>
        </w:rPr>
        <w:t>2</w:t>
      </w:r>
      <w:r w:rsidR="00EF5116" w:rsidRPr="00AE1D3C">
        <w:rPr>
          <w:rFonts w:cstheme="minorHAnsi"/>
        </w:rPr>
        <w:t xml:space="preserve"> (</w:t>
      </w:r>
      <w:r w:rsidR="00195C5A" w:rsidRPr="00195C5A">
        <w:rPr>
          <w:rFonts w:cstheme="minorHAnsi"/>
        </w:rPr>
        <w:t>MS-5: Porez na emisiju CO2 za stacionarne izvore koji nisu u EU ETS-u</w:t>
      </w:r>
      <w:r w:rsidR="00EF5116" w:rsidRPr="00AE1D3C">
        <w:rPr>
          <w:rFonts w:cstheme="minorHAnsi"/>
        </w:rPr>
        <w:t>)</w:t>
      </w:r>
      <w:r w:rsidR="009E4E7E" w:rsidRPr="00AE1D3C">
        <w:rPr>
          <w:rFonts w:cstheme="minorHAnsi"/>
        </w:rPr>
        <w:t xml:space="preserve">, prema </w:t>
      </w:r>
      <w:r w:rsidR="00202B83" w:rsidRPr="00AE1D3C">
        <w:rPr>
          <w:rFonts w:cstheme="minorHAnsi"/>
        </w:rPr>
        <w:t>Uredbi o jediničnim naknadama, korektivnim koeficijentima i pobližim kriterijima i mjerilima za utvrđivanje naknade na emisiju u okoliš ugl</w:t>
      </w:r>
      <w:r w:rsidR="00202B83" w:rsidRPr="00AC13B8">
        <w:rPr>
          <w:rFonts w:cstheme="minorHAnsi"/>
        </w:rPr>
        <w:t xml:space="preserve">jikovog dioksida (NN 73/07, 48/09, 2/18) </w:t>
      </w:r>
      <w:r w:rsidR="001A111E" w:rsidRPr="00AC13B8">
        <w:rPr>
          <w:rFonts w:cstheme="minorHAnsi"/>
        </w:rPr>
        <w:t>te odlukama</w:t>
      </w:r>
      <w:r w:rsidR="00B26F60" w:rsidRPr="00AC13B8">
        <w:rPr>
          <w:rFonts w:cstheme="minorHAnsi"/>
        </w:rPr>
        <w:t xml:space="preserve"> o visini jedinične naknade za emisije stakleničkih plinova za operatere postrojenja isključenih iz sustava trgovanja emisijskim jedinicama. </w:t>
      </w:r>
    </w:p>
    <w:p w14:paraId="24E61527" w14:textId="6FC87878" w:rsidR="00C21988" w:rsidRPr="00AC13B8" w:rsidRDefault="000D09FF" w:rsidP="00C21988">
      <w:pPr>
        <w:rPr>
          <w:rFonts w:cstheme="minorHAnsi"/>
        </w:rPr>
      </w:pPr>
      <w:r w:rsidRPr="00AC13B8">
        <w:rPr>
          <w:rFonts w:cstheme="minorHAnsi"/>
        </w:rPr>
        <w:t xml:space="preserve">Osim toga, očekuje se da će </w:t>
      </w:r>
      <w:r w:rsidR="00FB1E90" w:rsidRPr="00AC13B8">
        <w:rPr>
          <w:rFonts w:cstheme="minorHAnsi"/>
        </w:rPr>
        <w:t>sustav obveza opskrbljivača također doprinijeti poboljšanju energetske u</w:t>
      </w:r>
      <w:r w:rsidR="00E71137" w:rsidRPr="00AC13B8">
        <w:rPr>
          <w:rFonts w:cstheme="minorHAnsi"/>
        </w:rPr>
        <w:t>činkovitosti u ovom sektoru</w:t>
      </w:r>
      <w:r w:rsidR="00CC2626" w:rsidRPr="00AC13B8">
        <w:rPr>
          <w:rFonts w:cstheme="minorHAnsi"/>
        </w:rPr>
        <w:t xml:space="preserve">, </w:t>
      </w:r>
      <w:r w:rsidR="0062782E" w:rsidRPr="00AC13B8">
        <w:rPr>
          <w:rFonts w:cstheme="minorHAnsi"/>
        </w:rPr>
        <w:t>kroz</w:t>
      </w:r>
      <w:r w:rsidR="00CC2626" w:rsidRPr="00AC13B8">
        <w:rPr>
          <w:rFonts w:cstheme="minorHAnsi"/>
        </w:rPr>
        <w:t xml:space="preserve"> iskorištavanje </w:t>
      </w:r>
      <w:r w:rsidR="00484002" w:rsidRPr="00AC13B8">
        <w:rPr>
          <w:rFonts w:cstheme="minorHAnsi"/>
        </w:rPr>
        <w:t>troškovno učinkovitih potencijala za energetsku učinkovitost</w:t>
      </w:r>
      <w:r w:rsidR="00351A6D" w:rsidRPr="00AC13B8">
        <w:rPr>
          <w:rFonts w:cstheme="minorHAnsi"/>
        </w:rPr>
        <w:t xml:space="preserve"> i korištenje tržišnih modela, kao što su ugov</w:t>
      </w:r>
      <w:r w:rsidR="007D7B4A">
        <w:rPr>
          <w:rFonts w:cstheme="minorHAnsi"/>
        </w:rPr>
        <w:t>a</w:t>
      </w:r>
      <w:r w:rsidR="00351A6D" w:rsidRPr="00AC13B8">
        <w:rPr>
          <w:rFonts w:cstheme="minorHAnsi"/>
        </w:rPr>
        <w:t xml:space="preserve">ranje po energetskom učinku. </w:t>
      </w:r>
      <w:r w:rsidR="00DF3E7E" w:rsidRPr="00AC13B8">
        <w:rPr>
          <w:rFonts w:cstheme="minorHAnsi"/>
        </w:rPr>
        <w:t>Zbog toga se u razdoblju od 20121. do 2030. godine ne predviđaju</w:t>
      </w:r>
      <w:r w:rsidR="00A7117B" w:rsidRPr="00AC13B8">
        <w:rPr>
          <w:rFonts w:cstheme="minorHAnsi"/>
        </w:rPr>
        <w:t xml:space="preserve"> nove mjere financijskog poticanja iz</w:t>
      </w:r>
      <w:r w:rsidR="00381286" w:rsidRPr="00AC13B8">
        <w:rPr>
          <w:rFonts w:cstheme="minorHAnsi"/>
        </w:rPr>
        <w:t xml:space="preserve"> javnih izvora. </w:t>
      </w:r>
    </w:p>
    <w:p w14:paraId="7AEDE03E" w14:textId="77777777" w:rsidR="0042794C" w:rsidRDefault="00C21988" w:rsidP="00D64592">
      <w:pPr>
        <w:pStyle w:val="ListParagraph"/>
        <w:numPr>
          <w:ilvl w:val="0"/>
          <w:numId w:val="63"/>
        </w:numPr>
        <w:tabs>
          <w:tab w:val="clear" w:pos="431"/>
        </w:tabs>
        <w:suppressAutoHyphens w:val="0"/>
        <w:spacing w:after="160" w:line="259" w:lineRule="auto"/>
        <w:contextualSpacing/>
        <w:jc w:val="left"/>
        <w:rPr>
          <w:b/>
          <w:i/>
        </w:rPr>
      </w:pPr>
      <w:r w:rsidRPr="000C716B">
        <w:rPr>
          <w:b/>
          <w:i/>
        </w:rPr>
        <w:t>Ako je primjenljivo, opis mjera za iskorištavanje potencijala za povećanje energetske učinkovitosti infrastrukture za plin i električnu energiju</w:t>
      </w:r>
    </w:p>
    <w:p w14:paraId="3BA11FD7" w14:textId="65A6FD7F" w:rsidR="00C70AEA" w:rsidRPr="00CF2D4C" w:rsidRDefault="00C70AEA" w:rsidP="00F55479">
      <w:r w:rsidRPr="00CF2D4C">
        <w:t>Mjere za povećanje energetske učinkovitosti infrastrukture za električnu energiju (prijenosne i distribucijske mreže), temelje se na desetogodišnjim planovima razvoja prijenosne i distribucijske mreže za razdoblje od 2016. do 2025. godine te Odluci HERA-e o provedbi mjera energetske učinkovitosti (detaljnije u poglavlju 1.2.2).</w:t>
      </w:r>
    </w:p>
    <w:p w14:paraId="2EBC08C8" w14:textId="55F53939" w:rsidR="00F55479" w:rsidRPr="00A547D3" w:rsidRDefault="002E36D5" w:rsidP="00F55479">
      <w:pPr>
        <w:rPr>
          <w:u w:val="single"/>
        </w:rPr>
      </w:pPr>
      <w:r w:rsidRPr="00A547D3">
        <w:rPr>
          <w:u w:val="single"/>
        </w:rPr>
        <w:t xml:space="preserve">ENU-14: </w:t>
      </w:r>
      <w:r w:rsidR="00A547D3" w:rsidRPr="00A547D3">
        <w:rPr>
          <w:u w:val="single"/>
        </w:rPr>
        <w:t>V</w:t>
      </w:r>
      <w:r w:rsidR="003045F2" w:rsidRPr="00A547D3">
        <w:rPr>
          <w:u w:val="single"/>
        </w:rPr>
        <w:t>ođenje pogona elektroenergetskog sustava te razvoj prijenosne mreže</w:t>
      </w:r>
      <w:r w:rsidR="003045F2" w:rsidRPr="00A547D3" w:rsidDel="003045F2">
        <w:rPr>
          <w:u w:val="single"/>
        </w:rPr>
        <w:t xml:space="preserve"> </w:t>
      </w:r>
      <w:r w:rsidRPr="00A547D3">
        <w:rPr>
          <w:u w:val="single"/>
        </w:rPr>
        <w:t>(</w:t>
      </w:r>
      <w:r w:rsidR="003045F2" w:rsidRPr="00A547D3">
        <w:rPr>
          <w:u w:val="single"/>
        </w:rPr>
        <w:t>E.8</w:t>
      </w:r>
      <w:r w:rsidRPr="00A547D3">
        <w:rPr>
          <w:u w:val="single"/>
        </w:rPr>
        <w:t>; MEN-</w:t>
      </w:r>
      <w:r w:rsidR="00E901FD" w:rsidRPr="00A547D3">
        <w:rPr>
          <w:u w:val="single"/>
        </w:rPr>
        <w:t>25</w:t>
      </w:r>
      <w:r w:rsidRPr="00A547D3">
        <w:rPr>
          <w:u w:val="single"/>
        </w:rPr>
        <w:t>)</w:t>
      </w:r>
    </w:p>
    <w:p w14:paraId="7311F26B" w14:textId="5977F809" w:rsidR="00334D92" w:rsidRPr="00AC13B8" w:rsidRDefault="00057ED5" w:rsidP="009D0317">
      <w:pPr>
        <w:rPr>
          <w:rFonts w:cstheme="minorHAnsi"/>
        </w:rPr>
      </w:pPr>
      <w:r w:rsidRPr="00AC13B8">
        <w:rPr>
          <w:rFonts w:cstheme="minorHAnsi"/>
        </w:rPr>
        <w:t xml:space="preserve">HOPS će u razdoblju do 2030. godine nastaviti provoditi </w:t>
      </w:r>
      <w:r w:rsidR="00580ADA" w:rsidRPr="00AC13B8">
        <w:rPr>
          <w:rFonts w:cstheme="minorHAnsi"/>
        </w:rPr>
        <w:t>aktivnosti</w:t>
      </w:r>
      <w:r w:rsidRPr="00AC13B8">
        <w:rPr>
          <w:rFonts w:cstheme="minorHAnsi"/>
        </w:rPr>
        <w:t xml:space="preserve"> za unaprjeđenje vođenja </w:t>
      </w:r>
      <w:r w:rsidR="009D0317" w:rsidRPr="00AC13B8">
        <w:rPr>
          <w:rFonts w:cstheme="minorHAnsi"/>
        </w:rPr>
        <w:t>elektroenergetskog sustava (topološke promjene u mreži ovisno o trenutnom pogonskom stanju, promjene uklopnog stanja transformatora i optimiranje rada transformatora s kosom regulacijom, upravljanje naponima i optimiranje tokova snaga u mreži, optimiranje rada generatora)</w:t>
      </w:r>
      <w:r w:rsidRPr="00AC13B8">
        <w:rPr>
          <w:rFonts w:cstheme="minorHAnsi"/>
        </w:rPr>
        <w:t xml:space="preserve"> </w:t>
      </w:r>
      <w:r w:rsidR="00EF7306" w:rsidRPr="00AC13B8">
        <w:rPr>
          <w:rFonts w:cstheme="minorHAnsi"/>
        </w:rPr>
        <w:t>te zamjen</w:t>
      </w:r>
      <w:r w:rsidR="00580ADA" w:rsidRPr="00AC13B8">
        <w:rPr>
          <w:rFonts w:cstheme="minorHAnsi"/>
        </w:rPr>
        <w:t>u postojeće opreme (</w:t>
      </w:r>
      <w:r w:rsidR="0089626E" w:rsidRPr="00AC13B8">
        <w:rPr>
          <w:rFonts w:cstheme="minorHAnsi"/>
        </w:rPr>
        <w:t xml:space="preserve">energetski transformatori i vodiči s manjim gubitcima, izgradnja </w:t>
      </w:r>
      <w:r w:rsidR="007D7B4A">
        <w:rPr>
          <w:rFonts w:cstheme="minorHAnsi"/>
        </w:rPr>
        <w:t>n</w:t>
      </w:r>
      <w:r w:rsidR="0089626E" w:rsidRPr="00AC13B8">
        <w:rPr>
          <w:rFonts w:cstheme="minorHAnsi"/>
        </w:rPr>
        <w:t>ovih vodova</w:t>
      </w:r>
      <w:r w:rsidR="00580ADA" w:rsidRPr="00AC13B8">
        <w:rPr>
          <w:rFonts w:cstheme="minorHAnsi"/>
        </w:rPr>
        <w:t>)</w:t>
      </w:r>
      <w:r w:rsidR="0089626E" w:rsidRPr="00AC13B8">
        <w:rPr>
          <w:rFonts w:cstheme="minorHAnsi"/>
        </w:rPr>
        <w:t xml:space="preserve">, a sve s ciljem </w:t>
      </w:r>
      <w:r w:rsidR="00143595" w:rsidRPr="00AC13B8">
        <w:rPr>
          <w:rFonts w:cstheme="minorHAnsi"/>
        </w:rPr>
        <w:t>daljn</w:t>
      </w:r>
      <w:r w:rsidR="007D7B4A">
        <w:rPr>
          <w:rFonts w:cstheme="minorHAnsi"/>
        </w:rPr>
        <w:t>j</w:t>
      </w:r>
      <w:r w:rsidR="00143595" w:rsidRPr="00AC13B8">
        <w:rPr>
          <w:rFonts w:cstheme="minorHAnsi"/>
        </w:rPr>
        <w:t>eg smanjenja tehničkih gubitaka u mreži.</w:t>
      </w:r>
      <w:r w:rsidR="00EF7306" w:rsidRPr="00AC13B8">
        <w:rPr>
          <w:rFonts w:cstheme="minorHAnsi"/>
        </w:rPr>
        <w:t xml:space="preserve"> </w:t>
      </w:r>
      <w:r w:rsidR="00766E97" w:rsidRPr="00AC13B8">
        <w:rPr>
          <w:rFonts w:cstheme="minorHAnsi"/>
        </w:rPr>
        <w:t xml:space="preserve">Za ovu se mjeru predlaže, uz </w:t>
      </w:r>
      <w:r w:rsidR="007675E5" w:rsidRPr="00AC13B8">
        <w:rPr>
          <w:rFonts w:cstheme="minorHAnsi"/>
        </w:rPr>
        <w:t>osiguravanje sredstava od strane HOPS-a, programirati korištenje ESI sredstava u sljedećem programskom razdoblju od 2021. do 2027. godine.</w:t>
      </w:r>
      <w:r w:rsidR="0086329E">
        <w:rPr>
          <w:rFonts w:cstheme="minorHAnsi"/>
        </w:rPr>
        <w:t xml:space="preserve"> </w:t>
      </w:r>
    </w:p>
    <w:p w14:paraId="6DBE204D" w14:textId="1100D8F4" w:rsidR="002E36D5" w:rsidRPr="007E3506" w:rsidRDefault="002E36D5" w:rsidP="002E36D5">
      <w:pPr>
        <w:rPr>
          <w:u w:val="single"/>
        </w:rPr>
      </w:pPr>
      <w:r w:rsidRPr="007E3506">
        <w:rPr>
          <w:u w:val="single"/>
        </w:rPr>
        <w:t xml:space="preserve">ENU-15: </w:t>
      </w:r>
      <w:r w:rsidR="00E901FD" w:rsidRPr="007E3506">
        <w:rPr>
          <w:u w:val="single"/>
        </w:rPr>
        <w:t>Smanjenje gubitaka u distribucijskoj elektroenergetskoj mreži</w:t>
      </w:r>
      <w:r w:rsidR="00E901FD" w:rsidRPr="007E3506" w:rsidDel="00E901FD">
        <w:rPr>
          <w:u w:val="single"/>
        </w:rPr>
        <w:t xml:space="preserve"> </w:t>
      </w:r>
      <w:r w:rsidR="00EF008E">
        <w:rPr>
          <w:u w:val="single"/>
        </w:rPr>
        <w:t xml:space="preserve">i uvođenje pametnih mreža </w:t>
      </w:r>
      <w:r w:rsidRPr="007E3506">
        <w:rPr>
          <w:u w:val="single"/>
        </w:rPr>
        <w:t>(</w:t>
      </w:r>
      <w:r w:rsidR="00E901FD" w:rsidRPr="007E3506">
        <w:rPr>
          <w:u w:val="single"/>
        </w:rPr>
        <w:t>E.9</w:t>
      </w:r>
      <w:r w:rsidRPr="007E3506">
        <w:rPr>
          <w:u w:val="single"/>
        </w:rPr>
        <w:t>; MEN-</w:t>
      </w:r>
      <w:r w:rsidR="00E901FD" w:rsidRPr="007E3506">
        <w:rPr>
          <w:u w:val="single"/>
        </w:rPr>
        <w:t>25</w:t>
      </w:r>
      <w:r w:rsidRPr="007E3506">
        <w:rPr>
          <w:u w:val="single"/>
        </w:rPr>
        <w:t>)</w:t>
      </w:r>
    </w:p>
    <w:p w14:paraId="4FA8B30F" w14:textId="5257E580" w:rsidR="002E36D5" w:rsidRDefault="00116C12" w:rsidP="008E0BD2">
      <w:pPr>
        <w:rPr>
          <w:rFonts w:cstheme="minorHAnsi"/>
        </w:rPr>
      </w:pPr>
      <w:r w:rsidRPr="00AC13B8">
        <w:rPr>
          <w:rFonts w:cstheme="minorHAnsi"/>
        </w:rPr>
        <w:t>HEP-ODS će u razdoblju do 2030. godine nastaviti provoditi aktivnosti za smanjenje tehničkih i netehničkih gubitaka u distribucijsko</w:t>
      </w:r>
      <w:r w:rsidR="007D7B4A">
        <w:rPr>
          <w:rFonts w:cstheme="minorHAnsi"/>
        </w:rPr>
        <w:t>j</w:t>
      </w:r>
      <w:r w:rsidRPr="00AC13B8">
        <w:rPr>
          <w:rFonts w:cstheme="minorHAnsi"/>
        </w:rPr>
        <w:t xml:space="preserve"> elektroenergetskoj mreži. </w:t>
      </w:r>
      <w:r w:rsidR="00C94DCC" w:rsidRPr="00AC13B8">
        <w:rPr>
          <w:rFonts w:cstheme="minorHAnsi"/>
        </w:rPr>
        <w:t xml:space="preserve">Aktivnosti za smanjenje </w:t>
      </w:r>
      <w:r w:rsidR="00426AB7" w:rsidRPr="00AC13B8">
        <w:rPr>
          <w:rFonts w:cstheme="minorHAnsi"/>
        </w:rPr>
        <w:t>te</w:t>
      </w:r>
      <w:r w:rsidR="007D7B4A">
        <w:rPr>
          <w:rFonts w:cstheme="minorHAnsi"/>
        </w:rPr>
        <w:t>h</w:t>
      </w:r>
      <w:r w:rsidR="00426AB7" w:rsidRPr="00AC13B8">
        <w:rPr>
          <w:rFonts w:cstheme="minorHAnsi"/>
        </w:rPr>
        <w:t>ničkih g</w:t>
      </w:r>
      <w:r w:rsidR="007D7B4A">
        <w:rPr>
          <w:rFonts w:cstheme="minorHAnsi"/>
        </w:rPr>
        <w:t>u</w:t>
      </w:r>
      <w:r w:rsidR="00426AB7" w:rsidRPr="00AC13B8">
        <w:rPr>
          <w:rFonts w:cstheme="minorHAnsi"/>
        </w:rPr>
        <w:t xml:space="preserve">bitaka uključuju optimiranje pogonskog stanja mreže, rekonstrukcije dijelova mreže s malim presjekom vodiča i dugačkim dionicama, prelazak dijelova 10 kV mreže na 20 kV naponsku razinu, zamjenu starih transformatora s velikih gubicima, ugradnju energetskih transformatora sa smanjenim gubicima te smanjenju vlastite potrošnje. Na strani netehničkih gubitaka </w:t>
      </w:r>
      <w:r w:rsidR="008E0BD2" w:rsidRPr="00AC13B8">
        <w:rPr>
          <w:rFonts w:cstheme="minorHAnsi"/>
        </w:rPr>
        <w:t>aktivnosti će uključivati daljnju ugradnju i uvođenje što većeg broja naprednih brojila u sustav daljinskog nadzora i očitanja, daljnju sveobuhvatnu provedbu kontrole priključaka i mjernih mjesta (KPiMM), s naglaskom na otkrivanje neovlaštene potrošnje električne energije</w:t>
      </w:r>
      <w:r w:rsidR="00E02BD0" w:rsidRPr="00AC13B8">
        <w:rPr>
          <w:rFonts w:cstheme="minorHAnsi"/>
        </w:rPr>
        <w:t xml:space="preserve"> te </w:t>
      </w:r>
      <w:r w:rsidR="008E0BD2" w:rsidRPr="00AC13B8">
        <w:rPr>
          <w:rFonts w:cstheme="minorHAnsi"/>
        </w:rPr>
        <w:t>nastav</w:t>
      </w:r>
      <w:r w:rsidR="00E02BD0" w:rsidRPr="00AC13B8">
        <w:rPr>
          <w:rFonts w:cstheme="minorHAnsi"/>
        </w:rPr>
        <w:t xml:space="preserve">ak </w:t>
      </w:r>
      <w:r w:rsidR="008E0BD2" w:rsidRPr="00AC13B8">
        <w:rPr>
          <w:rFonts w:cstheme="minorHAnsi"/>
        </w:rPr>
        <w:t>rekonstrukcije postojećih priključaka i mjernih mjesta, koja su smještena u objektima kupaca.</w:t>
      </w:r>
      <w:r w:rsidR="00E02BD0" w:rsidRPr="00AC13B8">
        <w:rPr>
          <w:rFonts w:cstheme="minorHAnsi"/>
        </w:rPr>
        <w:t xml:space="preserve"> Na temelju iskustava iz provedbe pilot projekta uvođenja pametnih mreža na pilot područjima</w:t>
      </w:r>
      <w:r w:rsidR="00CA6EEF" w:rsidRPr="00AC13B8">
        <w:rPr>
          <w:rFonts w:cstheme="minorHAnsi"/>
        </w:rPr>
        <w:t xml:space="preserve"> uz korištenje ESI fondova, potrebno je programirati nastavak korištenja ESI sredstava u </w:t>
      </w:r>
      <w:r w:rsidR="007E3506" w:rsidRPr="00AC13B8">
        <w:rPr>
          <w:rFonts w:cstheme="minorHAnsi"/>
        </w:rPr>
        <w:t xml:space="preserve">sljedećem programskom razdoblju od 2021. do 2027. godine za daljnji razvoj pametnih mreža. </w:t>
      </w:r>
    </w:p>
    <w:p w14:paraId="67C1ED8C" w14:textId="77777777" w:rsidR="00C70AEA" w:rsidRDefault="00C70AEA" w:rsidP="00C70AEA">
      <w:pPr>
        <w:rPr>
          <w:rFonts w:cstheme="minorHAnsi"/>
        </w:rPr>
      </w:pPr>
      <w:r>
        <w:rPr>
          <w:rFonts w:cstheme="minorHAnsi"/>
        </w:rPr>
        <w:t xml:space="preserve">Za plinsku infrastrukture ne predviđaju se posebne mjere. </w:t>
      </w:r>
    </w:p>
    <w:p w14:paraId="15C309CD" w14:textId="77777777" w:rsidR="00C70AEA" w:rsidRDefault="00C70AEA" w:rsidP="00C70AEA">
      <w:pPr>
        <w:rPr>
          <w:rFonts w:cstheme="minorHAnsi"/>
        </w:rPr>
      </w:pPr>
      <w:r>
        <w:rPr>
          <w:rFonts w:cstheme="minorHAnsi"/>
        </w:rPr>
        <w:t>Za RH je bitno i unaprjeđenje infrastrukture za proizvodnju, prijenos i distribuciju energije za grijanje i hlađenje. Stoga se u sljedećem razdoblju predviđa i provedba ove mjere:</w:t>
      </w:r>
    </w:p>
    <w:p w14:paraId="765BAD33" w14:textId="77777777" w:rsidR="00C70AEA" w:rsidRDefault="00C70AEA" w:rsidP="00C70AEA">
      <w:pPr>
        <w:rPr>
          <w:u w:val="single"/>
        </w:rPr>
      </w:pPr>
      <w:r>
        <w:rPr>
          <w:u w:val="single"/>
        </w:rPr>
        <w:t>ENU-16: Povećanje učinkovitosti sustava toplinarstva (E.7; MEN-24)</w:t>
      </w:r>
    </w:p>
    <w:p w14:paraId="110C3CB7" w14:textId="42BE3841" w:rsidR="00C70AEA" w:rsidRPr="00AC13B8" w:rsidRDefault="00C70AEA" w:rsidP="008E0BD2">
      <w:pPr>
        <w:rPr>
          <w:rFonts w:cstheme="minorHAnsi"/>
        </w:rPr>
      </w:pPr>
      <w:r>
        <w:rPr>
          <w:rFonts w:cstheme="minorHAnsi"/>
        </w:rPr>
        <w:t xml:space="preserve">U postojećim velikim centraliziranim toplinskim sustavima veliki izvor gubitaka je dotrajala parovodna i vrelovodna mreža te se ovom mjerom predviđa nastavak zamjene vrelovoda i parovoda s dotrajalom izolacijom čeličnih cjevovoda novim predizoliranim cijevima. U manjim sustavima s vlastitim kotlovnicama potrebno je omogućiti rekonstrukciju kotlovnica poglavito na način da se zamjene visokoučinkovitim kogeneracijskim sustavima ili sustavima koji koriste dizalice topline. Mjera također predviđa i razvoj novih sustava grijanja i hlađenja, koji koriste visokoučinkovitu kogeneraciju ili obnovljive izvore energije. Potrebno je programirati korištenje ESI sredstava u sljedećem programskom razdoblju od 2021. do 2027. godine za provedbu ove mjere. </w:t>
      </w:r>
    </w:p>
    <w:p w14:paraId="33BC9B54" w14:textId="2B383D48" w:rsidR="00C21988" w:rsidRPr="00051989" w:rsidRDefault="00C21988" w:rsidP="00D64592">
      <w:pPr>
        <w:pStyle w:val="ListParagraph"/>
        <w:numPr>
          <w:ilvl w:val="0"/>
          <w:numId w:val="63"/>
        </w:numPr>
        <w:tabs>
          <w:tab w:val="clear" w:pos="431"/>
        </w:tabs>
        <w:suppressAutoHyphens w:val="0"/>
        <w:spacing w:after="160" w:line="259" w:lineRule="auto"/>
        <w:contextualSpacing/>
        <w:jc w:val="left"/>
        <w:rPr>
          <w:b/>
          <w:i/>
        </w:rPr>
      </w:pPr>
      <w:r w:rsidRPr="00051989">
        <w:rPr>
          <w:b/>
          <w:i/>
        </w:rPr>
        <w:t>Regionalna suradnja u ovom području, ako je primjenjivo.</w:t>
      </w:r>
    </w:p>
    <w:p w14:paraId="659FB709" w14:textId="0CFB46D4" w:rsidR="00C21988" w:rsidRDefault="009E50B1" w:rsidP="00C21988">
      <w:r w:rsidRPr="003E444D">
        <w:t xml:space="preserve">Nije primjenjivo. </w:t>
      </w:r>
    </w:p>
    <w:p w14:paraId="3B3DC616" w14:textId="77777777" w:rsidR="00C21988" w:rsidRPr="001D352E" w:rsidRDefault="00C21988" w:rsidP="00D64592">
      <w:pPr>
        <w:pStyle w:val="ListParagraph"/>
        <w:numPr>
          <w:ilvl w:val="0"/>
          <w:numId w:val="63"/>
        </w:numPr>
        <w:tabs>
          <w:tab w:val="clear" w:pos="431"/>
        </w:tabs>
        <w:suppressAutoHyphens w:val="0"/>
        <w:spacing w:after="160" w:line="259" w:lineRule="auto"/>
        <w:contextualSpacing/>
        <w:jc w:val="left"/>
        <w:rPr>
          <w:b/>
          <w:i/>
        </w:rPr>
      </w:pPr>
      <w:r w:rsidRPr="001D352E">
        <w:rPr>
          <w:b/>
          <w:i/>
        </w:rPr>
        <w:t>Financijske mjere u ovom području na nacionalnoj razini, uključujući potporu EU-a i upotrebu sredstava EU-a.</w:t>
      </w:r>
    </w:p>
    <w:p w14:paraId="6B4CC729" w14:textId="77777777" w:rsidR="002B6FB0" w:rsidRDefault="00291D42" w:rsidP="00C21988">
      <w:r w:rsidRPr="00051989">
        <w:t>Za razdoblje do 2020. godine</w:t>
      </w:r>
      <w:r w:rsidR="001C2F64">
        <w:t xml:space="preserve">, za poticanje energetske učinkovitosti </w:t>
      </w:r>
      <w:r w:rsidR="00E0625A">
        <w:t xml:space="preserve">u RH </w:t>
      </w:r>
      <w:r w:rsidR="001C2F64">
        <w:t xml:space="preserve">na raspolaganju su </w:t>
      </w:r>
      <w:r w:rsidR="006B030F">
        <w:t>sljede</w:t>
      </w:r>
      <w:r w:rsidR="002B6FB0">
        <w:t>ća financijska sredstva:</w:t>
      </w:r>
    </w:p>
    <w:p w14:paraId="4BE51076" w14:textId="55247B7A" w:rsidR="00C21988" w:rsidRDefault="001C2F64" w:rsidP="00AD27DF">
      <w:pPr>
        <w:pStyle w:val="ListParagraph"/>
        <w:numPr>
          <w:ilvl w:val="0"/>
          <w:numId w:val="57"/>
        </w:numPr>
        <w:suppressAutoHyphens w:val="0"/>
        <w:spacing w:after="160" w:line="259" w:lineRule="auto"/>
        <w:ind w:left="714" w:hanging="357"/>
        <w:contextualSpacing/>
      </w:pPr>
      <w:r>
        <w:t xml:space="preserve">sredstva </w:t>
      </w:r>
      <w:r w:rsidR="002B6FB0">
        <w:t xml:space="preserve">koja </w:t>
      </w:r>
      <w:r>
        <w:t>Fond za zaštitu okoliša i energetsku učinkovitost</w:t>
      </w:r>
      <w:r w:rsidR="00E0625A">
        <w:t xml:space="preserve"> </w:t>
      </w:r>
      <w:r w:rsidR="002B6FB0">
        <w:t>prikuplja</w:t>
      </w:r>
      <w:r w:rsidR="00E0625A">
        <w:t xml:space="preserve"> iz </w:t>
      </w:r>
      <w:r w:rsidR="006B030F" w:rsidRPr="0011531B">
        <w:t xml:space="preserve">prodaje emisijskih jedinica stakleničkih plinova na </w:t>
      </w:r>
      <w:r w:rsidR="004E3AF7">
        <w:t>dražb</w:t>
      </w:r>
      <w:r w:rsidR="00645F6E">
        <w:t>ama</w:t>
      </w:r>
      <w:r w:rsidR="004E3AF7">
        <w:t xml:space="preserve"> </w:t>
      </w:r>
      <w:r w:rsidR="00051989">
        <w:t xml:space="preserve">i raspodjeljuje sukladno </w:t>
      </w:r>
      <w:r w:rsidR="002D1756">
        <w:t>P</w:t>
      </w:r>
      <w:r w:rsidR="002D1756" w:rsidRPr="002D1756">
        <w:t>lan</w:t>
      </w:r>
      <w:r w:rsidR="001D352E">
        <w:t xml:space="preserve">u </w:t>
      </w:r>
      <w:r w:rsidR="002D1756" w:rsidRPr="002D1756">
        <w:t xml:space="preserve">korištenja financijskih sredstava dobivenih od prodaje emisijskih jedinica putem dražbi u </w:t>
      </w:r>
      <w:r w:rsidR="001D352E">
        <w:t>RH</w:t>
      </w:r>
      <w:r w:rsidR="002D1756" w:rsidRPr="002D1756">
        <w:t xml:space="preserve"> do 2020. </w:t>
      </w:r>
      <w:r w:rsidR="001D352E">
        <w:t>g</w:t>
      </w:r>
      <w:r w:rsidR="002D1756" w:rsidRPr="002D1756">
        <w:t>odine</w:t>
      </w:r>
      <w:r w:rsidR="00762E0F">
        <w:t xml:space="preserve"> (NN br. 19/18) te</w:t>
      </w:r>
    </w:p>
    <w:p w14:paraId="2501D08D" w14:textId="77777777" w:rsidR="009E5687" w:rsidRDefault="002B6FB0" w:rsidP="00AD27DF">
      <w:pPr>
        <w:pStyle w:val="ListParagraph"/>
        <w:numPr>
          <w:ilvl w:val="0"/>
          <w:numId w:val="57"/>
        </w:numPr>
        <w:suppressAutoHyphens w:val="0"/>
        <w:spacing w:after="160" w:line="259" w:lineRule="auto"/>
        <w:ind w:left="714" w:hanging="357"/>
        <w:contextualSpacing/>
      </w:pPr>
      <w:r>
        <w:t xml:space="preserve">sredstva </w:t>
      </w:r>
      <w:r w:rsidR="00762E0F">
        <w:t>ESI fondova, konkretno Europskog fonda za regionalni razvoj (EFRR)</w:t>
      </w:r>
      <w:r w:rsidR="009E5687">
        <w:t xml:space="preserve"> sukladno Operativnom programu Konkurentnost i kohezija 2014.- 2020. </w:t>
      </w:r>
    </w:p>
    <w:p w14:paraId="4C71BB82" w14:textId="5C142ED7" w:rsidR="009E653A" w:rsidRPr="0031468F" w:rsidRDefault="009E5687" w:rsidP="009E5687">
      <w:pPr>
        <w:rPr>
          <w:b/>
        </w:rPr>
      </w:pPr>
      <w:r>
        <w:t xml:space="preserve">Navedena sredstva i financijske mjere za koje se </w:t>
      </w:r>
      <w:r w:rsidR="009E653A">
        <w:t xml:space="preserve">ista koriste </w:t>
      </w:r>
      <w:r w:rsidR="00702778">
        <w:t>prikazuju</w:t>
      </w:r>
      <w:r w:rsidR="00BC3E41">
        <w:t xml:space="preserve"> </w:t>
      </w:r>
      <w:r w:rsidR="00BC3E41">
        <w:fldChar w:fldCharType="begin"/>
      </w:r>
      <w:r w:rsidR="00BC3E41">
        <w:instrText xml:space="preserve"> REF _Ref531165769 \h </w:instrText>
      </w:r>
      <w:r w:rsidR="00BC3E41">
        <w:fldChar w:fldCharType="separate"/>
      </w:r>
      <w:r w:rsidR="00E5423A">
        <w:t xml:space="preserve">Tablica </w:t>
      </w:r>
      <w:r w:rsidR="00E5423A">
        <w:rPr>
          <w:noProof/>
        </w:rPr>
        <w:t>3</w:t>
      </w:r>
      <w:r w:rsidR="00E5423A">
        <w:noBreakHyphen/>
      </w:r>
      <w:r w:rsidR="00E5423A">
        <w:rPr>
          <w:noProof/>
        </w:rPr>
        <w:t>1</w:t>
      </w:r>
      <w:r w:rsidR="00BC3E41">
        <w:fldChar w:fldCharType="end"/>
      </w:r>
      <w:r w:rsidR="00BC3E41">
        <w:t xml:space="preserve"> i </w:t>
      </w:r>
      <w:r w:rsidR="00BC3E41">
        <w:fldChar w:fldCharType="begin"/>
      </w:r>
      <w:r w:rsidR="00BC3E41">
        <w:instrText xml:space="preserve"> REF _Ref531165773 \h </w:instrText>
      </w:r>
      <w:r w:rsidR="00BC3E41">
        <w:fldChar w:fldCharType="separate"/>
      </w:r>
      <w:r w:rsidR="00E5423A">
        <w:t xml:space="preserve">Tablica </w:t>
      </w:r>
      <w:r w:rsidR="00E5423A">
        <w:rPr>
          <w:noProof/>
        </w:rPr>
        <w:t>3</w:t>
      </w:r>
      <w:r w:rsidR="00E5423A">
        <w:noBreakHyphen/>
      </w:r>
      <w:r w:rsidR="00E5423A">
        <w:rPr>
          <w:noProof/>
        </w:rPr>
        <w:t>23</w:t>
      </w:r>
      <w:r w:rsidR="00BC3E41">
        <w:fldChar w:fldCharType="end"/>
      </w:r>
      <w:r w:rsidR="003125D3">
        <w:t xml:space="preserve">, pri čemu treba istaknuti da se sredstva iz EFRR-a i </w:t>
      </w:r>
      <w:r w:rsidR="00D551B8">
        <w:t>pripadajuće mjere provode do kraja 2023. godine.</w:t>
      </w:r>
      <w:r w:rsidR="00F0028D">
        <w:t xml:space="preserve"> Tablice daju i prijedlog</w:t>
      </w:r>
      <w:r w:rsidR="006D7984">
        <w:t xml:space="preserve"> korištenja ovih izvora u razdoblju od</w:t>
      </w:r>
      <w:r w:rsidR="00F476C7">
        <w:t xml:space="preserve"> 2021. do 2030. godine</w:t>
      </w:r>
      <w:r w:rsidR="00CB050D">
        <w:t xml:space="preserve"> za nastavak provedbe postojećih ili uvođenje novih mjera</w:t>
      </w:r>
      <w:r w:rsidR="00F476C7">
        <w:t>.</w:t>
      </w:r>
      <w:r w:rsidR="00CB050D">
        <w:t xml:space="preserve"> </w:t>
      </w:r>
      <w:r w:rsidR="00CB050D" w:rsidRPr="0031468F">
        <w:rPr>
          <w:b/>
        </w:rPr>
        <w:t>Pri tome treba jasno istaknuti da tablice ne daju procjenu p</w:t>
      </w:r>
      <w:r w:rsidR="006E5C4B" w:rsidRPr="0031468F">
        <w:rPr>
          <w:b/>
        </w:rPr>
        <w:t>otrebnih sredstava za provedbu tih mjera u razdoblju od 2021. do 2030. godine.</w:t>
      </w:r>
      <w:r w:rsidR="0086329E">
        <w:rPr>
          <w:b/>
        </w:rPr>
        <w:t xml:space="preserve"> </w:t>
      </w:r>
    </w:p>
    <w:p w14:paraId="2AC9F0A4" w14:textId="73E030D0" w:rsidR="004E3AF7" w:rsidRDefault="004E3AF7" w:rsidP="004E3AF7">
      <w:pPr>
        <w:pStyle w:val="Caption"/>
      </w:pPr>
      <w:bookmarkStart w:id="321" w:name="_Ref531165769"/>
      <w:bookmarkStart w:id="322" w:name="_Toc531935348"/>
      <w:bookmarkStart w:id="323" w:name="_Ref531075171"/>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3</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w:t>
      </w:r>
      <w:r w:rsidR="00B22048">
        <w:rPr>
          <w:noProof/>
        </w:rPr>
        <w:fldChar w:fldCharType="end"/>
      </w:r>
      <w:bookmarkEnd w:id="321"/>
      <w:r>
        <w:t xml:space="preserve">: </w:t>
      </w:r>
      <w:r w:rsidR="00901D12">
        <w:t>Procijenjena r</w:t>
      </w:r>
      <w:r>
        <w:t xml:space="preserve">aspoloživa financijska sredstva </w:t>
      </w:r>
      <w:r w:rsidR="00645F6E">
        <w:t xml:space="preserve">iz prodaje emisijskih jedinica stakleničkih plinova </w:t>
      </w:r>
      <w:r w:rsidR="00AD4AB0">
        <w:t>za ulaganja u energetsku učinkovitost</w:t>
      </w:r>
      <w:r w:rsidR="00901D12">
        <w:t xml:space="preserve"> do 2020. godine s</w:t>
      </w:r>
      <w:r w:rsidR="00D16284">
        <w:t xml:space="preserve"> prijedlogom mjera do 2030.</w:t>
      </w:r>
      <w:bookmarkEnd w:id="322"/>
      <w:r w:rsidR="0086329E">
        <w:t xml:space="preserve"> </w:t>
      </w:r>
    </w:p>
    <w:tbl>
      <w:tblPr>
        <w:tblStyle w:val="GridTable1Light"/>
        <w:tblW w:w="0" w:type="auto"/>
        <w:tblLook w:val="04A0" w:firstRow="1" w:lastRow="0" w:firstColumn="1" w:lastColumn="0" w:noHBand="0" w:noVBand="1"/>
      </w:tblPr>
      <w:tblGrid>
        <w:gridCol w:w="1150"/>
        <w:gridCol w:w="1632"/>
        <w:gridCol w:w="1608"/>
        <w:gridCol w:w="2622"/>
        <w:gridCol w:w="2049"/>
      </w:tblGrid>
      <w:tr w:rsidR="00987A1C" w:rsidRPr="0053276D" w14:paraId="617D90E0" w14:textId="77777777" w:rsidTr="00491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74453D8B" w14:textId="77777777" w:rsidR="00987A1C" w:rsidRPr="0053276D" w:rsidRDefault="00987A1C" w:rsidP="004912C3">
            <w:pPr>
              <w:spacing w:before="0" w:after="0" w:line="240" w:lineRule="auto"/>
              <w:jc w:val="left"/>
              <w:rPr>
                <w:sz w:val="20"/>
                <w:szCs w:val="20"/>
              </w:rPr>
            </w:pPr>
            <w:r w:rsidRPr="0053276D">
              <w:rPr>
                <w:sz w:val="20"/>
                <w:szCs w:val="20"/>
              </w:rPr>
              <w:t>Izvor sredstava</w:t>
            </w:r>
          </w:p>
        </w:tc>
        <w:tc>
          <w:tcPr>
            <w:tcW w:w="1632" w:type="dxa"/>
          </w:tcPr>
          <w:p w14:paraId="1F56F755" w14:textId="77777777" w:rsidR="00987A1C"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Investicijski prioritet</w:t>
            </w:r>
          </w:p>
        </w:tc>
        <w:tc>
          <w:tcPr>
            <w:tcW w:w="1608" w:type="dxa"/>
          </w:tcPr>
          <w:p w14:paraId="665B38D7" w14:textId="77777777" w:rsidR="00987A1C" w:rsidRPr="0053276D"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Raspoloživa alokacija</w:t>
            </w:r>
          </w:p>
        </w:tc>
        <w:tc>
          <w:tcPr>
            <w:tcW w:w="2622" w:type="dxa"/>
          </w:tcPr>
          <w:p w14:paraId="54A07C73" w14:textId="77777777" w:rsidR="00987A1C" w:rsidRPr="0053276D"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Postojeća financijska mjera</w:t>
            </w:r>
          </w:p>
        </w:tc>
        <w:tc>
          <w:tcPr>
            <w:tcW w:w="2049" w:type="dxa"/>
          </w:tcPr>
          <w:p w14:paraId="2BD33AA5" w14:textId="77777777" w:rsidR="00987A1C"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Mjera za razdoblje od 2021. do 2030.</w:t>
            </w:r>
          </w:p>
        </w:tc>
      </w:tr>
      <w:tr w:rsidR="0041445F" w:rsidRPr="0053276D" w14:paraId="25154DAF" w14:textId="77777777" w:rsidTr="00553A00">
        <w:trPr>
          <w:trHeight w:val="314"/>
        </w:trPr>
        <w:tc>
          <w:tcPr>
            <w:cnfStyle w:val="001000000000" w:firstRow="0" w:lastRow="0" w:firstColumn="1" w:lastColumn="0" w:oddVBand="0" w:evenVBand="0" w:oddHBand="0" w:evenHBand="0" w:firstRowFirstColumn="0" w:firstRowLastColumn="0" w:lastRowFirstColumn="0" w:lastRowLastColumn="0"/>
            <w:tcW w:w="1150" w:type="dxa"/>
            <w:vMerge w:val="restart"/>
            <w:vAlign w:val="center"/>
          </w:tcPr>
          <w:p w14:paraId="292BBF69" w14:textId="1AD9E3EA" w:rsidR="0041445F" w:rsidRPr="0053276D" w:rsidRDefault="0041445F" w:rsidP="004912C3">
            <w:pPr>
              <w:spacing w:before="0" w:after="0" w:line="240" w:lineRule="auto"/>
              <w:rPr>
                <w:sz w:val="20"/>
                <w:szCs w:val="20"/>
              </w:rPr>
            </w:pPr>
            <w:r>
              <w:rPr>
                <w:sz w:val="20"/>
                <w:szCs w:val="20"/>
              </w:rPr>
              <w:t>EU- ETS</w:t>
            </w:r>
          </w:p>
        </w:tc>
        <w:tc>
          <w:tcPr>
            <w:tcW w:w="1632" w:type="dxa"/>
            <w:vMerge w:val="restart"/>
            <w:vAlign w:val="center"/>
          </w:tcPr>
          <w:p w14:paraId="0E5AF76A" w14:textId="10F2B7B0"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165.000.000 kn</w:t>
            </w:r>
          </w:p>
        </w:tc>
        <w:tc>
          <w:tcPr>
            <w:tcW w:w="1608" w:type="dxa"/>
          </w:tcPr>
          <w:p w14:paraId="52D24FEF" w14:textId="31771FA0"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70.000.000 kn</w:t>
            </w:r>
          </w:p>
        </w:tc>
        <w:tc>
          <w:tcPr>
            <w:tcW w:w="2622" w:type="dxa"/>
          </w:tcPr>
          <w:p w14:paraId="69516707" w14:textId="30D9083C"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07F6C">
              <w:rPr>
                <w:sz w:val="20"/>
                <w:szCs w:val="20"/>
              </w:rPr>
              <w:t xml:space="preserve">Programa energetske obnove zgrada javnog sektora za razdoblje 2014. – 2015. </w:t>
            </w:r>
            <w:r>
              <w:rPr>
                <w:sz w:val="20"/>
                <w:szCs w:val="20"/>
              </w:rPr>
              <w:t>(P.1)</w:t>
            </w:r>
          </w:p>
        </w:tc>
        <w:tc>
          <w:tcPr>
            <w:tcW w:w="2049" w:type="dxa"/>
          </w:tcPr>
          <w:p w14:paraId="72EA6443" w14:textId="4BD4B1F1"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6D80D6E1"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D52096B" w14:textId="77777777" w:rsidR="0041445F" w:rsidRDefault="0041445F" w:rsidP="004912C3">
            <w:pPr>
              <w:spacing w:before="0" w:after="0" w:line="240" w:lineRule="auto"/>
              <w:rPr>
                <w:sz w:val="20"/>
                <w:szCs w:val="20"/>
              </w:rPr>
            </w:pPr>
          </w:p>
        </w:tc>
        <w:tc>
          <w:tcPr>
            <w:tcW w:w="1632" w:type="dxa"/>
            <w:vMerge/>
          </w:tcPr>
          <w:p w14:paraId="0F40155B" w14:textId="77777777" w:rsidR="0041445F"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880027A" w14:textId="24DAD1C3"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23.000.000 kn</w:t>
            </w:r>
          </w:p>
        </w:tc>
        <w:tc>
          <w:tcPr>
            <w:tcW w:w="2622" w:type="dxa"/>
          </w:tcPr>
          <w:p w14:paraId="51EBC18F" w14:textId="07A232E6"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678EC">
              <w:rPr>
                <w:sz w:val="20"/>
                <w:szCs w:val="20"/>
              </w:rPr>
              <w:t>Program energetske obnove zgrada javnog sektora 2016. – 2020.</w:t>
            </w:r>
            <w:r>
              <w:rPr>
                <w:sz w:val="20"/>
                <w:szCs w:val="20"/>
              </w:rPr>
              <w:t xml:space="preserve"> </w:t>
            </w:r>
            <w:r w:rsidRPr="005023D2">
              <w:rPr>
                <w:sz w:val="20"/>
                <w:szCs w:val="20"/>
              </w:rPr>
              <w:t>(P.2; MEN-5)</w:t>
            </w:r>
          </w:p>
        </w:tc>
        <w:tc>
          <w:tcPr>
            <w:tcW w:w="2049" w:type="dxa"/>
          </w:tcPr>
          <w:p w14:paraId="5C6D707A" w14:textId="64971E46"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72A2FBC8"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02C0586C" w14:textId="5546C42D" w:rsidR="0041445F" w:rsidRPr="0053276D" w:rsidRDefault="0041445F" w:rsidP="004912C3">
            <w:pPr>
              <w:spacing w:before="0" w:after="0" w:line="240" w:lineRule="auto"/>
              <w:rPr>
                <w:sz w:val="20"/>
                <w:szCs w:val="20"/>
              </w:rPr>
            </w:pPr>
          </w:p>
        </w:tc>
        <w:tc>
          <w:tcPr>
            <w:tcW w:w="1632" w:type="dxa"/>
            <w:vMerge/>
          </w:tcPr>
          <w:p w14:paraId="280CE341" w14:textId="00C30941"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1176FB0D" w14:textId="337B8FEE"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44.108.000 kn</w:t>
            </w:r>
          </w:p>
        </w:tc>
        <w:tc>
          <w:tcPr>
            <w:tcW w:w="2622" w:type="dxa"/>
          </w:tcPr>
          <w:p w14:paraId="1C89E250" w14:textId="588FE47B"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97797">
              <w:rPr>
                <w:sz w:val="20"/>
                <w:szCs w:val="20"/>
              </w:rPr>
              <w:t>rogram</w:t>
            </w:r>
            <w:r>
              <w:rPr>
                <w:sz w:val="20"/>
                <w:szCs w:val="20"/>
              </w:rPr>
              <w:t>i</w:t>
            </w:r>
            <w:r w:rsidRPr="00797797">
              <w:rPr>
                <w:sz w:val="20"/>
                <w:szCs w:val="20"/>
              </w:rPr>
              <w:t xml:space="preserve"> energetske obnove višestambenih zgrada i obiteljskih kuća</w:t>
            </w:r>
            <w:r>
              <w:rPr>
                <w:sz w:val="20"/>
                <w:szCs w:val="20"/>
              </w:rPr>
              <w:t xml:space="preserve"> (</w:t>
            </w:r>
            <w:r w:rsidRPr="00736D7C">
              <w:rPr>
                <w:sz w:val="20"/>
                <w:szCs w:val="20"/>
              </w:rPr>
              <w:t>B.3; MEN-2</w:t>
            </w:r>
            <w:r>
              <w:rPr>
                <w:sz w:val="20"/>
                <w:szCs w:val="20"/>
              </w:rPr>
              <w:t xml:space="preserve"> i </w:t>
            </w:r>
            <w:r w:rsidRPr="00B73AF5">
              <w:rPr>
                <w:sz w:val="20"/>
                <w:szCs w:val="20"/>
              </w:rPr>
              <w:t>B.5; MEN-4</w:t>
            </w:r>
            <w:r>
              <w:rPr>
                <w:sz w:val="20"/>
                <w:szCs w:val="20"/>
              </w:rPr>
              <w:t>)</w:t>
            </w:r>
          </w:p>
        </w:tc>
        <w:tc>
          <w:tcPr>
            <w:tcW w:w="2049" w:type="dxa"/>
          </w:tcPr>
          <w:p w14:paraId="70BBE091" w14:textId="4D42D67A"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energetske obnove obiteljskih kuća</w:t>
            </w:r>
            <w:r w:rsidRPr="00EF5587">
              <w:rPr>
                <w:sz w:val="20"/>
                <w:szCs w:val="20"/>
              </w:rPr>
              <w:t xml:space="preserve"> </w:t>
            </w:r>
            <w:r w:rsidRPr="00736D7C">
              <w:rPr>
                <w:sz w:val="20"/>
                <w:szCs w:val="20"/>
              </w:rPr>
              <w:t>(</w:t>
            </w:r>
            <w:r>
              <w:rPr>
                <w:sz w:val="20"/>
                <w:szCs w:val="20"/>
              </w:rPr>
              <w:t>ENU-4</w:t>
            </w:r>
            <w:r w:rsidRPr="00736D7C">
              <w:rPr>
                <w:sz w:val="20"/>
                <w:szCs w:val="20"/>
              </w:rPr>
              <w:t>)</w:t>
            </w:r>
          </w:p>
        </w:tc>
      </w:tr>
      <w:tr w:rsidR="0041445F" w:rsidRPr="0053276D" w14:paraId="180C89BC"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71A21114" w14:textId="77777777" w:rsidR="0041445F" w:rsidRDefault="0041445F" w:rsidP="004912C3">
            <w:pPr>
              <w:spacing w:before="0" w:after="0" w:line="240" w:lineRule="auto"/>
              <w:rPr>
                <w:sz w:val="20"/>
                <w:szCs w:val="20"/>
              </w:rPr>
            </w:pPr>
          </w:p>
        </w:tc>
        <w:tc>
          <w:tcPr>
            <w:tcW w:w="1632" w:type="dxa"/>
            <w:vMerge/>
          </w:tcPr>
          <w:p w14:paraId="71761BFB"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B1C65CA" w14:textId="61572A1B"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1.050.000 kn</w:t>
            </w:r>
          </w:p>
        </w:tc>
        <w:tc>
          <w:tcPr>
            <w:tcW w:w="2622" w:type="dxa"/>
          </w:tcPr>
          <w:p w14:paraId="6B79EF17" w14:textId="567A68A4" w:rsidR="0041445F" w:rsidRPr="0053276D" w:rsidRDefault="008954B7"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954B7">
              <w:rPr>
                <w:sz w:val="20"/>
                <w:szCs w:val="20"/>
              </w:rPr>
              <w:t>Integrirani informacijski sustav za praćenje EnU (H.6; MCC-2)</w:t>
            </w:r>
          </w:p>
        </w:tc>
        <w:tc>
          <w:tcPr>
            <w:tcW w:w="2049" w:type="dxa"/>
          </w:tcPr>
          <w:p w14:paraId="3FD63719" w14:textId="73EA9753" w:rsidR="0041445F" w:rsidRPr="00EF5587" w:rsidRDefault="00AD740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Informativne o obrazovne mjere</w:t>
            </w:r>
            <w:r w:rsidR="008954B7">
              <w:rPr>
                <w:sz w:val="20"/>
                <w:szCs w:val="20"/>
              </w:rPr>
              <w:t xml:space="preserve"> </w:t>
            </w:r>
            <w:r w:rsidR="008954B7" w:rsidRPr="00CA4490">
              <w:rPr>
                <w:sz w:val="20"/>
                <w:szCs w:val="20"/>
              </w:rPr>
              <w:t>(</w:t>
            </w:r>
            <w:r>
              <w:rPr>
                <w:sz w:val="20"/>
                <w:szCs w:val="20"/>
              </w:rPr>
              <w:t xml:space="preserve">ENU-10 do </w:t>
            </w:r>
            <w:r w:rsidR="008954B7" w:rsidRPr="00CA4490">
              <w:rPr>
                <w:sz w:val="20"/>
                <w:szCs w:val="20"/>
              </w:rPr>
              <w:t>ENU-</w:t>
            </w:r>
            <w:r w:rsidR="00CA4490" w:rsidRPr="00CA4490">
              <w:rPr>
                <w:sz w:val="20"/>
                <w:szCs w:val="20"/>
              </w:rPr>
              <w:t>13</w:t>
            </w:r>
            <w:r w:rsidR="008954B7" w:rsidRPr="00CA4490">
              <w:rPr>
                <w:sz w:val="20"/>
                <w:szCs w:val="20"/>
              </w:rPr>
              <w:t>)</w:t>
            </w:r>
          </w:p>
        </w:tc>
      </w:tr>
      <w:tr w:rsidR="0041445F" w:rsidRPr="0053276D" w14:paraId="43D32549"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40CA7FF" w14:textId="77777777" w:rsidR="0041445F" w:rsidRDefault="0041445F" w:rsidP="004912C3">
            <w:pPr>
              <w:spacing w:before="0" w:after="0" w:line="240" w:lineRule="auto"/>
              <w:rPr>
                <w:sz w:val="20"/>
                <w:szCs w:val="20"/>
              </w:rPr>
            </w:pPr>
          </w:p>
        </w:tc>
        <w:tc>
          <w:tcPr>
            <w:tcW w:w="1632" w:type="dxa"/>
            <w:vMerge/>
          </w:tcPr>
          <w:p w14:paraId="6495AC0A"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CF5E3A2" w14:textId="26B97AF7"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90.000 kn</w:t>
            </w:r>
          </w:p>
        </w:tc>
        <w:tc>
          <w:tcPr>
            <w:tcW w:w="2622" w:type="dxa"/>
          </w:tcPr>
          <w:p w14:paraId="602A9C2F" w14:textId="182AD812"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Mreža industrijske energetske efikasnosti (I.1; MEN-16)</w:t>
            </w:r>
          </w:p>
        </w:tc>
        <w:tc>
          <w:tcPr>
            <w:tcW w:w="2049" w:type="dxa"/>
          </w:tcPr>
          <w:p w14:paraId="5DB6AB36" w14:textId="00EA35B1"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3A205E9C"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164A463A" w14:textId="77777777" w:rsidR="0041445F" w:rsidRDefault="0041445F" w:rsidP="004912C3">
            <w:pPr>
              <w:spacing w:before="0" w:after="0" w:line="240" w:lineRule="auto"/>
              <w:rPr>
                <w:sz w:val="20"/>
                <w:szCs w:val="20"/>
              </w:rPr>
            </w:pPr>
          </w:p>
        </w:tc>
        <w:tc>
          <w:tcPr>
            <w:tcW w:w="1632" w:type="dxa"/>
            <w:vMerge/>
          </w:tcPr>
          <w:p w14:paraId="3A74D758"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F760E41" w14:textId="21D3AB69"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4.000.000 kn</w:t>
            </w:r>
          </w:p>
        </w:tc>
        <w:tc>
          <w:tcPr>
            <w:tcW w:w="2622" w:type="dxa"/>
          </w:tcPr>
          <w:p w14:paraId="5F0DB1CC" w14:textId="2018C05C" w:rsidR="0041445F" w:rsidRPr="0053276D" w:rsidRDefault="005C746A"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w:t>
            </w:r>
            <w:r>
              <w:rPr>
                <w:sz w:val="20"/>
                <w:szCs w:val="20"/>
              </w:rPr>
              <w:t xml:space="preserve">EnU </w:t>
            </w:r>
            <w:r w:rsidRPr="00EF5587">
              <w:rPr>
                <w:sz w:val="20"/>
                <w:szCs w:val="20"/>
              </w:rPr>
              <w:t xml:space="preserve">i korištenja OIE u proizvodnim industrijama </w:t>
            </w:r>
            <w:r w:rsidRPr="00B73AF5">
              <w:rPr>
                <w:sz w:val="20"/>
                <w:szCs w:val="20"/>
              </w:rPr>
              <w:t>(I.2; MEN-17)</w:t>
            </w:r>
            <w:r w:rsidR="004B20A1">
              <w:rPr>
                <w:sz w:val="20"/>
                <w:szCs w:val="20"/>
              </w:rPr>
              <w:t xml:space="preserve"> – uvođenje SGE i ene.pregledi</w:t>
            </w:r>
          </w:p>
        </w:tc>
        <w:tc>
          <w:tcPr>
            <w:tcW w:w="2049" w:type="dxa"/>
          </w:tcPr>
          <w:p w14:paraId="2B6AC550" w14:textId="0FB05C39" w:rsidR="0041445F" w:rsidRPr="00D841EB" w:rsidRDefault="004B20A1"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bl>
    <w:p w14:paraId="12C169E4" w14:textId="560BD4C9" w:rsidR="002B6FB0" w:rsidRDefault="009E653A" w:rsidP="009E653A">
      <w:pPr>
        <w:pStyle w:val="Caption"/>
      </w:pPr>
      <w:bookmarkStart w:id="324" w:name="_Ref531165773"/>
      <w:bookmarkStart w:id="325" w:name="_Toc531935349"/>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3</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2</w:t>
      </w:r>
      <w:r w:rsidR="00B22048">
        <w:rPr>
          <w:noProof/>
        </w:rPr>
        <w:fldChar w:fldCharType="end"/>
      </w:r>
      <w:r w:rsidR="007C6F4B" w:rsidRPr="00DB7DF8" w:rsidDel="00AD2BDC">
        <w:fldChar w:fldCharType="begin"/>
      </w:r>
      <w:r w:rsidR="007C6F4B" w:rsidDel="00AD2BDC">
        <w:rPr>
          <w:noProof/>
        </w:rPr>
        <w:instrText xml:space="preserve"> STYLEREF 1 \s </w:instrText>
      </w:r>
      <w:r w:rsidR="007C6F4B" w:rsidRPr="00DB7DF8" w:rsidDel="00AD2BDC">
        <w:rPr>
          <w:noProof/>
        </w:rPr>
        <w:fldChar w:fldCharType="separate"/>
      </w:r>
      <w:r w:rsidR="00E5423A">
        <w:rPr>
          <w:noProof/>
        </w:rPr>
        <w:t>3</w:t>
      </w:r>
      <w:r w:rsidR="007C6F4B" w:rsidRPr="00DB7DF8" w:rsidDel="00AD2BDC">
        <w:fldChar w:fldCharType="end"/>
      </w:r>
      <w:bookmarkEnd w:id="323"/>
      <w:bookmarkEnd w:id="324"/>
      <w:r w:rsidR="00FB6408">
        <w:t xml:space="preserve">: </w:t>
      </w:r>
      <w:r w:rsidR="003125D3">
        <w:t>R</w:t>
      </w:r>
      <w:r w:rsidR="00D551B8">
        <w:t xml:space="preserve">aspoloživa financijska sredstva </w:t>
      </w:r>
      <w:r w:rsidR="00A14157">
        <w:t xml:space="preserve">iz ESI </w:t>
      </w:r>
      <w:r w:rsidR="00674B83">
        <w:t>fondova</w:t>
      </w:r>
      <w:r w:rsidR="00A14157">
        <w:t xml:space="preserve"> </w:t>
      </w:r>
      <w:r w:rsidR="00D551B8">
        <w:t>i financijske mjere za energetsku učinkovitosti do 2020.(2023.) godine</w:t>
      </w:r>
      <w:r w:rsidR="006D7984">
        <w:t xml:space="preserve"> s prijedlogom </w:t>
      </w:r>
      <w:r w:rsidR="00A14157">
        <w:t xml:space="preserve">mjera </w:t>
      </w:r>
      <w:r w:rsidR="006D7984">
        <w:t>do 2030.</w:t>
      </w:r>
      <w:bookmarkEnd w:id="325"/>
    </w:p>
    <w:tbl>
      <w:tblPr>
        <w:tblStyle w:val="GridTable1Light"/>
        <w:tblW w:w="0" w:type="auto"/>
        <w:tblLook w:val="04A0" w:firstRow="1" w:lastRow="0" w:firstColumn="1" w:lastColumn="0" w:noHBand="0" w:noVBand="1"/>
      </w:tblPr>
      <w:tblGrid>
        <w:gridCol w:w="1150"/>
        <w:gridCol w:w="1632"/>
        <w:gridCol w:w="1608"/>
        <w:gridCol w:w="2622"/>
        <w:gridCol w:w="2049"/>
      </w:tblGrid>
      <w:tr w:rsidR="00CB0CCB" w:rsidRPr="0053276D" w14:paraId="1E29691B" w14:textId="447A508E" w:rsidTr="00FE1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4675DB36" w14:textId="18971996" w:rsidR="00CB0CCB" w:rsidRPr="0053276D" w:rsidRDefault="00CB0CCB" w:rsidP="00FE1772">
            <w:pPr>
              <w:spacing w:before="0" w:after="0" w:line="240" w:lineRule="auto"/>
              <w:jc w:val="left"/>
              <w:rPr>
                <w:sz w:val="20"/>
                <w:szCs w:val="20"/>
              </w:rPr>
            </w:pPr>
            <w:r w:rsidRPr="0053276D">
              <w:rPr>
                <w:sz w:val="20"/>
                <w:szCs w:val="20"/>
              </w:rPr>
              <w:t>Izvor sredstava</w:t>
            </w:r>
          </w:p>
        </w:tc>
        <w:tc>
          <w:tcPr>
            <w:tcW w:w="1632" w:type="dxa"/>
          </w:tcPr>
          <w:p w14:paraId="5A3DADDB" w14:textId="5941E0E9" w:rsidR="00CB0CCB"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Investicijski prioritet</w:t>
            </w:r>
          </w:p>
        </w:tc>
        <w:tc>
          <w:tcPr>
            <w:tcW w:w="1608" w:type="dxa"/>
          </w:tcPr>
          <w:p w14:paraId="32678FF8" w14:textId="05E5C185" w:rsidR="00CB0CCB" w:rsidRPr="0053276D"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Raspoloživa alokacija</w:t>
            </w:r>
          </w:p>
        </w:tc>
        <w:tc>
          <w:tcPr>
            <w:tcW w:w="2622" w:type="dxa"/>
          </w:tcPr>
          <w:p w14:paraId="4A0ADF68" w14:textId="42CCBB2B" w:rsidR="00CB0CCB" w:rsidRPr="0053276D"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Postojeća financijska mjera</w:t>
            </w:r>
          </w:p>
        </w:tc>
        <w:tc>
          <w:tcPr>
            <w:tcW w:w="2049" w:type="dxa"/>
          </w:tcPr>
          <w:p w14:paraId="237132B3" w14:textId="2EF0F3B7" w:rsidR="00CB0CCB" w:rsidRDefault="00B26187"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Mjera za razdoblje od 2021. do 20</w:t>
            </w:r>
            <w:r w:rsidR="003816D8">
              <w:rPr>
                <w:sz w:val="20"/>
                <w:szCs w:val="20"/>
              </w:rPr>
              <w:t>30.</w:t>
            </w:r>
          </w:p>
        </w:tc>
      </w:tr>
      <w:tr w:rsidR="00CB0CCB" w:rsidRPr="0053276D" w14:paraId="2EDE03A5" w14:textId="06E8AE2E" w:rsidTr="00FE1772">
        <w:trPr>
          <w:trHeight w:val="314"/>
        </w:trPr>
        <w:tc>
          <w:tcPr>
            <w:cnfStyle w:val="001000000000" w:firstRow="0" w:lastRow="0" w:firstColumn="1" w:lastColumn="0" w:oddVBand="0" w:evenVBand="0" w:oddHBand="0" w:evenHBand="0" w:firstRowFirstColumn="0" w:firstRowLastColumn="0" w:lastRowFirstColumn="0" w:lastRowLastColumn="0"/>
            <w:tcW w:w="1150" w:type="dxa"/>
            <w:vMerge w:val="restart"/>
          </w:tcPr>
          <w:p w14:paraId="35B1FFDC" w14:textId="1424157A" w:rsidR="00CB0CCB" w:rsidRPr="0053276D" w:rsidRDefault="00CB0CCB" w:rsidP="005E5BE9">
            <w:pPr>
              <w:spacing w:before="0" w:after="0" w:line="240" w:lineRule="auto"/>
              <w:rPr>
                <w:sz w:val="20"/>
                <w:szCs w:val="20"/>
              </w:rPr>
            </w:pPr>
            <w:r>
              <w:rPr>
                <w:sz w:val="20"/>
                <w:szCs w:val="20"/>
              </w:rPr>
              <w:t>EFRR</w:t>
            </w:r>
          </w:p>
        </w:tc>
        <w:tc>
          <w:tcPr>
            <w:tcW w:w="1632" w:type="dxa"/>
            <w:vMerge w:val="restart"/>
          </w:tcPr>
          <w:p w14:paraId="5FC87C13" w14:textId="3F326475" w:rsidR="00CB0CCB" w:rsidRPr="0053276D"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4b - </w:t>
            </w:r>
            <w:r w:rsidRPr="00E122B6">
              <w:rPr>
                <w:sz w:val="20"/>
                <w:szCs w:val="20"/>
              </w:rPr>
              <w:t xml:space="preserve">Promicanje </w:t>
            </w:r>
            <w:r>
              <w:rPr>
                <w:sz w:val="20"/>
                <w:szCs w:val="20"/>
              </w:rPr>
              <w:t>EnU</w:t>
            </w:r>
            <w:r w:rsidRPr="00E122B6">
              <w:rPr>
                <w:sz w:val="20"/>
                <w:szCs w:val="20"/>
              </w:rPr>
              <w:t xml:space="preserve"> i korištenja </w:t>
            </w:r>
            <w:r>
              <w:rPr>
                <w:sz w:val="20"/>
                <w:szCs w:val="20"/>
              </w:rPr>
              <w:t>OIE</w:t>
            </w:r>
            <w:r w:rsidRPr="00E122B6">
              <w:rPr>
                <w:sz w:val="20"/>
                <w:szCs w:val="20"/>
              </w:rPr>
              <w:t xml:space="preserve"> u poduzećima</w:t>
            </w:r>
          </w:p>
        </w:tc>
        <w:tc>
          <w:tcPr>
            <w:tcW w:w="1608" w:type="dxa"/>
          </w:tcPr>
          <w:p w14:paraId="08B1669A" w14:textId="5B546A5B"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07537">
              <w:rPr>
                <w:sz w:val="20"/>
                <w:szCs w:val="20"/>
              </w:rPr>
              <w:t>60.000.000 €</w:t>
            </w:r>
          </w:p>
        </w:tc>
        <w:tc>
          <w:tcPr>
            <w:tcW w:w="2622" w:type="dxa"/>
          </w:tcPr>
          <w:p w14:paraId="18B9E6F5" w14:textId="433535F7"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w:t>
            </w:r>
            <w:r>
              <w:rPr>
                <w:sz w:val="20"/>
                <w:szCs w:val="20"/>
              </w:rPr>
              <w:t xml:space="preserve">EnU </w:t>
            </w:r>
            <w:r w:rsidRPr="00EF5587">
              <w:rPr>
                <w:sz w:val="20"/>
                <w:szCs w:val="20"/>
              </w:rPr>
              <w:t xml:space="preserve">i korištenja OIE u proizvodnim industrijama </w:t>
            </w:r>
            <w:r w:rsidRPr="00B73AF5">
              <w:rPr>
                <w:sz w:val="20"/>
                <w:szCs w:val="20"/>
              </w:rPr>
              <w:t>(I.2; MEN-17)</w:t>
            </w:r>
          </w:p>
        </w:tc>
        <w:tc>
          <w:tcPr>
            <w:tcW w:w="2049" w:type="dxa"/>
          </w:tcPr>
          <w:p w14:paraId="276ED0F6" w14:textId="71CA2943" w:rsidR="00CB0CCB" w:rsidRPr="00EF5587" w:rsidRDefault="003816D8"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64AF496D" w14:textId="58045A0A"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4B80BBE8" w14:textId="77777777" w:rsidR="00CB0CCB" w:rsidRDefault="00CB0CCB" w:rsidP="005E5BE9">
            <w:pPr>
              <w:spacing w:before="0" w:after="0" w:line="240" w:lineRule="auto"/>
              <w:rPr>
                <w:sz w:val="20"/>
                <w:szCs w:val="20"/>
              </w:rPr>
            </w:pPr>
          </w:p>
        </w:tc>
        <w:tc>
          <w:tcPr>
            <w:tcW w:w="1632" w:type="dxa"/>
            <w:vMerge/>
          </w:tcPr>
          <w:p w14:paraId="24B582DB" w14:textId="77777777" w:rsidR="00CB0CCB"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6269E1A6" w14:textId="40A65BEA"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Pr="00007537">
              <w:rPr>
                <w:sz w:val="20"/>
                <w:szCs w:val="20"/>
              </w:rPr>
              <w:t>0.000.000 €</w:t>
            </w:r>
          </w:p>
        </w:tc>
        <w:tc>
          <w:tcPr>
            <w:tcW w:w="2622" w:type="dxa"/>
          </w:tcPr>
          <w:p w14:paraId="13029232" w14:textId="23A28B73"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energetske učinkovitosti i korištenja OIE u komercijalnom uslužnom sektoru (turizam i trgovina) </w:t>
            </w:r>
            <w:r w:rsidRPr="00736D7C">
              <w:rPr>
                <w:sz w:val="20"/>
                <w:szCs w:val="20"/>
              </w:rPr>
              <w:t>(B.4; MEN-3)</w:t>
            </w:r>
          </w:p>
        </w:tc>
        <w:tc>
          <w:tcPr>
            <w:tcW w:w="2049" w:type="dxa"/>
          </w:tcPr>
          <w:p w14:paraId="39FF148A" w14:textId="5ACD7013" w:rsidR="00CB0CCB" w:rsidRPr="00EF5587" w:rsidRDefault="0051574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6303022B" w14:textId="68EBE57F"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val="restart"/>
          </w:tcPr>
          <w:p w14:paraId="163EA517" w14:textId="29917BB6" w:rsidR="00CB0CCB" w:rsidRPr="0053276D" w:rsidRDefault="00CB0CCB" w:rsidP="005E5BE9">
            <w:pPr>
              <w:spacing w:before="0" w:after="0" w:line="240" w:lineRule="auto"/>
              <w:rPr>
                <w:sz w:val="20"/>
                <w:szCs w:val="20"/>
              </w:rPr>
            </w:pPr>
            <w:r>
              <w:rPr>
                <w:sz w:val="20"/>
                <w:szCs w:val="20"/>
              </w:rPr>
              <w:t>EFRR</w:t>
            </w:r>
          </w:p>
        </w:tc>
        <w:tc>
          <w:tcPr>
            <w:tcW w:w="1632" w:type="dxa"/>
            <w:vMerge w:val="restart"/>
          </w:tcPr>
          <w:p w14:paraId="5A86F728" w14:textId="633647BF" w:rsidR="00CB0CCB" w:rsidRPr="0053276D"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2B6">
              <w:rPr>
                <w:sz w:val="20"/>
                <w:szCs w:val="20"/>
              </w:rPr>
              <w:t xml:space="preserve">4c - Podupiranje </w:t>
            </w:r>
            <w:r>
              <w:rPr>
                <w:sz w:val="20"/>
                <w:szCs w:val="20"/>
              </w:rPr>
              <w:t>EnU</w:t>
            </w:r>
            <w:r w:rsidRPr="00E122B6">
              <w:rPr>
                <w:sz w:val="20"/>
                <w:szCs w:val="20"/>
              </w:rPr>
              <w:t xml:space="preserve">, pametnog upravljanja energijom i korištenje </w:t>
            </w:r>
            <w:r>
              <w:rPr>
                <w:sz w:val="20"/>
                <w:szCs w:val="20"/>
              </w:rPr>
              <w:t>OIE</w:t>
            </w:r>
            <w:r w:rsidRPr="00E122B6">
              <w:rPr>
                <w:sz w:val="20"/>
                <w:szCs w:val="20"/>
              </w:rPr>
              <w:t xml:space="preserve"> u javnoj infrastrukturi, uključujući javne zgrade te u stambenom sektoru</w:t>
            </w:r>
          </w:p>
        </w:tc>
        <w:tc>
          <w:tcPr>
            <w:tcW w:w="1608" w:type="dxa"/>
          </w:tcPr>
          <w:p w14:paraId="7C501627" w14:textId="087E0CA2"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916ED">
              <w:rPr>
                <w:sz w:val="20"/>
                <w:szCs w:val="20"/>
              </w:rPr>
              <w:t>211.810.805 €</w:t>
            </w:r>
          </w:p>
        </w:tc>
        <w:tc>
          <w:tcPr>
            <w:tcW w:w="2622" w:type="dxa"/>
          </w:tcPr>
          <w:p w14:paraId="276EDC37" w14:textId="7876B25F"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zgrada javnog sektora 2016.-2020. </w:t>
            </w:r>
            <w:r w:rsidRPr="005023D2">
              <w:rPr>
                <w:sz w:val="20"/>
                <w:szCs w:val="20"/>
              </w:rPr>
              <w:t>(P.2; MEN-5)</w:t>
            </w:r>
          </w:p>
        </w:tc>
        <w:tc>
          <w:tcPr>
            <w:tcW w:w="2049" w:type="dxa"/>
          </w:tcPr>
          <w:p w14:paraId="3CD02722" w14:textId="4076E411" w:rsidR="00CB0CCB" w:rsidRPr="00EF5587" w:rsidRDefault="0051574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zgrada javnog sektora 2016.-2020. </w:t>
            </w:r>
            <w:r>
              <w:rPr>
                <w:sz w:val="20"/>
                <w:szCs w:val="20"/>
              </w:rPr>
              <w:t>(ENU-5)</w:t>
            </w:r>
          </w:p>
        </w:tc>
      </w:tr>
      <w:tr w:rsidR="00CB0CCB" w:rsidRPr="0053276D" w14:paraId="23D4CB73" w14:textId="684F3106"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1BB7FACC" w14:textId="77777777" w:rsidR="00CB0CCB" w:rsidRDefault="00CB0CCB" w:rsidP="005E5BE9">
            <w:pPr>
              <w:spacing w:before="0" w:after="0" w:line="240" w:lineRule="auto"/>
              <w:rPr>
                <w:sz w:val="20"/>
                <w:szCs w:val="20"/>
              </w:rPr>
            </w:pPr>
          </w:p>
        </w:tc>
        <w:tc>
          <w:tcPr>
            <w:tcW w:w="1632" w:type="dxa"/>
            <w:vMerge/>
          </w:tcPr>
          <w:p w14:paraId="7C1D272B"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05748C45" w14:textId="2B73545D"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r w:rsidRPr="004B001E">
              <w:rPr>
                <w:sz w:val="20"/>
                <w:szCs w:val="20"/>
              </w:rPr>
              <w:t>.000.000 €</w:t>
            </w:r>
          </w:p>
        </w:tc>
        <w:tc>
          <w:tcPr>
            <w:tcW w:w="2622" w:type="dxa"/>
          </w:tcPr>
          <w:p w14:paraId="6335D90E" w14:textId="5A7E0A43"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Poticanje integralne obnove višestambenih zgrada </w:t>
            </w:r>
            <w:r w:rsidRPr="00736D7C">
              <w:rPr>
                <w:sz w:val="20"/>
                <w:szCs w:val="20"/>
              </w:rPr>
              <w:t>(B.3; MEN-2)</w:t>
            </w:r>
          </w:p>
        </w:tc>
        <w:tc>
          <w:tcPr>
            <w:tcW w:w="2049" w:type="dxa"/>
          </w:tcPr>
          <w:p w14:paraId="4118B10F" w14:textId="0B844427" w:rsidR="00CB0CCB" w:rsidRPr="00EF5587" w:rsidRDefault="00470B9D"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energetske obnove višestambenih zgrada</w:t>
            </w:r>
            <w:r w:rsidR="0051574A" w:rsidRPr="00EF5587">
              <w:rPr>
                <w:sz w:val="20"/>
                <w:szCs w:val="20"/>
              </w:rPr>
              <w:t xml:space="preserve"> </w:t>
            </w:r>
            <w:r w:rsidR="0051574A" w:rsidRPr="00736D7C">
              <w:rPr>
                <w:sz w:val="20"/>
                <w:szCs w:val="20"/>
              </w:rPr>
              <w:t>(</w:t>
            </w:r>
            <w:r w:rsidR="00573E0A">
              <w:rPr>
                <w:sz w:val="20"/>
                <w:szCs w:val="20"/>
              </w:rPr>
              <w:t>ENU-3</w:t>
            </w:r>
            <w:r w:rsidR="0051574A" w:rsidRPr="00736D7C">
              <w:rPr>
                <w:sz w:val="20"/>
                <w:szCs w:val="20"/>
              </w:rPr>
              <w:t>)</w:t>
            </w:r>
          </w:p>
        </w:tc>
      </w:tr>
      <w:tr w:rsidR="00CB0CCB" w:rsidRPr="0053276D" w14:paraId="27076005" w14:textId="73559660"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58DBAB1" w14:textId="77777777" w:rsidR="00CB0CCB" w:rsidRDefault="00CB0CCB" w:rsidP="005E5BE9">
            <w:pPr>
              <w:spacing w:before="0" w:after="0" w:line="240" w:lineRule="auto"/>
              <w:rPr>
                <w:sz w:val="20"/>
                <w:szCs w:val="20"/>
              </w:rPr>
            </w:pPr>
          </w:p>
        </w:tc>
        <w:tc>
          <w:tcPr>
            <w:tcW w:w="1632" w:type="dxa"/>
            <w:vMerge/>
          </w:tcPr>
          <w:p w14:paraId="193FEFD2"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44E004C2" w14:textId="2CE8D5CB"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30.000.000 €</w:t>
            </w:r>
          </w:p>
        </w:tc>
        <w:tc>
          <w:tcPr>
            <w:tcW w:w="2622" w:type="dxa"/>
          </w:tcPr>
          <w:p w14:paraId="61236C87" w14:textId="554DA2E4"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obiteljskih kuća 2014.-2020. </w:t>
            </w:r>
            <w:r w:rsidRPr="00B73AF5">
              <w:rPr>
                <w:sz w:val="20"/>
                <w:szCs w:val="20"/>
              </w:rPr>
              <w:t>(B.5; MEN-4)</w:t>
            </w:r>
          </w:p>
        </w:tc>
        <w:tc>
          <w:tcPr>
            <w:tcW w:w="2049" w:type="dxa"/>
          </w:tcPr>
          <w:p w14:paraId="3576DB02" w14:textId="5E9BF514" w:rsidR="00CB0CCB" w:rsidRPr="00EF5587" w:rsidRDefault="00573E0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5AD49955" w14:textId="063AB45A"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60FB65A6" w14:textId="77777777" w:rsidR="00CB0CCB" w:rsidRDefault="00CB0CCB" w:rsidP="005E5BE9">
            <w:pPr>
              <w:spacing w:before="0" w:after="0" w:line="240" w:lineRule="auto"/>
              <w:rPr>
                <w:sz w:val="20"/>
                <w:szCs w:val="20"/>
              </w:rPr>
            </w:pPr>
          </w:p>
        </w:tc>
        <w:tc>
          <w:tcPr>
            <w:tcW w:w="1632" w:type="dxa"/>
            <w:vMerge/>
          </w:tcPr>
          <w:p w14:paraId="2777763C"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CFFA8F9" w14:textId="250D0F1E"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32CD0">
              <w:rPr>
                <w:sz w:val="20"/>
                <w:szCs w:val="20"/>
              </w:rPr>
              <w:t>80.000.000 €</w:t>
            </w:r>
          </w:p>
        </w:tc>
        <w:tc>
          <w:tcPr>
            <w:tcW w:w="2622" w:type="dxa"/>
          </w:tcPr>
          <w:p w14:paraId="670235BE" w14:textId="08A1B0E2"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841EB">
              <w:rPr>
                <w:sz w:val="20"/>
                <w:szCs w:val="20"/>
              </w:rPr>
              <w:t>Povećanje učinkovitosti sustava toplinarstva</w:t>
            </w:r>
            <w:r>
              <w:rPr>
                <w:sz w:val="20"/>
                <w:szCs w:val="20"/>
              </w:rPr>
              <w:t xml:space="preserve"> (E.7; MEN-24)</w:t>
            </w:r>
          </w:p>
        </w:tc>
        <w:tc>
          <w:tcPr>
            <w:tcW w:w="2049" w:type="dxa"/>
          </w:tcPr>
          <w:p w14:paraId="1525978C" w14:textId="28AB7979" w:rsidR="00CB0CCB" w:rsidRPr="00D841EB" w:rsidRDefault="00C70AE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Povećanje učinkovitosti sustava toplinarstva (ENU-16)</w:t>
            </w:r>
          </w:p>
        </w:tc>
      </w:tr>
      <w:tr w:rsidR="00CB0CCB" w:rsidRPr="0053276D" w14:paraId="531E38C6" w14:textId="110224BB" w:rsidTr="00FE1772">
        <w:trPr>
          <w:trHeight w:val="75"/>
        </w:trPr>
        <w:tc>
          <w:tcPr>
            <w:cnfStyle w:val="001000000000" w:firstRow="0" w:lastRow="0" w:firstColumn="1" w:lastColumn="0" w:oddVBand="0" w:evenVBand="0" w:oddHBand="0" w:evenHBand="0" w:firstRowFirstColumn="0" w:firstRowLastColumn="0" w:lastRowFirstColumn="0" w:lastRowLastColumn="0"/>
            <w:tcW w:w="1150" w:type="dxa"/>
            <w:vMerge/>
          </w:tcPr>
          <w:p w14:paraId="290B2D85" w14:textId="77777777" w:rsidR="00CB0CCB" w:rsidRDefault="00CB0CCB" w:rsidP="002D6379">
            <w:pPr>
              <w:spacing w:before="0" w:after="0" w:line="240" w:lineRule="auto"/>
              <w:rPr>
                <w:sz w:val="20"/>
                <w:szCs w:val="20"/>
              </w:rPr>
            </w:pPr>
          </w:p>
        </w:tc>
        <w:tc>
          <w:tcPr>
            <w:tcW w:w="1632" w:type="dxa"/>
            <w:vMerge/>
          </w:tcPr>
          <w:p w14:paraId="2CDE006A"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BC2A5B8" w14:textId="504ADFCA" w:rsidR="00CB0CCB" w:rsidRPr="0053276D" w:rsidRDefault="00CB0CCB" w:rsidP="002D63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32CD0">
              <w:rPr>
                <w:sz w:val="20"/>
                <w:szCs w:val="20"/>
              </w:rPr>
              <w:t>0.000.000 €</w:t>
            </w:r>
          </w:p>
        </w:tc>
        <w:tc>
          <w:tcPr>
            <w:tcW w:w="2622" w:type="dxa"/>
          </w:tcPr>
          <w:p w14:paraId="555C5B0F" w14:textId="1BF673FA"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Program „Energetski učinkovita javna rasvjeta“</w:t>
            </w:r>
            <w:r>
              <w:rPr>
                <w:sz w:val="20"/>
                <w:szCs w:val="20"/>
              </w:rPr>
              <w:t xml:space="preserve"> </w:t>
            </w:r>
            <w:r w:rsidRPr="00D12928">
              <w:rPr>
                <w:sz w:val="20"/>
                <w:szCs w:val="20"/>
              </w:rPr>
              <w:t>(P.4; MEN-13)</w:t>
            </w:r>
          </w:p>
        </w:tc>
        <w:tc>
          <w:tcPr>
            <w:tcW w:w="2049" w:type="dxa"/>
          </w:tcPr>
          <w:p w14:paraId="1A47D7E7" w14:textId="65589948" w:rsidR="00CB0CCB" w:rsidRPr="00EF5587" w:rsidRDefault="00674B83"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w:t>
            </w:r>
            <w:r w:rsidR="00C8010A">
              <w:rPr>
                <w:sz w:val="20"/>
                <w:szCs w:val="20"/>
              </w:rPr>
              <w:t>energetske obnove javne rasvjete</w:t>
            </w:r>
            <w:r>
              <w:rPr>
                <w:sz w:val="20"/>
                <w:szCs w:val="20"/>
              </w:rPr>
              <w:t xml:space="preserve"> </w:t>
            </w:r>
            <w:r w:rsidR="00573E0A" w:rsidRPr="00736D7C">
              <w:rPr>
                <w:sz w:val="20"/>
                <w:szCs w:val="20"/>
              </w:rPr>
              <w:t>(</w:t>
            </w:r>
            <w:r w:rsidR="00573E0A">
              <w:rPr>
                <w:sz w:val="20"/>
                <w:szCs w:val="20"/>
              </w:rPr>
              <w:t>ENU-</w:t>
            </w:r>
            <w:r w:rsidR="00B60C55">
              <w:rPr>
                <w:sz w:val="20"/>
                <w:szCs w:val="20"/>
              </w:rPr>
              <w:t>7</w:t>
            </w:r>
            <w:r w:rsidR="00573E0A" w:rsidRPr="00736D7C">
              <w:rPr>
                <w:sz w:val="20"/>
                <w:szCs w:val="20"/>
              </w:rPr>
              <w:t>)</w:t>
            </w:r>
          </w:p>
        </w:tc>
      </w:tr>
      <w:tr w:rsidR="00CB0CCB" w:rsidRPr="0053276D" w14:paraId="2DC16907" w14:textId="79552309" w:rsidTr="00FE1772">
        <w:tc>
          <w:tcPr>
            <w:cnfStyle w:val="001000000000" w:firstRow="0" w:lastRow="0" w:firstColumn="1" w:lastColumn="0" w:oddVBand="0" w:evenVBand="0" w:oddHBand="0" w:evenHBand="0" w:firstRowFirstColumn="0" w:firstRowLastColumn="0" w:lastRowFirstColumn="0" w:lastRowLastColumn="0"/>
            <w:tcW w:w="1150" w:type="dxa"/>
          </w:tcPr>
          <w:p w14:paraId="057723CF" w14:textId="7EFF7FC2" w:rsidR="00CB0CCB" w:rsidRPr="0053276D" w:rsidRDefault="00CB0CCB" w:rsidP="002D6379">
            <w:pPr>
              <w:spacing w:before="0" w:after="0" w:line="240" w:lineRule="auto"/>
              <w:rPr>
                <w:sz w:val="20"/>
                <w:szCs w:val="20"/>
              </w:rPr>
            </w:pPr>
            <w:r>
              <w:rPr>
                <w:sz w:val="20"/>
                <w:szCs w:val="20"/>
              </w:rPr>
              <w:t>EFRR</w:t>
            </w:r>
          </w:p>
        </w:tc>
        <w:tc>
          <w:tcPr>
            <w:tcW w:w="1632" w:type="dxa"/>
          </w:tcPr>
          <w:p w14:paraId="7F17D53F" w14:textId="50273E75" w:rsidR="00CB0CCB" w:rsidRPr="0053276D" w:rsidRDefault="00CB0CCB" w:rsidP="002D637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4d - Razvoj i provedba pametnih sustava distribucije pri niskim i srednjim razinama napona </w:t>
            </w:r>
          </w:p>
        </w:tc>
        <w:tc>
          <w:tcPr>
            <w:tcW w:w="1608" w:type="dxa"/>
          </w:tcPr>
          <w:p w14:paraId="46A57D29" w14:textId="434C1F18" w:rsidR="00CB0CCB" w:rsidRPr="0053276D" w:rsidRDefault="00CB0CCB" w:rsidP="002D63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32CD0">
              <w:rPr>
                <w:sz w:val="20"/>
                <w:szCs w:val="20"/>
              </w:rPr>
              <w:t>80.000.000 €</w:t>
            </w:r>
          </w:p>
        </w:tc>
        <w:tc>
          <w:tcPr>
            <w:tcW w:w="2622" w:type="dxa"/>
          </w:tcPr>
          <w:p w14:paraId="55BF7A3D" w14:textId="38A7757F"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Pilot projekt u</w:t>
            </w:r>
            <w:r w:rsidRPr="00A53DC9">
              <w:rPr>
                <w:sz w:val="20"/>
                <w:szCs w:val="20"/>
              </w:rPr>
              <w:t>vođenj</w:t>
            </w:r>
            <w:r>
              <w:rPr>
                <w:sz w:val="20"/>
                <w:szCs w:val="20"/>
              </w:rPr>
              <w:t>a</w:t>
            </w:r>
            <w:r w:rsidRPr="00A53DC9">
              <w:rPr>
                <w:sz w:val="20"/>
                <w:szCs w:val="20"/>
              </w:rPr>
              <w:t xml:space="preserve"> pametnih mreža na pilot područjima</w:t>
            </w:r>
            <w:r>
              <w:rPr>
                <w:sz w:val="20"/>
                <w:szCs w:val="20"/>
              </w:rPr>
              <w:t xml:space="preserve"> (E.</w:t>
            </w:r>
            <w:r w:rsidR="0029380F">
              <w:rPr>
                <w:sz w:val="20"/>
                <w:szCs w:val="20"/>
              </w:rPr>
              <w:t>9</w:t>
            </w:r>
            <w:r>
              <w:rPr>
                <w:sz w:val="20"/>
                <w:szCs w:val="20"/>
              </w:rPr>
              <w:t>; MEN-25)</w:t>
            </w:r>
          </w:p>
        </w:tc>
        <w:tc>
          <w:tcPr>
            <w:tcW w:w="2049" w:type="dxa"/>
          </w:tcPr>
          <w:p w14:paraId="4F7071F9" w14:textId="7CC9F8F7" w:rsidR="00D57512" w:rsidRDefault="00D57512"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Razvoj prijenosne mreže (ENU-14)</w:t>
            </w:r>
          </w:p>
          <w:p w14:paraId="522E0814" w14:textId="77A044A9" w:rsidR="00CB0CCB" w:rsidRPr="00D57512" w:rsidRDefault="0051180C"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512">
              <w:rPr>
                <w:sz w:val="20"/>
                <w:szCs w:val="20"/>
              </w:rPr>
              <w:t>Program</w:t>
            </w:r>
            <w:r w:rsidR="0029380F" w:rsidRPr="00D57512">
              <w:rPr>
                <w:sz w:val="20"/>
                <w:szCs w:val="20"/>
              </w:rPr>
              <w:t xml:space="preserve"> uvođenja pametnih mreža (</w:t>
            </w:r>
            <w:r w:rsidR="00FE1772" w:rsidRPr="00D57512">
              <w:rPr>
                <w:sz w:val="20"/>
                <w:szCs w:val="20"/>
              </w:rPr>
              <w:t>ENU-</w:t>
            </w:r>
            <w:r w:rsidR="00EF008E" w:rsidRPr="00D57512">
              <w:rPr>
                <w:sz w:val="20"/>
                <w:szCs w:val="20"/>
              </w:rPr>
              <w:t>15</w:t>
            </w:r>
            <w:r w:rsidR="0029380F" w:rsidRPr="00D57512">
              <w:rPr>
                <w:sz w:val="20"/>
                <w:szCs w:val="20"/>
              </w:rPr>
              <w:t>)</w:t>
            </w:r>
          </w:p>
        </w:tc>
      </w:tr>
    </w:tbl>
    <w:p w14:paraId="1110A9A5" w14:textId="77777777" w:rsidR="00667A1B" w:rsidRDefault="00AD4AB0" w:rsidP="005E5BE9">
      <w:r>
        <w:t xml:space="preserve">U razdoblju od 2021. do 2030. godine </w:t>
      </w:r>
      <w:r w:rsidR="001627C5">
        <w:t>za financijske mjere</w:t>
      </w:r>
      <w:r w:rsidR="00D31763">
        <w:t xml:space="preserve"> predviđene ovim Planom koristit će se kako</w:t>
      </w:r>
      <w:r w:rsidR="00DC7C34">
        <w:t xml:space="preserve"> nacionalna sredstva iz</w:t>
      </w:r>
      <w:r w:rsidR="001627C5">
        <w:t xml:space="preserve"> </w:t>
      </w:r>
      <w:r w:rsidR="001627C5" w:rsidRPr="001627C5">
        <w:t xml:space="preserve">prodaje emisijskih jedinica </w:t>
      </w:r>
      <w:r w:rsidR="00D31763">
        <w:t xml:space="preserve">i drugih prihoda Fonda za zaštitu okoliša i energetsku učinkovitost, </w:t>
      </w:r>
      <w:r w:rsidR="00492DD3">
        <w:t xml:space="preserve">tako i sredstva ESI fondova za novo programsko razdoblje od </w:t>
      </w:r>
      <w:r w:rsidR="0018505C">
        <w:t xml:space="preserve">2021. do 2027. godine, s provedbom do 2030. godine. </w:t>
      </w:r>
      <w:r w:rsidR="00901D12" w:rsidRPr="0042794C">
        <w:rPr>
          <w:b/>
        </w:rPr>
        <w:t>Nužno je u sve programske i planske dokumente kojima se utvrđuje poslovanje Fonda za zaštitu okoliša i energetsku učinkovitost i korištenje ESI sredstava ugraditi ovdje predložene mjere i planirati dostatna financijska sredstva za njihovo provođenje</w:t>
      </w:r>
      <w:r w:rsidR="00901D12">
        <w:t>.</w:t>
      </w:r>
    </w:p>
    <w:p w14:paraId="2DB549DF" w14:textId="00E7A3F2" w:rsidR="00C21988" w:rsidRDefault="00C21988" w:rsidP="00C21988">
      <w:pPr>
        <w:pStyle w:val="Heading2"/>
      </w:pPr>
      <w:bookmarkStart w:id="326" w:name="_Toc531702977"/>
      <w:bookmarkStart w:id="327" w:name="_Toc531801563"/>
      <w:bookmarkStart w:id="328" w:name="_Toc531801690"/>
      <w:bookmarkStart w:id="329" w:name="_Toc531801818"/>
      <w:bookmarkStart w:id="330" w:name="_Toc531801946"/>
      <w:bookmarkStart w:id="331" w:name="_Toc531935158"/>
      <w:bookmarkStart w:id="332" w:name="_Toc531945108"/>
      <w:bookmarkEnd w:id="326"/>
      <w:bookmarkEnd w:id="327"/>
      <w:bookmarkEnd w:id="328"/>
      <w:bookmarkEnd w:id="329"/>
      <w:bookmarkEnd w:id="330"/>
      <w:r>
        <w:t>Dimenzija: energetska sigurnost</w:t>
      </w:r>
      <w:bookmarkEnd w:id="331"/>
      <w:bookmarkEnd w:id="332"/>
      <w:r w:rsidR="0086329E">
        <w:t xml:space="preserve"> </w:t>
      </w:r>
    </w:p>
    <w:p w14:paraId="1EDFC309" w14:textId="0EC253BD" w:rsidR="00C21988" w:rsidRDefault="00C21988" w:rsidP="005822F8">
      <w:pPr>
        <w:pStyle w:val="ListParagraph"/>
        <w:numPr>
          <w:ilvl w:val="0"/>
          <w:numId w:val="36"/>
        </w:numPr>
        <w:tabs>
          <w:tab w:val="clear" w:pos="431"/>
        </w:tabs>
        <w:suppressAutoHyphens w:val="0"/>
        <w:spacing w:after="160" w:line="259" w:lineRule="auto"/>
        <w:contextualSpacing/>
        <w:jc w:val="left"/>
      </w:pPr>
      <w:r>
        <w:t>Politike i mjere koje se odnose na elemente</w:t>
      </w:r>
      <w:r w:rsidR="00E35991">
        <w:t xml:space="preserve"> </w:t>
      </w:r>
      <w:r>
        <w:t xml:space="preserve">iz odjeljka 2.3. </w:t>
      </w:r>
    </w:p>
    <w:p w14:paraId="5C0AD8E5" w14:textId="4CE4F816" w:rsidR="00195C5A" w:rsidRDefault="00195C5A" w:rsidP="00195C5A">
      <w:pPr>
        <w:suppressAutoHyphens w:val="0"/>
        <w:spacing w:after="160" w:line="259" w:lineRule="auto"/>
        <w:contextualSpacing/>
        <w:jc w:val="left"/>
        <w:rPr>
          <w:u w:val="single"/>
        </w:rPr>
      </w:pPr>
    </w:p>
    <w:p w14:paraId="07F5BFFE" w14:textId="77777777" w:rsidR="00195C5A" w:rsidRPr="002464CC" w:rsidRDefault="00195C5A" w:rsidP="00DB7DF8">
      <w:pPr>
        <w:suppressAutoHyphens w:val="0"/>
        <w:spacing w:after="160" w:line="259" w:lineRule="auto"/>
        <w:contextualSpacing/>
        <w:jc w:val="left"/>
        <w:rPr>
          <w:u w:val="single"/>
        </w:rPr>
      </w:pPr>
      <w:r w:rsidRPr="002464CC">
        <w:rPr>
          <w:u w:val="single"/>
        </w:rPr>
        <w:t>ES-1:</w:t>
      </w:r>
      <w:r w:rsidRPr="002464CC">
        <w:rPr>
          <w:u w:val="single"/>
        </w:rPr>
        <w:tab/>
        <w:t>Integrirano planiranje sigurnosti opskrbe energijom i energentima</w:t>
      </w:r>
    </w:p>
    <w:p w14:paraId="79D3373B" w14:textId="77777777" w:rsidR="00195C5A" w:rsidRDefault="00195C5A" w:rsidP="00F223A2">
      <w:pPr>
        <w:ind w:left="147"/>
      </w:pPr>
      <w:r>
        <w:t>Krovna mjera za povećanje energetske sigurnosti je integrirano planiranje sigurnosti opskrbe, u kontekstu svih energenata i svih energetskih sustava. To će se planiranje provoditi u okviru revizije Integriranog energetskog i klimatskog plana, koju je potrebno izraditi do 23. lipnja 2023. godine te u okviru izrade i revizije narednih planova. U tu je svrhu potrebno nadopuniti postojeći regulatorni okvir.</w:t>
      </w:r>
    </w:p>
    <w:p w14:paraId="36FAC8F9" w14:textId="77777777" w:rsidR="00195C5A" w:rsidRDefault="00195C5A" w:rsidP="00195C5A">
      <w:pPr>
        <w:suppressAutoHyphens w:val="0"/>
        <w:spacing w:after="160" w:line="259" w:lineRule="auto"/>
        <w:ind w:left="360"/>
        <w:contextualSpacing/>
        <w:jc w:val="left"/>
      </w:pPr>
    </w:p>
    <w:p w14:paraId="4DFCB9B8" w14:textId="77777777" w:rsidR="00195C5A" w:rsidRPr="002464CC" w:rsidRDefault="00195C5A" w:rsidP="00DB7DF8">
      <w:pPr>
        <w:suppressAutoHyphens w:val="0"/>
        <w:spacing w:after="160" w:line="259" w:lineRule="auto"/>
        <w:contextualSpacing/>
        <w:jc w:val="left"/>
        <w:rPr>
          <w:u w:val="single"/>
        </w:rPr>
      </w:pPr>
      <w:r w:rsidRPr="002464CC">
        <w:rPr>
          <w:u w:val="single"/>
        </w:rPr>
        <w:t>ES-2:</w:t>
      </w:r>
      <w:r w:rsidRPr="002464CC">
        <w:rPr>
          <w:u w:val="single"/>
        </w:rPr>
        <w:tab/>
        <w:t>Izgradnja LNG terminala</w:t>
      </w:r>
    </w:p>
    <w:p w14:paraId="736DA9B3" w14:textId="082E2A7B" w:rsidR="00195C5A" w:rsidRDefault="00195C5A" w:rsidP="00F223A2">
      <w:pPr>
        <w:ind w:left="147"/>
      </w:pPr>
      <w:r w:rsidRPr="002464CC">
        <w:t>Veličina terminala za UPP ovisi o zainteresiranosti tržišta te je u prvoj fazi planirana izgradnja FSRU broda (brod za skladištenje i uplinjavanje plina) čija će maksimalna godišnja isporuka prirodnog plina iznositi do 2,6 milijarde kubičnih metara. Planirani maksimalni kapacitet isporuka prirodnog plina iz terminala, a posredno i njegova veličina i kapacitet uvjetovan je maksimalnim kapacitetom plinovodnog sustava koji bi uz izgradnju prvog dijela evakuacijskog plinovodnog sustava; plinovoda Omišalj-Zlobin, iznosio 7,2 mil.m3/dan. Izgradnjom nastavka evakuacijskog plinovoda Zlobin-Kozarac ukupni kapacitet</w:t>
      </w:r>
      <w:r w:rsidR="007D7B4A">
        <w:t xml:space="preserve"> </w:t>
      </w:r>
      <w:r w:rsidRPr="002464CC">
        <w:t>terminala za UPP porastao bi na 12 mil.m3/dan, a dodatnom izgradnjom plinovoda Kozarac-Slobodnica kapacitet bi porastao na 19 mil.m3/dan. Procjenjuje se da bi ukupna investicija izgradnje prve faze terminala za UPP iznosila nešto više od 1,7 milijardi kuna, a planirano puštanje u pogon je početkom 2021. godine.</w:t>
      </w:r>
    </w:p>
    <w:p w14:paraId="51141A68" w14:textId="77777777" w:rsidR="00195C5A" w:rsidRDefault="00195C5A" w:rsidP="00195C5A">
      <w:pPr>
        <w:suppressAutoHyphens w:val="0"/>
        <w:spacing w:after="160" w:line="259" w:lineRule="auto"/>
        <w:ind w:left="360"/>
        <w:contextualSpacing/>
        <w:jc w:val="left"/>
      </w:pPr>
    </w:p>
    <w:p w14:paraId="0B45F4A8" w14:textId="77777777" w:rsidR="00195C5A" w:rsidRPr="009C445C" w:rsidRDefault="00195C5A" w:rsidP="00DB7DF8">
      <w:pPr>
        <w:suppressAutoHyphens w:val="0"/>
        <w:spacing w:after="160" w:line="259" w:lineRule="auto"/>
        <w:contextualSpacing/>
        <w:jc w:val="left"/>
        <w:rPr>
          <w:u w:val="single"/>
        </w:rPr>
      </w:pPr>
      <w:r w:rsidRPr="009C445C">
        <w:rPr>
          <w:u w:val="single"/>
        </w:rPr>
        <w:t>ES-3:</w:t>
      </w:r>
      <w:r w:rsidRPr="009C445C">
        <w:rPr>
          <w:u w:val="single"/>
        </w:rPr>
        <w:tab/>
        <w:t>Uključivanje u Jadransko-jonski plinovod</w:t>
      </w:r>
    </w:p>
    <w:p w14:paraId="15C78196" w14:textId="77777777" w:rsidR="00195C5A" w:rsidRDefault="00195C5A" w:rsidP="00F223A2">
      <w:pPr>
        <w:ind w:left="147"/>
      </w:pPr>
      <w:r w:rsidRPr="009C445C">
        <w:t>Jadransko-jonski plinovod omogućio bi dobavu plina iz TAP-a za Hrvatsku i zemlje u regiji te mogući transport prema Mađarskoj, Sloveniji i Austriji. Plinovod bi se izgradio u ukupnoj dužini od 511 km od čega bi najduži dio od oko 250 km bio u Hrvatskoj. Predviđena je izgradnja plinovoda promjera DN800 s jednom kompresorskom stanicom u Splitu. Predviđena investicija u RH iznosi oko 2,2 milijarde kn.</w:t>
      </w:r>
    </w:p>
    <w:p w14:paraId="21C325F2" w14:textId="77777777" w:rsidR="00195C5A" w:rsidRDefault="00195C5A" w:rsidP="00195C5A">
      <w:pPr>
        <w:suppressAutoHyphens w:val="0"/>
        <w:spacing w:after="160" w:line="259" w:lineRule="auto"/>
        <w:ind w:left="360"/>
        <w:contextualSpacing/>
        <w:jc w:val="left"/>
      </w:pPr>
    </w:p>
    <w:p w14:paraId="56936F35" w14:textId="3CF876D9" w:rsidR="00195C5A" w:rsidRPr="001F53CA" w:rsidRDefault="00195C5A" w:rsidP="00DB7DF8">
      <w:pPr>
        <w:suppressAutoHyphens w:val="0"/>
        <w:spacing w:after="160" w:line="259" w:lineRule="auto"/>
        <w:contextualSpacing/>
        <w:jc w:val="left"/>
        <w:rPr>
          <w:u w:val="single"/>
        </w:rPr>
      </w:pPr>
      <w:bookmarkStart w:id="333" w:name="_Hlk531781016"/>
      <w:r w:rsidRPr="001F53CA">
        <w:rPr>
          <w:u w:val="single"/>
        </w:rPr>
        <w:t>ES-4:</w:t>
      </w:r>
      <w:r w:rsidRPr="001F53CA">
        <w:rPr>
          <w:u w:val="single"/>
        </w:rPr>
        <w:tab/>
        <w:t xml:space="preserve">Izgradnja reverzibilne hidroelektrane </w:t>
      </w:r>
    </w:p>
    <w:bookmarkEnd w:id="333"/>
    <w:p w14:paraId="711E2A3B" w14:textId="77777777" w:rsidR="00195C5A" w:rsidRDefault="00195C5A" w:rsidP="00F223A2">
      <w:pPr>
        <w:ind w:left="147"/>
      </w:pPr>
      <w:r>
        <w:t>P</w:t>
      </w:r>
      <w:r w:rsidRPr="001F53CA">
        <w:t xml:space="preserve">retpostavlja se izgradnja jedne dodatne reverzibilne elektrane snage 150 MW </w:t>
      </w:r>
      <w:r>
        <w:t>prije 2030. godine,</w:t>
      </w:r>
      <w:r w:rsidRPr="001F53CA">
        <w:t xml:space="preserve"> prvenstveno radi </w:t>
      </w:r>
      <w:r>
        <w:t>regulacijskih potreba u sustavu.</w:t>
      </w:r>
    </w:p>
    <w:p w14:paraId="2D46FB71" w14:textId="77777777" w:rsidR="00195C5A" w:rsidRDefault="00195C5A" w:rsidP="00195C5A">
      <w:pPr>
        <w:suppressAutoHyphens w:val="0"/>
        <w:spacing w:after="160" w:line="259" w:lineRule="auto"/>
        <w:ind w:left="360"/>
        <w:contextualSpacing/>
        <w:jc w:val="left"/>
      </w:pPr>
    </w:p>
    <w:p w14:paraId="1728E802" w14:textId="77777777" w:rsidR="00195C5A" w:rsidRPr="002464CC" w:rsidRDefault="00195C5A" w:rsidP="00DB7DF8">
      <w:pPr>
        <w:suppressAutoHyphens w:val="0"/>
        <w:spacing w:after="160" w:line="259" w:lineRule="auto"/>
        <w:contextualSpacing/>
        <w:jc w:val="left"/>
        <w:rPr>
          <w:u w:val="single"/>
        </w:rPr>
      </w:pPr>
      <w:r w:rsidRPr="002464CC">
        <w:rPr>
          <w:u w:val="single"/>
        </w:rPr>
        <w:t>ES-</w:t>
      </w:r>
      <w:r>
        <w:rPr>
          <w:u w:val="single"/>
        </w:rPr>
        <w:t>5</w:t>
      </w:r>
      <w:r w:rsidRPr="002464CC">
        <w:rPr>
          <w:u w:val="single"/>
        </w:rPr>
        <w:t>:</w:t>
      </w:r>
      <w:r w:rsidRPr="002464CC">
        <w:rPr>
          <w:u w:val="single"/>
        </w:rPr>
        <w:tab/>
        <w:t>Dogradnja skladišta plina Grubišno Polje</w:t>
      </w:r>
    </w:p>
    <w:p w14:paraId="175952EB" w14:textId="77777777" w:rsidR="00195C5A" w:rsidRDefault="00195C5A" w:rsidP="00F223A2">
      <w:pPr>
        <w:ind w:left="147"/>
      </w:pPr>
      <w:r w:rsidRPr="002464CC">
        <w:t>Planirani kapacitet povlačenja plina iz PSP Grubišno Polje jest do 2,4 mil. m</w:t>
      </w:r>
      <w:r w:rsidRPr="00F223A2">
        <w:rPr>
          <w:vertAlign w:val="superscript"/>
        </w:rPr>
        <w:t>3</w:t>
      </w:r>
      <w:r w:rsidRPr="002464CC">
        <w:t>/dan a kapacitet utiskivanja do 1,68 mil. m3/dan uz mogućnost višekratnog punjenja i pražnjenja tijekom ogrjevne sezone. Glavna zadaća ovog podzemnog skladišta plina bilo bi pokrivanje vršnih potreba za plinom u plinskom sustavu RH tijekom sezone grijanja, odnosno kao podrška tijekom povlačenja plina iz sezonskog skladišta plina PSP Okoli. Procjenjuje se da bi ukupna investicija za izgradnju iznosila oko 380 mil. kn a početak rada moguće je očekivati oko 2025. godine.</w:t>
      </w:r>
    </w:p>
    <w:p w14:paraId="58CED211" w14:textId="77777777" w:rsidR="00195C5A" w:rsidRDefault="00195C5A" w:rsidP="00195C5A">
      <w:pPr>
        <w:suppressAutoHyphens w:val="0"/>
        <w:spacing w:after="160" w:line="259" w:lineRule="auto"/>
        <w:ind w:left="360"/>
        <w:contextualSpacing/>
        <w:jc w:val="left"/>
      </w:pPr>
    </w:p>
    <w:p w14:paraId="115DC812" w14:textId="14746677" w:rsidR="00195C5A" w:rsidRPr="001F53CA" w:rsidRDefault="00195C5A" w:rsidP="00DB7DF8">
      <w:pPr>
        <w:suppressAutoHyphens w:val="0"/>
        <w:spacing w:after="160" w:line="259" w:lineRule="auto"/>
        <w:contextualSpacing/>
        <w:jc w:val="left"/>
        <w:rPr>
          <w:u w:val="single"/>
        </w:rPr>
      </w:pPr>
      <w:r w:rsidRPr="001F53CA">
        <w:rPr>
          <w:u w:val="single"/>
        </w:rPr>
        <w:t>ES-</w:t>
      </w:r>
      <w:r>
        <w:rPr>
          <w:u w:val="single"/>
        </w:rPr>
        <w:t>6</w:t>
      </w:r>
      <w:r w:rsidRPr="001F53CA">
        <w:rPr>
          <w:u w:val="single"/>
        </w:rPr>
        <w:t>:</w:t>
      </w:r>
      <w:r w:rsidRPr="001F53CA">
        <w:rPr>
          <w:u w:val="single"/>
        </w:rPr>
        <w:tab/>
        <w:t xml:space="preserve">Uvođenje naprednih brojila na razini potrošnje </w:t>
      </w:r>
    </w:p>
    <w:p w14:paraId="55D1119C" w14:textId="475078FD" w:rsidR="00195C5A" w:rsidRDefault="00195C5A" w:rsidP="00F223A2">
      <w:pPr>
        <w:ind w:left="147"/>
      </w:pPr>
      <w:r>
        <w:t>Kako bi se omogućio daljnji razvoj energetskih tržišta i aktivna uloga kupaca energije na energetskim tržištima, planira se uvođenje naprednih brojila na razini potrošnje</w:t>
      </w:r>
      <w:r w:rsidR="00572688">
        <w:t>.</w:t>
      </w:r>
    </w:p>
    <w:p w14:paraId="509D7AEB" w14:textId="77777777" w:rsidR="00195C5A" w:rsidRDefault="00195C5A" w:rsidP="00195C5A">
      <w:pPr>
        <w:suppressAutoHyphens w:val="0"/>
        <w:spacing w:after="160" w:line="259" w:lineRule="auto"/>
        <w:ind w:left="360"/>
        <w:contextualSpacing/>
        <w:jc w:val="left"/>
      </w:pPr>
    </w:p>
    <w:p w14:paraId="1BB067B8" w14:textId="753E4F15" w:rsidR="00572688" w:rsidRPr="00641C0F" w:rsidRDefault="00195C5A" w:rsidP="00DB7DF8">
      <w:pPr>
        <w:suppressAutoHyphens w:val="0"/>
        <w:spacing w:after="160" w:line="259" w:lineRule="auto"/>
        <w:contextualSpacing/>
        <w:jc w:val="left"/>
        <w:rPr>
          <w:u w:val="single"/>
        </w:rPr>
      </w:pPr>
      <w:r w:rsidRPr="001F53CA">
        <w:rPr>
          <w:u w:val="single"/>
        </w:rPr>
        <w:t>ES-7:</w:t>
      </w:r>
      <w:r w:rsidRPr="001F53CA">
        <w:rPr>
          <w:u w:val="single"/>
        </w:rPr>
        <w:tab/>
        <w:t xml:space="preserve">Pokretanje pilot projekata </w:t>
      </w:r>
      <w:r w:rsidR="00572688">
        <w:rPr>
          <w:u w:val="single"/>
        </w:rPr>
        <w:t>pružanja pomoćnih usluga</w:t>
      </w:r>
    </w:p>
    <w:p w14:paraId="0F750B02" w14:textId="726CDC46" w:rsidR="00572688" w:rsidRDefault="00572688" w:rsidP="00F223A2">
      <w:pPr>
        <w:ind w:left="147"/>
      </w:pPr>
      <w:r w:rsidRPr="00DB7DF8">
        <w:t>Pilot projektima detaljno će se analizirati usluge koje korisnici mogu pružati operatoru distribucijskog odnosno prijenosnog elektroenergetskog sustava.</w:t>
      </w:r>
      <w:r>
        <w:t xml:space="preserve"> Analizirat će s moguće vrste, opseg, način i razdoblje pružanja pomoćnih usluga. Identificirat će se prepreke korištenju pomoćnih usluga i predložiti načini njihova uklanjanja.</w:t>
      </w:r>
    </w:p>
    <w:p w14:paraId="31D0AB6A" w14:textId="4FCF2812" w:rsidR="00195C5A" w:rsidRPr="001F53CA" w:rsidRDefault="00195C5A" w:rsidP="00DB7DF8">
      <w:pPr>
        <w:suppressAutoHyphens w:val="0"/>
        <w:spacing w:after="160" w:line="259" w:lineRule="auto"/>
        <w:ind w:left="142"/>
        <w:contextualSpacing/>
        <w:jc w:val="left"/>
      </w:pPr>
    </w:p>
    <w:p w14:paraId="2D4CBDAD" w14:textId="77777777" w:rsidR="00195C5A" w:rsidRDefault="00195C5A" w:rsidP="00195C5A">
      <w:pPr>
        <w:suppressAutoHyphens w:val="0"/>
        <w:spacing w:after="160" w:line="259" w:lineRule="auto"/>
        <w:ind w:left="360"/>
        <w:contextualSpacing/>
        <w:jc w:val="left"/>
      </w:pPr>
    </w:p>
    <w:p w14:paraId="74156A37" w14:textId="51891B35" w:rsidR="00195C5A" w:rsidRDefault="00195C5A" w:rsidP="00DB7DF8">
      <w:pPr>
        <w:suppressAutoHyphens w:val="0"/>
        <w:spacing w:after="160" w:line="259" w:lineRule="auto"/>
        <w:contextualSpacing/>
        <w:jc w:val="left"/>
        <w:rPr>
          <w:u w:val="single"/>
        </w:rPr>
      </w:pPr>
      <w:r w:rsidRPr="002464CC">
        <w:rPr>
          <w:u w:val="single"/>
        </w:rPr>
        <w:t>ES-</w:t>
      </w:r>
      <w:r>
        <w:rPr>
          <w:u w:val="single"/>
        </w:rPr>
        <w:t>8</w:t>
      </w:r>
      <w:r w:rsidRPr="002464CC">
        <w:rPr>
          <w:u w:val="single"/>
        </w:rPr>
        <w:t>:</w:t>
      </w:r>
      <w:r w:rsidRPr="002464CC">
        <w:rPr>
          <w:u w:val="single"/>
        </w:rPr>
        <w:tab/>
        <w:t xml:space="preserve">Istraživanje potencijalnih ležišta </w:t>
      </w:r>
      <w:r w:rsidR="00572688">
        <w:rPr>
          <w:u w:val="single"/>
        </w:rPr>
        <w:t>ugljikovodika</w:t>
      </w:r>
      <w:r w:rsidRPr="002464CC">
        <w:rPr>
          <w:u w:val="single"/>
        </w:rPr>
        <w:t xml:space="preserve"> u Slavoniji, Dinaridima i južnom Jadranu</w:t>
      </w:r>
    </w:p>
    <w:p w14:paraId="7498AE0C" w14:textId="77777777" w:rsidR="00195C5A" w:rsidRPr="009C445C" w:rsidRDefault="00195C5A" w:rsidP="00F223A2">
      <w:pPr>
        <w:ind w:left="147"/>
      </w:pPr>
      <w:r w:rsidRPr="009C445C">
        <w:t>Za potrebe izrade podloga za izradu energetske strategije napravljena je projekcija proizvodnje nafte i plina do 2050. godine uz uvjet daljnjih ulaganja u obnavljanje rezervi. U skladu s time, pretpostavljeno je da će doći do komercijalnih otkrića koja će ući u fazu eksploatacije nakon 2022. godine, a puni proizvodni potencijal naftnih polja će doseći u periodu između 2030. i 2035. godine. Nakon 2035. godine pretpostavljen je kontinuirani pad proizvodnje nafte koja bi u 2050. iznosila oko 220 000 m3.</w:t>
      </w:r>
      <w:r>
        <w:t xml:space="preserve"> </w:t>
      </w:r>
      <w:r w:rsidRPr="009C445C">
        <w:t>Analogno proizvodnji nafte, očekuje se smanjenje proizvodnje prirodnog plina do 2020. godine, nakon čega je pretpostavljeno povećanje proizvodnje kao rezultat eksploatacije novih plinskih polja. Rast proizvodnje plina očekuje se do 2035. godine nakon čega bi uslijedilo smanjenje proizvodnje.</w:t>
      </w:r>
    </w:p>
    <w:p w14:paraId="2059FC1F" w14:textId="77777777" w:rsidR="00195C5A" w:rsidRDefault="00195C5A" w:rsidP="00195C5A">
      <w:pPr>
        <w:suppressAutoHyphens w:val="0"/>
        <w:spacing w:after="160" w:line="259" w:lineRule="auto"/>
        <w:ind w:left="360"/>
        <w:contextualSpacing/>
        <w:jc w:val="left"/>
      </w:pPr>
    </w:p>
    <w:p w14:paraId="3729EB2F" w14:textId="77777777" w:rsidR="00195C5A" w:rsidRPr="002464CC" w:rsidRDefault="00195C5A" w:rsidP="00DB7DF8">
      <w:pPr>
        <w:rPr>
          <w:u w:val="single"/>
        </w:rPr>
      </w:pPr>
      <w:bookmarkStart w:id="334" w:name="_Hlk531781069"/>
      <w:r w:rsidRPr="002464CC">
        <w:rPr>
          <w:u w:val="single"/>
        </w:rPr>
        <w:t>ES-</w:t>
      </w:r>
      <w:r>
        <w:rPr>
          <w:u w:val="single"/>
        </w:rPr>
        <w:t>9</w:t>
      </w:r>
      <w:r w:rsidRPr="002464CC">
        <w:rPr>
          <w:u w:val="single"/>
        </w:rPr>
        <w:t>:</w:t>
      </w:r>
      <w:r w:rsidRPr="002464CC">
        <w:rPr>
          <w:u w:val="single"/>
        </w:rPr>
        <w:tab/>
        <w:t>Razvoj i vođenje elektroenergetskog sustava</w:t>
      </w:r>
    </w:p>
    <w:bookmarkEnd w:id="334"/>
    <w:p w14:paraId="5E302D35" w14:textId="77777777" w:rsidR="00195C5A" w:rsidRDefault="00195C5A" w:rsidP="00DB7DF8">
      <w:pPr>
        <w:ind w:left="142"/>
      </w:pPr>
      <w:r>
        <w:t>O</w:t>
      </w:r>
      <w:r w:rsidRPr="00462AD9">
        <w:t>čekuje</w:t>
      </w:r>
      <w:r>
        <w:t xml:space="preserve"> se</w:t>
      </w:r>
      <w:r w:rsidRPr="00462AD9">
        <w:t xml:space="preserve"> daljnji razvoj tehnika i procedura vođenja elektroenergetskog sustava, uz primjenu niza modernih alata koji bi trebali omogućiti visoku razinu automatizacije sustava vođenja, te unaprjeđenje koordinacije s ostalim operatorima prijenosnih sustava u regiji i šire</w:t>
      </w:r>
      <w:r w:rsidRPr="00833EA6">
        <w:t xml:space="preserve"> </w:t>
      </w:r>
      <w:r w:rsidRPr="00462AD9">
        <w:t xml:space="preserve">uz postojanje </w:t>
      </w:r>
      <w:r>
        <w:t>europskih</w:t>
      </w:r>
      <w:r w:rsidRPr="00462AD9">
        <w:t xml:space="preserve"> koordinacijskih centara</w:t>
      </w:r>
      <w:r>
        <w:t>, te komunikacije s</w:t>
      </w:r>
      <w:r w:rsidRPr="00462AD9">
        <w:t xml:space="preserve"> drugim sudionicima na tržištu električne energije. Pri tom će od posebne važnosti biti održavanje visoke sigurnosti cjelokupnog sustava vođenja kako bi se onemogućili kibernetički napadi koji mogu ugroziti pogon elektroenergetskog sustava i napajanje kupaca električnom energijom.</w:t>
      </w:r>
    </w:p>
    <w:p w14:paraId="070E3E5C" w14:textId="77777777" w:rsidR="00195C5A" w:rsidRPr="00DB7DF8" w:rsidRDefault="00195C5A" w:rsidP="00DB7DF8">
      <w:pPr>
        <w:suppressAutoHyphens w:val="0"/>
        <w:spacing w:after="160" w:line="259" w:lineRule="auto"/>
        <w:contextualSpacing/>
        <w:jc w:val="left"/>
        <w:rPr>
          <w:u w:val="single"/>
        </w:rPr>
      </w:pPr>
    </w:p>
    <w:p w14:paraId="32A960F1" w14:textId="77777777" w:rsidR="00706DCB" w:rsidRDefault="00706DCB" w:rsidP="004D58C9">
      <w:pPr>
        <w:suppressAutoHyphens w:val="0"/>
        <w:spacing w:after="160" w:line="259" w:lineRule="auto"/>
        <w:contextualSpacing/>
        <w:jc w:val="left"/>
      </w:pPr>
    </w:p>
    <w:p w14:paraId="0949EDA4" w14:textId="5139DD7F" w:rsidR="00C21988" w:rsidRDefault="00C21988" w:rsidP="005822F8">
      <w:pPr>
        <w:pStyle w:val="ListParagraph"/>
        <w:numPr>
          <w:ilvl w:val="0"/>
          <w:numId w:val="36"/>
        </w:numPr>
        <w:tabs>
          <w:tab w:val="clear" w:pos="431"/>
        </w:tabs>
        <w:suppressAutoHyphens w:val="0"/>
        <w:spacing w:after="160" w:line="259" w:lineRule="auto"/>
        <w:contextualSpacing/>
        <w:jc w:val="left"/>
      </w:pPr>
      <w:r>
        <w:t>Regionalna suradnja u ovom području</w:t>
      </w:r>
    </w:p>
    <w:p w14:paraId="33F32ECC" w14:textId="126A5D17" w:rsidR="00195C5A" w:rsidRDefault="00195C5A" w:rsidP="00DB7DF8">
      <w:pPr>
        <w:suppressAutoHyphens w:val="0"/>
        <w:spacing w:after="160" w:line="259" w:lineRule="auto"/>
        <w:contextualSpacing/>
        <w:jc w:val="left"/>
      </w:pPr>
      <w:r>
        <w:t>Nije primjenjivo.</w:t>
      </w:r>
    </w:p>
    <w:p w14:paraId="742E56FC" w14:textId="1581FA4C" w:rsidR="00C21988" w:rsidRDefault="00C21988" w:rsidP="005822F8">
      <w:pPr>
        <w:pStyle w:val="ListParagraph"/>
        <w:numPr>
          <w:ilvl w:val="0"/>
          <w:numId w:val="36"/>
        </w:numPr>
        <w:tabs>
          <w:tab w:val="clear" w:pos="431"/>
        </w:tabs>
        <w:suppressAutoHyphens w:val="0"/>
        <w:spacing w:after="160" w:line="259" w:lineRule="auto"/>
        <w:contextualSpacing/>
        <w:jc w:val="left"/>
      </w:pPr>
      <w:r>
        <w:t xml:space="preserve">Financijske mjere u ovom području na nacionalnoj razini, uključujući potporu EU-a i upotrebu sredstava EU-a, ako je primjenjivo. </w:t>
      </w:r>
    </w:p>
    <w:p w14:paraId="366BFF44" w14:textId="1165581D" w:rsidR="00195C5A" w:rsidRDefault="00195C5A" w:rsidP="00DB7DF8">
      <w:pPr>
        <w:suppressAutoHyphens w:val="0"/>
        <w:spacing w:after="160" w:line="259" w:lineRule="auto"/>
        <w:contextualSpacing/>
        <w:jc w:val="left"/>
      </w:pPr>
      <w:r>
        <w:t>U izradi.</w:t>
      </w:r>
    </w:p>
    <w:p w14:paraId="30CBFA68" w14:textId="77777777" w:rsidR="00C21988" w:rsidRDefault="00C21988" w:rsidP="00C21988">
      <w:pPr>
        <w:pStyle w:val="Heading2"/>
      </w:pPr>
      <w:bookmarkStart w:id="335" w:name="_Toc531935159"/>
      <w:bookmarkStart w:id="336" w:name="_Toc531945109"/>
      <w:r>
        <w:t>Dimenzija: unutarnje energetsko tržište</w:t>
      </w:r>
      <w:bookmarkEnd w:id="335"/>
      <w:bookmarkEnd w:id="336"/>
      <w:r>
        <w:t xml:space="preserve"> </w:t>
      </w:r>
    </w:p>
    <w:p w14:paraId="1C52412C" w14:textId="77777777" w:rsidR="00C21988" w:rsidRPr="00302043" w:rsidRDefault="00C21988" w:rsidP="00302043">
      <w:pPr>
        <w:pStyle w:val="Heading3"/>
      </w:pPr>
      <w:bookmarkStart w:id="337" w:name="_Toc531935160"/>
      <w:bookmarkStart w:id="338" w:name="_Toc531945110"/>
      <w:r w:rsidRPr="00302043">
        <w:t>Elektroenergetska infrastruktura</w:t>
      </w:r>
      <w:bookmarkEnd w:id="337"/>
      <w:bookmarkEnd w:id="338"/>
    </w:p>
    <w:p w14:paraId="1A9B0336" w14:textId="05F94F3A" w:rsidR="00C21988" w:rsidRDefault="00C21988" w:rsidP="005822F8">
      <w:pPr>
        <w:pStyle w:val="ListParagraph"/>
        <w:numPr>
          <w:ilvl w:val="0"/>
          <w:numId w:val="37"/>
        </w:numPr>
        <w:tabs>
          <w:tab w:val="clear" w:pos="431"/>
        </w:tabs>
        <w:suppressAutoHyphens w:val="0"/>
        <w:spacing w:after="160" w:line="259" w:lineRule="auto"/>
        <w:contextualSpacing/>
        <w:jc w:val="left"/>
      </w:pPr>
      <w:r>
        <w:t>Politike i mjere za ostvarivanje ciljane razine međusobne povezanosti</w:t>
      </w:r>
      <w:r w:rsidR="00E35991">
        <w:t xml:space="preserve"> </w:t>
      </w:r>
      <w:r>
        <w:t>iz članka 4. točke (d)</w:t>
      </w:r>
    </w:p>
    <w:p w14:paraId="39C99ECF" w14:textId="72816A6C" w:rsidR="003228DC" w:rsidRDefault="003228DC" w:rsidP="00F223A2">
      <w:pPr>
        <w:suppressAutoHyphens w:val="0"/>
        <w:spacing w:after="160" w:line="259" w:lineRule="auto"/>
        <w:contextualSpacing/>
      </w:pPr>
      <w:r>
        <w:t xml:space="preserve">Kako je navedeno u </w:t>
      </w:r>
      <w:r w:rsidR="00C704F7">
        <w:t>poglavlju 2.3, u</w:t>
      </w:r>
      <w:r>
        <w:t xml:space="preserve"> pogledu daljnjih povećanja prekograničnih kapaciteta do 2030. godine ne postavljaju se posebni zahtjevi.</w:t>
      </w:r>
    </w:p>
    <w:p w14:paraId="123F879E" w14:textId="77777777" w:rsidR="00195C5A" w:rsidRDefault="00195C5A" w:rsidP="00DB7DF8">
      <w:pPr>
        <w:suppressAutoHyphens w:val="0"/>
        <w:spacing w:after="160" w:line="259" w:lineRule="auto"/>
        <w:contextualSpacing/>
        <w:jc w:val="left"/>
      </w:pPr>
    </w:p>
    <w:p w14:paraId="47D6FA5F" w14:textId="77777777" w:rsidR="00C21988" w:rsidRDefault="00C21988" w:rsidP="005822F8">
      <w:pPr>
        <w:pStyle w:val="ListParagraph"/>
        <w:numPr>
          <w:ilvl w:val="0"/>
          <w:numId w:val="37"/>
        </w:numPr>
        <w:tabs>
          <w:tab w:val="clear" w:pos="431"/>
        </w:tabs>
        <w:suppressAutoHyphens w:val="0"/>
        <w:spacing w:after="160" w:line="259" w:lineRule="auto"/>
        <w:contextualSpacing/>
        <w:jc w:val="left"/>
      </w:pPr>
      <w:r>
        <w:t xml:space="preserve">Regionalna suradnja u ovom području </w:t>
      </w:r>
    </w:p>
    <w:p w14:paraId="3A1CDB92" w14:textId="2C961355" w:rsidR="00C704F7" w:rsidRDefault="00C704F7" w:rsidP="00DB7DF8">
      <w:pPr>
        <w:suppressAutoHyphens w:val="0"/>
        <w:spacing w:after="160" w:line="259" w:lineRule="auto"/>
        <w:contextualSpacing/>
        <w:jc w:val="left"/>
      </w:pPr>
      <w:r>
        <w:t>Nije primjenjivo.</w:t>
      </w:r>
    </w:p>
    <w:p w14:paraId="1D4FDA7E" w14:textId="77777777" w:rsidR="00C21988" w:rsidRDefault="00C21988" w:rsidP="005822F8">
      <w:pPr>
        <w:pStyle w:val="ListParagraph"/>
        <w:numPr>
          <w:ilvl w:val="0"/>
          <w:numId w:val="37"/>
        </w:numPr>
        <w:tabs>
          <w:tab w:val="clear" w:pos="431"/>
        </w:tabs>
        <w:suppressAutoHyphens w:val="0"/>
        <w:spacing w:after="160" w:line="259" w:lineRule="auto"/>
        <w:contextualSpacing/>
        <w:jc w:val="left"/>
      </w:pPr>
      <w:r>
        <w:t>Financijske mjere u ovom području na nacionalnoj razini, uključujući potporu EU-a i upotrebu sredstava EU-a, ako je primjenjivo.</w:t>
      </w:r>
    </w:p>
    <w:p w14:paraId="35EAE330" w14:textId="6E205CF7" w:rsidR="00C704F7" w:rsidRDefault="00C704F7" w:rsidP="00DB7DF8">
      <w:pPr>
        <w:suppressAutoHyphens w:val="0"/>
        <w:spacing w:after="160" w:line="259" w:lineRule="auto"/>
        <w:contextualSpacing/>
        <w:jc w:val="left"/>
      </w:pPr>
      <w:r>
        <w:t>Nije primjen</w:t>
      </w:r>
      <w:r w:rsidR="007D7B4A">
        <w:t>j</w:t>
      </w:r>
      <w:r>
        <w:t>ivo.</w:t>
      </w:r>
    </w:p>
    <w:p w14:paraId="1B7DCE4C" w14:textId="77777777" w:rsidR="00C21988" w:rsidRDefault="00C21988" w:rsidP="00302043">
      <w:pPr>
        <w:pStyle w:val="Heading3"/>
      </w:pPr>
      <w:bookmarkStart w:id="339" w:name="_Toc531935161"/>
      <w:bookmarkStart w:id="340" w:name="_Toc531945111"/>
      <w:r>
        <w:t>Infrastruktura za prijenos energije</w:t>
      </w:r>
      <w:bookmarkEnd w:id="339"/>
      <w:bookmarkEnd w:id="340"/>
    </w:p>
    <w:p w14:paraId="445FE7C4" w14:textId="14D1058E" w:rsidR="00C21988" w:rsidRDefault="00C21988" w:rsidP="005822F8">
      <w:pPr>
        <w:pStyle w:val="ListParagraph"/>
        <w:numPr>
          <w:ilvl w:val="0"/>
          <w:numId w:val="38"/>
        </w:numPr>
        <w:tabs>
          <w:tab w:val="clear" w:pos="431"/>
        </w:tabs>
        <w:suppressAutoHyphens w:val="0"/>
        <w:spacing w:after="160" w:line="259" w:lineRule="auto"/>
        <w:contextualSpacing/>
        <w:jc w:val="left"/>
      </w:pPr>
      <w:r>
        <w:t>Politike i mjere koje se odnose na elemente iz</w:t>
      </w:r>
      <w:r w:rsidR="00E35991">
        <w:t xml:space="preserve"> </w:t>
      </w:r>
      <w:r>
        <w:t>odjeljka 2.4.2., uključujući, ako je primjenjivo, posebne mjere za omogućavanje provedbe projekata od zajedničkog interesa (PCI) i drugih ključnih infrastrukturnih projekata.</w:t>
      </w:r>
    </w:p>
    <w:p w14:paraId="75F0B04F" w14:textId="26A99E86" w:rsidR="00C704F7" w:rsidRPr="00DB7DF8" w:rsidRDefault="00C704F7" w:rsidP="00706DCB">
      <w:pPr>
        <w:rPr>
          <w:u w:val="single"/>
        </w:rPr>
      </w:pPr>
      <w:r>
        <w:rPr>
          <w:u w:val="single"/>
        </w:rPr>
        <w:t>UET</w:t>
      </w:r>
      <w:r w:rsidRPr="00DB7DF8">
        <w:rPr>
          <w:u w:val="single"/>
        </w:rPr>
        <w:t>-1:</w:t>
      </w:r>
      <w:r w:rsidRPr="00DB7DF8">
        <w:rPr>
          <w:u w:val="single"/>
        </w:rPr>
        <w:tab/>
        <w:t>Provedba desetgodišnjeg plana razvoja prijenosne</w:t>
      </w:r>
      <w:r>
        <w:rPr>
          <w:u w:val="single"/>
        </w:rPr>
        <w:t xml:space="preserve"> elektroenergetske</w:t>
      </w:r>
      <w:r w:rsidRPr="00DB7DF8">
        <w:rPr>
          <w:u w:val="single"/>
        </w:rPr>
        <w:t xml:space="preserve"> mreže</w:t>
      </w:r>
    </w:p>
    <w:p w14:paraId="47454AA6" w14:textId="40F66D0F" w:rsidR="00706DCB" w:rsidRDefault="00706DCB" w:rsidP="00DB7DF8">
      <w:pPr>
        <w:ind w:left="142"/>
      </w:pPr>
      <w:r>
        <w:t>Desetogodišnjim planom razvoja definirana je potreba za sljedećim investicijski zahtjevnim pojačanjima/revitalizacijama prijenosne mreže:</w:t>
      </w:r>
    </w:p>
    <w:p w14:paraId="484D9A6C" w14:textId="77777777" w:rsidR="00706DCB" w:rsidRDefault="00706DCB" w:rsidP="00706DCB">
      <w:pPr>
        <w:pStyle w:val="ListParagraph"/>
        <w:numPr>
          <w:ilvl w:val="0"/>
          <w:numId w:val="28"/>
        </w:numPr>
        <w:tabs>
          <w:tab w:val="clear" w:pos="431"/>
        </w:tabs>
        <w:suppressAutoHyphens w:val="0"/>
        <w:spacing w:after="160" w:line="259" w:lineRule="auto"/>
        <w:contextualSpacing/>
      </w:pPr>
      <w:r>
        <w:t>pojačanje 400 kV mreže na zagrebačkom području izgradnjom novog DV 2x400 kV Tumbri – Veleševec, koji se spaja s postojećim DV 2x400 Žerjavinec – Veleševec, te se formiraju nove veze 2x400 kV Tumbri – Žerjavinec i 400 kV Ernestinovo – Tumbri,</w:t>
      </w:r>
    </w:p>
    <w:p w14:paraId="6429EC16" w14:textId="77777777" w:rsidR="00706DCB" w:rsidRDefault="00706DCB" w:rsidP="00706DCB">
      <w:pPr>
        <w:pStyle w:val="ListParagraph"/>
        <w:numPr>
          <w:ilvl w:val="0"/>
          <w:numId w:val="28"/>
        </w:numPr>
        <w:tabs>
          <w:tab w:val="clear" w:pos="431"/>
        </w:tabs>
        <w:suppressAutoHyphens w:val="0"/>
        <w:spacing w:after="160" w:line="259" w:lineRule="auto"/>
        <w:contextualSpacing/>
      </w:pPr>
      <w:r>
        <w:t>izgradnja TS 220/110 kV Vodnjan,</w:t>
      </w:r>
    </w:p>
    <w:p w14:paraId="3752F371" w14:textId="77777777" w:rsidR="00706DCB" w:rsidRDefault="00706DCB" w:rsidP="00706DCB">
      <w:pPr>
        <w:pStyle w:val="ListParagraph"/>
        <w:numPr>
          <w:ilvl w:val="0"/>
          <w:numId w:val="28"/>
        </w:numPr>
        <w:tabs>
          <w:tab w:val="clear" w:pos="431"/>
        </w:tabs>
        <w:suppressAutoHyphens w:val="0"/>
        <w:spacing w:after="160" w:line="259" w:lineRule="auto"/>
        <w:contextualSpacing/>
      </w:pPr>
      <w:r>
        <w:t>zamjena podmorskih kabela na dionicama vodova Crikvenica – Krk, Dugi Rat – Nerežišća, Nerežišća – Starigrad, Krk – Lošinj i Starigrad – Blato,</w:t>
      </w:r>
    </w:p>
    <w:p w14:paraId="0451FBAA" w14:textId="77777777" w:rsidR="00706DCB" w:rsidRDefault="00706DCB" w:rsidP="00706DCB">
      <w:pPr>
        <w:pStyle w:val="ListParagraph"/>
        <w:numPr>
          <w:ilvl w:val="0"/>
          <w:numId w:val="28"/>
        </w:numPr>
        <w:tabs>
          <w:tab w:val="clear" w:pos="431"/>
        </w:tabs>
        <w:suppressAutoHyphens w:val="0"/>
        <w:spacing w:after="160" w:line="259" w:lineRule="auto"/>
        <w:contextualSpacing/>
      </w:pPr>
      <w:r>
        <w:t>ugradnja dvije varijabilne prigušnice 200 Mvar i 100 Mvar, te statičkog Var kompenzatora snage 250 Mvar u sklopu SINCRO.GRID projekta, priključenih na mrežu 220 kV,</w:t>
      </w:r>
    </w:p>
    <w:p w14:paraId="5830526B" w14:textId="77777777" w:rsidR="00706DCB" w:rsidRDefault="00706DCB" w:rsidP="00706DCB">
      <w:pPr>
        <w:pStyle w:val="ListParagraph"/>
        <w:numPr>
          <w:ilvl w:val="0"/>
          <w:numId w:val="28"/>
        </w:numPr>
        <w:tabs>
          <w:tab w:val="clear" w:pos="431"/>
        </w:tabs>
        <w:suppressAutoHyphens w:val="0"/>
        <w:spacing w:after="160" w:line="259" w:lineRule="auto"/>
        <w:contextualSpacing/>
      </w:pPr>
      <w:r>
        <w:t>zamjena vodiča i povećanje prijenosne moći vodova 220 kV Zakučac – Konjsko i Senj – Melina,</w:t>
      </w:r>
    </w:p>
    <w:p w14:paraId="50D6AC69" w14:textId="77777777" w:rsidR="00706DCB" w:rsidRDefault="00706DCB" w:rsidP="00706DCB">
      <w:pPr>
        <w:pStyle w:val="ListParagraph"/>
        <w:numPr>
          <w:ilvl w:val="0"/>
          <w:numId w:val="28"/>
        </w:numPr>
        <w:tabs>
          <w:tab w:val="clear" w:pos="431"/>
        </w:tabs>
        <w:suppressAutoHyphens w:val="0"/>
        <w:spacing w:after="160" w:line="259" w:lineRule="auto"/>
        <w:contextualSpacing/>
      </w:pPr>
      <w:r>
        <w:t xml:space="preserve">zamjena vodiča i povećanje prijenosne moći na određenom broju vodova 110 kV, te zamjene vodiča bez povećanja prijenosne moći na najstarijim vodovima u mreži 110 kV, </w:t>
      </w:r>
    </w:p>
    <w:p w14:paraId="56A1144E" w14:textId="77777777" w:rsidR="00706DCB" w:rsidRDefault="00706DCB" w:rsidP="00706DCB">
      <w:pPr>
        <w:pStyle w:val="ListParagraph"/>
        <w:numPr>
          <w:ilvl w:val="0"/>
          <w:numId w:val="28"/>
        </w:numPr>
        <w:tabs>
          <w:tab w:val="clear" w:pos="431"/>
        </w:tabs>
        <w:suppressAutoHyphens w:val="0"/>
        <w:spacing w:after="160" w:line="259" w:lineRule="auto"/>
        <w:contextualSpacing/>
      </w:pPr>
      <w:r>
        <w:t xml:space="preserve">zamjena većeg broja energetskih transformatora 220/110 kV i 110/x kV. </w:t>
      </w:r>
    </w:p>
    <w:p w14:paraId="1E32EF5B" w14:textId="52E26E36" w:rsidR="00C704F7" w:rsidRDefault="00C704F7" w:rsidP="00066B43">
      <w:pPr>
        <w:suppressAutoHyphens w:val="0"/>
        <w:spacing w:after="160" w:line="259" w:lineRule="auto"/>
        <w:contextualSpacing/>
      </w:pPr>
    </w:p>
    <w:p w14:paraId="5DFFCADD" w14:textId="6CCD3EB9" w:rsidR="00C704F7" w:rsidRPr="007B6CD7" w:rsidRDefault="00C704F7" w:rsidP="00C704F7">
      <w:pPr>
        <w:rPr>
          <w:u w:val="single"/>
        </w:rPr>
      </w:pPr>
      <w:r>
        <w:rPr>
          <w:u w:val="single"/>
        </w:rPr>
        <w:t>UET</w:t>
      </w:r>
      <w:r w:rsidRPr="007B6CD7">
        <w:rPr>
          <w:u w:val="single"/>
        </w:rPr>
        <w:t>-</w:t>
      </w:r>
      <w:r>
        <w:rPr>
          <w:u w:val="single"/>
        </w:rPr>
        <w:t>2</w:t>
      </w:r>
      <w:r w:rsidRPr="007B6CD7">
        <w:rPr>
          <w:u w:val="single"/>
        </w:rPr>
        <w:t>:</w:t>
      </w:r>
      <w:r w:rsidRPr="007B6CD7">
        <w:rPr>
          <w:u w:val="single"/>
        </w:rPr>
        <w:tab/>
        <w:t xml:space="preserve">Provedba desetgodišnjeg plana razvoja </w:t>
      </w:r>
      <w:r>
        <w:rPr>
          <w:u w:val="single"/>
        </w:rPr>
        <w:t>plinskog transportnog sustava</w:t>
      </w:r>
    </w:p>
    <w:p w14:paraId="10063AAA" w14:textId="79F2E26F" w:rsidR="00706DCB" w:rsidRDefault="00706DCB" w:rsidP="00DB7DF8">
      <w:pPr>
        <w:suppressAutoHyphens w:val="0"/>
        <w:spacing w:after="160" w:line="259" w:lineRule="auto"/>
        <w:ind w:left="142"/>
        <w:contextualSpacing/>
        <w:jc w:val="left"/>
      </w:pPr>
      <w:r w:rsidRPr="00706DCB">
        <w:t xml:space="preserve">Planirani projekti </w:t>
      </w:r>
      <w:r>
        <w:t>unapređenja sustava za prijenos plina:</w:t>
      </w:r>
    </w:p>
    <w:p w14:paraId="6AF159CD" w14:textId="77777777" w:rsidR="00706DCB" w:rsidRDefault="00706DCB" w:rsidP="00706DCB">
      <w:pPr>
        <w:pStyle w:val="ListParagraph"/>
        <w:numPr>
          <w:ilvl w:val="0"/>
          <w:numId w:val="31"/>
        </w:numPr>
        <w:tabs>
          <w:tab w:val="clear" w:pos="431"/>
        </w:tabs>
        <w:suppressAutoHyphens w:val="0"/>
        <w:spacing w:after="160" w:line="259" w:lineRule="auto"/>
        <w:contextualSpacing/>
      </w:pPr>
      <w:r w:rsidRPr="001F5054">
        <w:rPr>
          <w:b/>
        </w:rPr>
        <w:t>Transportni sustav u funkciji nove dobave</w:t>
      </w:r>
      <w:r>
        <w:t xml:space="preserve">: </w:t>
      </w:r>
      <w:r w:rsidRPr="00510F56">
        <w:t xml:space="preserve">Plinovodni sustav za evakuaciju </w:t>
      </w:r>
      <w:r>
        <w:t>plina iz terminala za UPP sastoji se</w:t>
      </w:r>
      <w:r w:rsidRPr="00510F56">
        <w:t xml:space="preserve"> od tri skupine plinovoda: Omišalj - Zlobin (DN1000, 18</w:t>
      </w:r>
      <w:r>
        <w:t xml:space="preserve"> </w:t>
      </w:r>
      <w:r w:rsidRPr="00510F56">
        <w:t xml:space="preserve">km), Zlobin - Kozarac (DN800, 180 km) i Kozarac - Slobodnica (DN 800, 128 km). Postupan razvoj omogućuje etapno povećanje kapaciteta terminala </w:t>
      </w:r>
      <w:r>
        <w:t xml:space="preserve">za UPP </w:t>
      </w:r>
      <w:r w:rsidRPr="00510F56">
        <w:t>s početnih 7,2 mil. m</w:t>
      </w:r>
      <w:r w:rsidRPr="00765552">
        <w:rPr>
          <w:vertAlign w:val="superscript"/>
        </w:rPr>
        <w:t>3</w:t>
      </w:r>
      <w:r w:rsidRPr="00510F56">
        <w:t>/dan na maksimalnih 19 mil. m</w:t>
      </w:r>
      <w:r w:rsidRPr="00765552">
        <w:rPr>
          <w:vertAlign w:val="superscript"/>
        </w:rPr>
        <w:t>3</w:t>
      </w:r>
      <w:r w:rsidRPr="00510F56">
        <w:t xml:space="preserve">/dan. U prvoj fazi predviđena je izgradnja plinovoda Omišalj - Zlobin čije se puštanje u pogon predviđa zajedno s </w:t>
      </w:r>
      <w:r>
        <w:t xml:space="preserve">izgradnjom </w:t>
      </w:r>
      <w:r w:rsidRPr="00510F56">
        <w:t>terminal</w:t>
      </w:r>
      <w:r>
        <w:t>a</w:t>
      </w:r>
      <w:r w:rsidRPr="00510F56">
        <w:t xml:space="preserve"> početkom 2020. godine</w:t>
      </w:r>
      <w:r>
        <w:t xml:space="preserve">; </w:t>
      </w:r>
      <w:r w:rsidRPr="001D2708">
        <w:t>IAP – Jadransko-jonski plinovod omogućio bi dobavu plina iz TAP-a za Hrvatsku i zemlje u regiji te mogući transport prema Mađarskoj, Sloveniji i Austriji. Plinovod bi se izgradio u ukupnoj dužini od 511 km od čega bi najduži dio od oko 250 km bio u Hrvatskoj</w:t>
      </w:r>
      <w:r>
        <w:t xml:space="preserve"> (p</w:t>
      </w:r>
      <w:r w:rsidRPr="001D2708">
        <w:t>redviđena investicija u RH iznosi oko 2,2 milijarde kn</w:t>
      </w:r>
      <w:r>
        <w:t xml:space="preserve">); </w:t>
      </w:r>
      <w:r w:rsidRPr="0051098F">
        <w:t>Povećanjem kapaciteta interkonekcije sa Slovenijom izgradnjom sustava plinovoda Lučko - Zabok, Zabok - Jezerišće i Jezerišće – Sotla (DN 700, 69 km radnog tlaka 75 bar) omogućila bi se dodatna dobava iz smjera Slovenije, te izvoz LNG-a ili plina iz IAP-a prema Sloveniji. Izgradnjom plinovoda Bosiljevo - Karlovac (DN700) i Karlovac - Lučko (DN500) ukupne duljine 71 km dodatno bi se povećao izvozni kapacitet smjera prema Sloveniji te je ovaj sustav posebno važan u slučaju izgradnje sustava IAP</w:t>
      </w:r>
      <w:r>
        <w:t xml:space="preserve">; </w:t>
      </w:r>
      <w:r w:rsidRPr="003B19BA">
        <w:t xml:space="preserve">Plinovod Slobodnica - Sotin (DN800, 102 km) omogućio bi interkonekciju sa Srbijom i izravan izvoz </w:t>
      </w:r>
      <w:r>
        <w:t>plina iz terminala za UPP</w:t>
      </w:r>
      <w:r w:rsidRPr="003B19BA">
        <w:t xml:space="preserve"> prema Srbiji, odnosno izravan uvoz plina iz odvojka TurkStream-a po njegovoj izgradnji</w:t>
      </w:r>
      <w:r>
        <w:t>.</w:t>
      </w:r>
    </w:p>
    <w:p w14:paraId="480F0535" w14:textId="77777777" w:rsidR="00706DCB" w:rsidRDefault="00706DCB" w:rsidP="00706DCB">
      <w:pPr>
        <w:pStyle w:val="ListParagraph"/>
        <w:tabs>
          <w:tab w:val="clear" w:pos="431"/>
        </w:tabs>
        <w:suppressAutoHyphens w:val="0"/>
        <w:spacing w:after="160" w:line="259" w:lineRule="auto"/>
        <w:ind w:left="720"/>
        <w:contextualSpacing/>
      </w:pPr>
    </w:p>
    <w:p w14:paraId="0347A64A" w14:textId="77777777" w:rsidR="00706DCB" w:rsidRDefault="00706DCB" w:rsidP="00706DCB">
      <w:pPr>
        <w:pStyle w:val="ListParagraph"/>
        <w:numPr>
          <w:ilvl w:val="0"/>
          <w:numId w:val="31"/>
        </w:numPr>
        <w:tabs>
          <w:tab w:val="clear" w:pos="431"/>
        </w:tabs>
        <w:suppressAutoHyphens w:val="0"/>
        <w:spacing w:after="160" w:line="259" w:lineRule="auto"/>
        <w:contextualSpacing/>
      </w:pPr>
      <w:r w:rsidRPr="0031468F">
        <w:rPr>
          <w:b/>
        </w:rPr>
        <w:t>Transportni sustav u funkciji unutarnje operativne sigurnosti opskrbe</w:t>
      </w:r>
      <w:r>
        <w:t xml:space="preserve">: </w:t>
      </w:r>
      <w:r w:rsidRPr="00524FD1">
        <w:t>Transportni sustav koji je u funkciji unutarnje sigurnosti opskrbe omogućit će stabilniju i sigurniju opskrbu područja koja se napajaju plinom i imaju samo jed</w:t>
      </w:r>
      <w:r>
        <w:t>a</w:t>
      </w:r>
      <w:r w:rsidRPr="00524FD1">
        <w:t>n izvor napajanja, te omogućuje kreiranje unutarnjih petlji koje povećavaju sigurnost opskrbe plinom</w:t>
      </w:r>
      <w:r>
        <w:t>.</w:t>
      </w:r>
    </w:p>
    <w:p w14:paraId="6EC304CD" w14:textId="77777777" w:rsidR="00706DCB" w:rsidRDefault="00706DCB" w:rsidP="00706DCB">
      <w:pPr>
        <w:pStyle w:val="ListParagraph"/>
        <w:tabs>
          <w:tab w:val="clear" w:pos="431"/>
        </w:tabs>
        <w:suppressAutoHyphens w:val="0"/>
        <w:spacing w:after="160" w:line="259" w:lineRule="auto"/>
        <w:ind w:left="720"/>
        <w:contextualSpacing/>
      </w:pPr>
    </w:p>
    <w:p w14:paraId="4A9C14DA" w14:textId="77777777" w:rsidR="00706DCB" w:rsidRDefault="00706DCB" w:rsidP="00706DCB">
      <w:pPr>
        <w:pStyle w:val="ListParagraph"/>
        <w:numPr>
          <w:ilvl w:val="0"/>
          <w:numId w:val="31"/>
        </w:numPr>
        <w:tabs>
          <w:tab w:val="clear" w:pos="431"/>
        </w:tabs>
        <w:suppressAutoHyphens w:val="0"/>
        <w:spacing w:after="160" w:line="259" w:lineRule="auto"/>
        <w:contextualSpacing/>
      </w:pPr>
      <w:r w:rsidRPr="001F5054">
        <w:rPr>
          <w:b/>
        </w:rPr>
        <w:t>Transportni sustav u funkciji izvoza</w:t>
      </w:r>
      <w:r>
        <w:t xml:space="preserve">: </w:t>
      </w:r>
      <w:r w:rsidRPr="0011162D">
        <w:t>Plinovodnim sustavima Lička Jesenica - Bihać (DN 400/500, 30 km), Zagvozd - Posušje (DN500, 22 km) i Slobodnica - B. Brod (DN700, 5 km) omogućila bi se opskrba plinom susjedne BiH, dok bi se plinovodom Umag - Koper (DN300, 8 km) omogućio spoj Istre i juga Slovenije. Izgradnja ovih plinovoda primarno ovisi o interesu susjednih zemalja i ekonomskoj opravdanosti izgradnje.</w:t>
      </w:r>
      <w:r>
        <w:t xml:space="preserve"> </w:t>
      </w:r>
      <w:r w:rsidRPr="00AB4C1D">
        <w:t>Ukupne investicije potrebne za razvoj plinskog transportnog sustava do 2030. godine iznose oko 8 milijardi kn</w:t>
      </w:r>
      <w:r>
        <w:t>.</w:t>
      </w:r>
    </w:p>
    <w:p w14:paraId="3D025409" w14:textId="77777777" w:rsidR="00706DCB" w:rsidRDefault="00706DCB" w:rsidP="00DB7DF8">
      <w:pPr>
        <w:suppressAutoHyphens w:val="0"/>
        <w:spacing w:after="160" w:line="259" w:lineRule="auto"/>
        <w:contextualSpacing/>
        <w:jc w:val="left"/>
      </w:pPr>
    </w:p>
    <w:p w14:paraId="2E4B1FD9" w14:textId="77777777" w:rsidR="00C21988" w:rsidRDefault="00C21988" w:rsidP="005822F8">
      <w:pPr>
        <w:pStyle w:val="ListParagraph"/>
        <w:numPr>
          <w:ilvl w:val="0"/>
          <w:numId w:val="38"/>
        </w:numPr>
        <w:tabs>
          <w:tab w:val="clear" w:pos="431"/>
        </w:tabs>
        <w:suppressAutoHyphens w:val="0"/>
        <w:spacing w:after="160" w:line="259" w:lineRule="auto"/>
        <w:contextualSpacing/>
        <w:jc w:val="left"/>
      </w:pPr>
      <w:r>
        <w:t xml:space="preserve">Regionalna suradnja u ovom području </w:t>
      </w:r>
    </w:p>
    <w:p w14:paraId="08446998" w14:textId="13E5A51D" w:rsidR="0074381E" w:rsidRDefault="0074381E" w:rsidP="00DB7DF8">
      <w:pPr>
        <w:suppressAutoHyphens w:val="0"/>
        <w:spacing w:after="160" w:line="259" w:lineRule="auto"/>
        <w:contextualSpacing/>
        <w:jc w:val="left"/>
      </w:pPr>
    </w:p>
    <w:p w14:paraId="6760308D" w14:textId="4E3F382F" w:rsidR="00382A4D" w:rsidRDefault="0074381E" w:rsidP="00CF2D4C">
      <w:pPr>
        <w:suppressAutoHyphens w:val="0"/>
        <w:spacing w:after="160" w:line="259" w:lineRule="auto"/>
        <w:contextualSpacing/>
      </w:pPr>
      <w:r w:rsidRPr="0074381E">
        <w:t xml:space="preserve">Slijedom činjenice da je </w:t>
      </w:r>
      <w:r>
        <w:t xml:space="preserve">infrastruktura za prijenos energije </w:t>
      </w:r>
      <w:r w:rsidRPr="0074381E">
        <w:t>Republike Hrvatske povezan</w:t>
      </w:r>
      <w:r>
        <w:t>a</w:t>
      </w:r>
      <w:r w:rsidRPr="0074381E">
        <w:t xml:space="preserve"> sa </w:t>
      </w:r>
      <w:r w:rsidR="00382A4D">
        <w:t>sustavima</w:t>
      </w:r>
      <w:r w:rsidR="00FF2DD9">
        <w:t xml:space="preserve"> susjednih zemalja</w:t>
      </w:r>
      <w:r w:rsidRPr="0074381E">
        <w:t>, nužna je potpuna tehnička i operativna usklađenost s operatorima tih sustava</w:t>
      </w:r>
      <w:r w:rsidR="00382A4D">
        <w:t xml:space="preserve">, </w:t>
      </w:r>
      <w:r w:rsidR="008029D0">
        <w:t>što</w:t>
      </w:r>
      <w:r w:rsidR="00382A4D">
        <w:t xml:space="preserve"> je i reguliran</w:t>
      </w:r>
      <w:r w:rsidR="008029D0">
        <w:t>o</w:t>
      </w:r>
      <w:r w:rsidR="00382A4D">
        <w:t xml:space="preserve"> odgovarajućim dokumentima.</w:t>
      </w:r>
    </w:p>
    <w:p w14:paraId="01AD1ED2" w14:textId="77777777" w:rsidR="00382A4D" w:rsidRDefault="00382A4D" w:rsidP="00CF2D4C">
      <w:pPr>
        <w:suppressAutoHyphens w:val="0"/>
        <w:spacing w:after="160" w:line="259" w:lineRule="auto"/>
        <w:contextualSpacing/>
      </w:pPr>
    </w:p>
    <w:p w14:paraId="0FEBABC7" w14:textId="63915380" w:rsidR="0074381E" w:rsidRDefault="00E76704" w:rsidP="00CF2D4C">
      <w:pPr>
        <w:suppressAutoHyphens w:val="0"/>
        <w:spacing w:after="160" w:line="259" w:lineRule="auto"/>
        <w:contextualSpacing/>
      </w:pPr>
      <w:r>
        <w:t>P</w:t>
      </w:r>
      <w:r w:rsidR="0074381E" w:rsidRPr="0074381E">
        <w:t>lanirano</w:t>
      </w:r>
      <w:r>
        <w:t xml:space="preserve"> je</w:t>
      </w:r>
      <w:r w:rsidR="0074381E" w:rsidRPr="0074381E">
        <w:t xml:space="preserve"> sveobuhvatno povezivanje hrvatskog plinskog transportnog sustava s plinskim transportnim sustavima svih susjednih zemalja</w:t>
      </w:r>
      <w:r>
        <w:t xml:space="preserve"> pa </w:t>
      </w:r>
      <w:r w:rsidR="0074381E" w:rsidRPr="0074381E">
        <w:t>operator transportnog plinskog sustava već u pripremnoj fazi projekata interkonekcija intenzivno surađuje i s operatorima transportnih sustava tih zemalja.</w:t>
      </w:r>
    </w:p>
    <w:p w14:paraId="11202450" w14:textId="77777777" w:rsidR="0074381E" w:rsidRDefault="0074381E" w:rsidP="00DB7DF8">
      <w:pPr>
        <w:suppressAutoHyphens w:val="0"/>
        <w:spacing w:after="160" w:line="259" w:lineRule="auto"/>
        <w:contextualSpacing/>
        <w:jc w:val="left"/>
      </w:pPr>
    </w:p>
    <w:p w14:paraId="131192EA" w14:textId="77777777" w:rsidR="00C21988" w:rsidRDefault="00C21988" w:rsidP="005822F8">
      <w:pPr>
        <w:pStyle w:val="ListParagraph"/>
        <w:numPr>
          <w:ilvl w:val="0"/>
          <w:numId w:val="38"/>
        </w:numPr>
        <w:tabs>
          <w:tab w:val="clear" w:pos="431"/>
        </w:tabs>
        <w:suppressAutoHyphens w:val="0"/>
        <w:spacing w:after="160" w:line="259" w:lineRule="auto"/>
        <w:contextualSpacing/>
        <w:jc w:val="left"/>
      </w:pPr>
      <w:r>
        <w:t>Financijske mjere u ovom području na nacionalnoj razini, uključujući potporu EU-a i upotrebu sredstava EU-a, ako je primjenjivo.</w:t>
      </w:r>
    </w:p>
    <w:p w14:paraId="4EE6820B" w14:textId="0D48A3D9" w:rsidR="00C704F7" w:rsidRDefault="00C704F7" w:rsidP="00DB7DF8">
      <w:pPr>
        <w:suppressAutoHyphens w:val="0"/>
        <w:spacing w:after="160" w:line="259" w:lineRule="auto"/>
        <w:contextualSpacing/>
        <w:jc w:val="left"/>
      </w:pPr>
      <w:r>
        <w:t>U izradi.</w:t>
      </w:r>
    </w:p>
    <w:p w14:paraId="243DCEA3" w14:textId="77777777" w:rsidR="00C21988" w:rsidRDefault="00C21988" w:rsidP="00302043">
      <w:pPr>
        <w:pStyle w:val="Heading3"/>
      </w:pPr>
      <w:bookmarkStart w:id="341" w:name="_Toc531935162"/>
      <w:bookmarkStart w:id="342" w:name="_Toc531945112"/>
      <w:r>
        <w:t>Integracija tržišta</w:t>
      </w:r>
      <w:bookmarkEnd w:id="341"/>
      <w:bookmarkEnd w:id="342"/>
    </w:p>
    <w:p w14:paraId="722CFC75" w14:textId="33B9C852" w:rsidR="00C21988" w:rsidRDefault="00C21988" w:rsidP="005822F8">
      <w:pPr>
        <w:pStyle w:val="ListParagraph"/>
        <w:numPr>
          <w:ilvl w:val="0"/>
          <w:numId w:val="39"/>
        </w:numPr>
        <w:tabs>
          <w:tab w:val="clear" w:pos="431"/>
        </w:tabs>
        <w:suppressAutoHyphens w:val="0"/>
        <w:spacing w:after="160" w:line="259" w:lineRule="auto"/>
        <w:contextualSpacing/>
        <w:jc w:val="left"/>
      </w:pPr>
      <w:r>
        <w:t>Politike i mjere koje se odnose na elemente</w:t>
      </w:r>
      <w:r w:rsidR="00E35991">
        <w:t xml:space="preserve"> </w:t>
      </w:r>
      <w:r>
        <w:t>iz odjeljka 2.4.3.</w:t>
      </w:r>
    </w:p>
    <w:p w14:paraId="5C3331C9" w14:textId="29981418" w:rsidR="00AE5419" w:rsidRDefault="00572688" w:rsidP="00AE5419">
      <w:pPr>
        <w:suppressAutoHyphens w:val="0"/>
        <w:spacing w:after="160" w:line="259" w:lineRule="auto"/>
        <w:contextualSpacing/>
        <w:jc w:val="left"/>
      </w:pPr>
      <w:r>
        <w:t>Ostvarenju ciljeva iz 2.4.3. doprinijet će mjere</w:t>
      </w:r>
      <w:r w:rsidR="00AE5419">
        <w:t xml:space="preserve"> </w:t>
      </w:r>
      <w:r w:rsidR="00AE5419" w:rsidRPr="00AE5419">
        <w:t>ES-6:</w:t>
      </w:r>
      <w:r w:rsidR="00AE5419">
        <w:t xml:space="preserve"> </w:t>
      </w:r>
      <w:r w:rsidR="00AE5419" w:rsidRPr="00AE5419">
        <w:t>Uvođenje naprednih brojila na razini potrošnje</w:t>
      </w:r>
      <w:r w:rsidR="00AE5419">
        <w:t xml:space="preserve">, </w:t>
      </w:r>
      <w:r w:rsidR="00AE5419" w:rsidRPr="00AE5419">
        <w:t>ES-7:</w:t>
      </w:r>
      <w:r w:rsidR="00AE5419">
        <w:t xml:space="preserve"> </w:t>
      </w:r>
      <w:r w:rsidRPr="00572688">
        <w:t>Pokretanje pilot projekata pružanja pomoćnih usluga</w:t>
      </w:r>
      <w:r w:rsidRPr="00572688" w:rsidDel="00572688">
        <w:t xml:space="preserve"> </w:t>
      </w:r>
      <w:r w:rsidR="00AE5419">
        <w:t xml:space="preserve">i </w:t>
      </w:r>
      <w:r w:rsidR="00AE5419" w:rsidRPr="00AE5419">
        <w:t>ES-9:</w:t>
      </w:r>
      <w:r>
        <w:t xml:space="preserve"> </w:t>
      </w:r>
      <w:r w:rsidR="00AE5419" w:rsidRPr="00AE5419">
        <w:t>Razvoj i vođenje elektroenergetskog sustava</w:t>
      </w:r>
      <w:r>
        <w:t>.</w:t>
      </w:r>
    </w:p>
    <w:p w14:paraId="743512FD" w14:textId="77777777" w:rsidR="004854DB" w:rsidRDefault="004854DB" w:rsidP="00DB7DF8">
      <w:pPr>
        <w:suppressAutoHyphens w:val="0"/>
        <w:spacing w:after="160" w:line="259" w:lineRule="auto"/>
        <w:contextualSpacing/>
        <w:jc w:val="left"/>
      </w:pPr>
    </w:p>
    <w:p w14:paraId="42DE0C04" w14:textId="3C6A7EE5" w:rsidR="00C21988" w:rsidRDefault="00C21988" w:rsidP="005822F8">
      <w:pPr>
        <w:pStyle w:val="ListParagraph"/>
        <w:numPr>
          <w:ilvl w:val="0"/>
          <w:numId w:val="39"/>
        </w:numPr>
        <w:tabs>
          <w:tab w:val="clear" w:pos="431"/>
        </w:tabs>
        <w:suppressAutoHyphens w:val="0"/>
        <w:spacing w:after="160" w:line="259" w:lineRule="auto"/>
        <w:contextualSpacing/>
        <w:jc w:val="left"/>
      </w:pPr>
      <w:r>
        <w:t>Ako je primjenjivo, mjere za povećanje fleksibilnosti energetskog sustava s obzirom na proizvodnju energije iz obnovljivih izvora, uključujući uvođenje unutardnevnog uparivanja tržišta i prekograničnih tržišta uravnoteženja</w:t>
      </w:r>
    </w:p>
    <w:p w14:paraId="5C92DAC6" w14:textId="6E440DD5" w:rsidR="00AE5419" w:rsidRDefault="00AE5419" w:rsidP="00F2577A">
      <w:pPr>
        <w:suppressAutoHyphens w:val="0"/>
        <w:spacing w:after="160" w:line="259" w:lineRule="auto"/>
        <w:contextualSpacing/>
        <w:jc w:val="left"/>
      </w:pPr>
      <w:r>
        <w:t xml:space="preserve">Ovom će cilju pridonijeti mjera </w:t>
      </w:r>
      <w:r w:rsidRPr="00AE5419">
        <w:t>ES-4:</w:t>
      </w:r>
      <w:r>
        <w:t xml:space="preserve"> </w:t>
      </w:r>
      <w:r w:rsidRPr="00AE5419">
        <w:t>Izgradnja reverzibilne hidroelektrane snage 150 MW</w:t>
      </w:r>
      <w:r>
        <w:t>.</w:t>
      </w:r>
    </w:p>
    <w:p w14:paraId="43D38BB5" w14:textId="25A364D0" w:rsidR="006C58FB" w:rsidRDefault="006C58FB" w:rsidP="00F2577A">
      <w:pPr>
        <w:suppressAutoHyphens w:val="0"/>
        <w:spacing w:after="160" w:line="259" w:lineRule="auto"/>
        <w:contextualSpacing/>
        <w:jc w:val="left"/>
      </w:pPr>
    </w:p>
    <w:p w14:paraId="085F5309" w14:textId="3686EEDF" w:rsidR="006C58FB" w:rsidRDefault="004D3141" w:rsidP="00F2577A">
      <w:pPr>
        <w:suppressAutoHyphens w:val="0"/>
        <w:spacing w:after="160" w:line="259" w:lineRule="auto"/>
        <w:contextualSpacing/>
        <w:jc w:val="left"/>
      </w:pPr>
      <w:r>
        <w:t>Dodatno, potrebno je provoditi sljedeću mjeru:</w:t>
      </w:r>
    </w:p>
    <w:p w14:paraId="5C945F58" w14:textId="7186A39F" w:rsidR="004D3141" w:rsidRDefault="004D3141" w:rsidP="00F2577A">
      <w:pPr>
        <w:suppressAutoHyphens w:val="0"/>
        <w:spacing w:after="160" w:line="259" w:lineRule="auto"/>
        <w:contextualSpacing/>
        <w:jc w:val="left"/>
      </w:pPr>
    </w:p>
    <w:p w14:paraId="553FF6F5" w14:textId="0FBC0A35" w:rsidR="004D3141" w:rsidRPr="00DB7DF8" w:rsidRDefault="004D3141" w:rsidP="00F2577A">
      <w:pPr>
        <w:suppressAutoHyphens w:val="0"/>
        <w:spacing w:after="160" w:line="259" w:lineRule="auto"/>
        <w:contextualSpacing/>
        <w:jc w:val="left"/>
        <w:rPr>
          <w:u w:val="single"/>
        </w:rPr>
      </w:pPr>
      <w:r w:rsidRPr="00DB7DF8">
        <w:rPr>
          <w:u w:val="single"/>
        </w:rPr>
        <w:t>UET-</w:t>
      </w:r>
      <w:r w:rsidR="00B04479" w:rsidRPr="00DB7DF8">
        <w:rPr>
          <w:u w:val="single"/>
        </w:rPr>
        <w:t>3</w:t>
      </w:r>
      <w:r w:rsidRPr="00DB7DF8">
        <w:rPr>
          <w:u w:val="single"/>
        </w:rPr>
        <w:t>:</w:t>
      </w:r>
      <w:r w:rsidRPr="00DB7DF8">
        <w:rPr>
          <w:u w:val="single"/>
        </w:rPr>
        <w:tab/>
      </w:r>
      <w:r w:rsidR="007145ED" w:rsidRPr="00DB7DF8">
        <w:rPr>
          <w:rFonts w:cs="Arial"/>
          <w:u w:val="single"/>
        </w:rPr>
        <w:t>Osiguranje uravnoteženja elektroenergetskog sustava</w:t>
      </w:r>
      <w:r w:rsidR="007145ED" w:rsidRPr="00DB7DF8" w:rsidDel="007145ED">
        <w:rPr>
          <w:u w:val="single"/>
        </w:rPr>
        <w:t xml:space="preserve"> </w:t>
      </w:r>
    </w:p>
    <w:p w14:paraId="0F96FA36" w14:textId="2E09A2F0" w:rsidR="00E028B5" w:rsidRDefault="00E028B5" w:rsidP="00F2577A">
      <w:pPr>
        <w:suppressAutoHyphens w:val="0"/>
        <w:spacing w:after="160" w:line="259" w:lineRule="auto"/>
        <w:contextualSpacing/>
        <w:jc w:val="left"/>
      </w:pPr>
    </w:p>
    <w:p w14:paraId="684B3CC5" w14:textId="3B1A6CBB" w:rsidR="004D3141" w:rsidRDefault="00E028B5" w:rsidP="00DB7DF8">
      <w:pPr>
        <w:suppressAutoHyphens w:val="0"/>
        <w:spacing w:after="160" w:line="259" w:lineRule="auto"/>
        <w:contextualSpacing/>
        <w:jc w:val="left"/>
      </w:pPr>
      <w:r>
        <w:t>Potrebno je o</w:t>
      </w:r>
      <w:r w:rsidR="004D3141">
        <w:t xml:space="preserve">sigurati provođenje odgovarajućeg mehanizma uravnoteženja u kojem </w:t>
      </w:r>
      <w:r w:rsidR="003833AF">
        <w:t xml:space="preserve">sudjeluju </w:t>
      </w:r>
      <w:r w:rsidR="004D3141">
        <w:t>svi subjekti odgovorni za odstupanje te osigurati odgovarajuću naknadu ili mehanizam utvrđivanja cijene za ove usluge</w:t>
      </w:r>
      <w:r w:rsidR="003833AF">
        <w:t xml:space="preserve">. </w:t>
      </w:r>
      <w:r w:rsidR="003833AF">
        <w:rPr>
          <w:rFonts w:cs="Tahoma"/>
          <w:lang w:eastAsia="ar-SA"/>
        </w:rPr>
        <w:t>Potrebno je o</w:t>
      </w:r>
      <w:r w:rsidR="004D3141">
        <w:t>sigurati dostatnu sekundarnu i tercijarnu P/f rezervu za uravnoteženje, uključujući unutardnevno tržište i organizaciju tržišt</w:t>
      </w:r>
      <w:r w:rsidR="003833AF">
        <w:t>a</w:t>
      </w:r>
      <w:r w:rsidR="004D3141">
        <w:t xml:space="preserve"> energije uravnoteženja.</w:t>
      </w:r>
    </w:p>
    <w:p w14:paraId="6F281562" w14:textId="77777777" w:rsidR="004D3141" w:rsidRDefault="004D3141" w:rsidP="00DB7DF8">
      <w:pPr>
        <w:suppressAutoHyphens w:val="0"/>
        <w:spacing w:after="160" w:line="259" w:lineRule="auto"/>
        <w:contextualSpacing/>
        <w:jc w:val="left"/>
      </w:pPr>
    </w:p>
    <w:p w14:paraId="5B7FC480" w14:textId="715DD61E" w:rsidR="00C21988" w:rsidRDefault="00C21988" w:rsidP="005822F8">
      <w:pPr>
        <w:pStyle w:val="ListParagraph"/>
        <w:numPr>
          <w:ilvl w:val="0"/>
          <w:numId w:val="39"/>
        </w:numPr>
        <w:tabs>
          <w:tab w:val="clear" w:pos="431"/>
        </w:tabs>
        <w:suppressAutoHyphens w:val="0"/>
        <w:spacing w:after="160" w:line="259" w:lineRule="auto"/>
        <w:contextualSpacing/>
        <w:jc w:val="left"/>
      </w:pPr>
      <w:r>
        <w:t xml:space="preserve">Mjere za osiguranje prioritetnog pristupa i otpreme električne energije proizvedene iz obnovljivih izvora energije ili kogeneracije visokog učinka i prevencija ograničenja ili redistribucije te električne energije </w:t>
      </w:r>
    </w:p>
    <w:p w14:paraId="37EC2AF8" w14:textId="593D443E" w:rsidR="00AE5419" w:rsidRDefault="00AE5419" w:rsidP="00DB7DF8">
      <w:pPr>
        <w:suppressAutoHyphens w:val="0"/>
        <w:spacing w:after="160" w:line="259" w:lineRule="auto"/>
        <w:contextualSpacing/>
        <w:jc w:val="left"/>
      </w:pPr>
      <w:r>
        <w:t>Ovom će cilju pridonijeti mjera OIE-</w:t>
      </w:r>
      <w:r w:rsidR="00550B5B">
        <w:t>3</w:t>
      </w:r>
      <w:r>
        <w:t xml:space="preserve">: </w:t>
      </w:r>
      <w:r w:rsidRPr="00AE5419">
        <w:t>Poticanje korištenja obnovljivih izvora energije za proizvodnju električne</w:t>
      </w:r>
      <w:r w:rsidR="009F05B9">
        <w:t xml:space="preserve"> i toplinske</w:t>
      </w:r>
      <w:r w:rsidRPr="00AE5419">
        <w:t xml:space="preserve"> energije</w:t>
      </w:r>
      <w:r>
        <w:t xml:space="preserve"> i ENU-16: </w:t>
      </w:r>
      <w:r w:rsidR="007E6102" w:rsidRPr="007E6102">
        <w:t>Povećanje učinkovitosti sustava toplinarstva</w:t>
      </w:r>
      <w:r w:rsidR="007E6102">
        <w:t>.</w:t>
      </w:r>
    </w:p>
    <w:p w14:paraId="4FA2548A" w14:textId="1F2A90C6" w:rsidR="00C21988" w:rsidRDefault="00C21988" w:rsidP="005822F8">
      <w:pPr>
        <w:pStyle w:val="ListParagraph"/>
        <w:numPr>
          <w:ilvl w:val="0"/>
          <w:numId w:val="39"/>
        </w:numPr>
        <w:tabs>
          <w:tab w:val="clear" w:pos="431"/>
        </w:tabs>
        <w:suppressAutoHyphens w:val="0"/>
        <w:spacing w:after="160" w:line="259" w:lineRule="auto"/>
        <w:contextualSpacing/>
        <w:jc w:val="left"/>
      </w:pPr>
      <w:r>
        <w:t>Politike i mjere za zaštitu potrošača, osobito ranjivih i, ako je primjenjivo, energetski siromašnih potrošača, i mjere za jačanje konkurentnosti i neograničenog tržišnog natjecanja na maloprodajnom energetskom tržištu</w:t>
      </w:r>
    </w:p>
    <w:p w14:paraId="62DECFA5" w14:textId="17AE32F5" w:rsidR="00641C0F" w:rsidRDefault="00641C0F" w:rsidP="00641C0F">
      <w:pPr>
        <w:suppressAutoHyphens w:val="0"/>
        <w:spacing w:after="160" w:line="259" w:lineRule="auto"/>
        <w:contextualSpacing/>
        <w:jc w:val="left"/>
      </w:pPr>
      <w:r>
        <w:t>Razrađeno u poglavlju 3.4.4.</w:t>
      </w:r>
    </w:p>
    <w:p w14:paraId="020A558D" w14:textId="77777777" w:rsidR="00641C0F" w:rsidRDefault="00641C0F" w:rsidP="00641C0F">
      <w:pPr>
        <w:suppressAutoHyphens w:val="0"/>
        <w:spacing w:after="160" w:line="259" w:lineRule="auto"/>
        <w:contextualSpacing/>
        <w:jc w:val="left"/>
      </w:pPr>
    </w:p>
    <w:p w14:paraId="21921D82" w14:textId="0D3E97E4" w:rsidR="00C21988" w:rsidRDefault="00C21988" w:rsidP="005822F8">
      <w:pPr>
        <w:pStyle w:val="ListParagraph"/>
        <w:numPr>
          <w:ilvl w:val="0"/>
          <w:numId w:val="39"/>
        </w:numPr>
        <w:tabs>
          <w:tab w:val="clear" w:pos="431"/>
        </w:tabs>
        <w:suppressAutoHyphens w:val="0"/>
        <w:spacing w:after="160" w:line="259" w:lineRule="auto"/>
        <w:contextualSpacing/>
        <w:jc w:val="left"/>
      </w:pPr>
      <w:r>
        <w:t xml:space="preserve">Opis mjera za omogućavanje i razvijanje upravljanja potrošnjom, uključujući one koje se odnose na tarife za poticanje dinamičnog određivanja cijena </w:t>
      </w:r>
    </w:p>
    <w:p w14:paraId="3705BC3D" w14:textId="77777777" w:rsidR="00AE5419" w:rsidRDefault="00AE5419" w:rsidP="00DB7DF8">
      <w:pPr>
        <w:pStyle w:val="ListParagraph"/>
      </w:pPr>
    </w:p>
    <w:p w14:paraId="5FA7DD7C" w14:textId="2B00CF76" w:rsidR="00641C0F" w:rsidRPr="00576F47" w:rsidRDefault="00641C0F" w:rsidP="00641C0F">
      <w:pPr>
        <w:suppressAutoHyphens w:val="0"/>
        <w:spacing w:after="160" w:line="259" w:lineRule="auto"/>
        <w:contextualSpacing/>
        <w:jc w:val="left"/>
        <w:rPr>
          <w:u w:val="single"/>
        </w:rPr>
      </w:pPr>
      <w:r w:rsidRPr="00576F47">
        <w:rPr>
          <w:u w:val="single"/>
        </w:rPr>
        <w:t xml:space="preserve">UET </w:t>
      </w:r>
      <w:r w:rsidR="00B04479">
        <w:rPr>
          <w:u w:val="single"/>
        </w:rPr>
        <w:t>4</w:t>
      </w:r>
      <w:r w:rsidRPr="00576F47">
        <w:rPr>
          <w:u w:val="single"/>
        </w:rPr>
        <w:t>: Razrada regulatornog okvira za aktivno sudjelovanje kupaca na tržištu električne energije</w:t>
      </w:r>
    </w:p>
    <w:p w14:paraId="45E8C9DE" w14:textId="77777777" w:rsidR="00641C0F" w:rsidRPr="00576F47" w:rsidRDefault="00641C0F" w:rsidP="00641C0F">
      <w:pPr>
        <w:suppressAutoHyphens w:val="0"/>
        <w:spacing w:after="160" w:line="259" w:lineRule="auto"/>
        <w:contextualSpacing/>
        <w:jc w:val="left"/>
        <w:rPr>
          <w:u w:val="single"/>
        </w:rPr>
      </w:pPr>
    </w:p>
    <w:p w14:paraId="0E95321A" w14:textId="77777777" w:rsidR="00641C0F" w:rsidRDefault="00641C0F" w:rsidP="00F223A2">
      <w:pPr>
        <w:suppressAutoHyphens w:val="0"/>
        <w:spacing w:after="160" w:line="259" w:lineRule="auto"/>
        <w:contextualSpacing/>
      </w:pPr>
      <w:r>
        <w:t xml:space="preserve">Provest će se analiza </w:t>
      </w:r>
      <w:r w:rsidRPr="00641C0F">
        <w:t>potencijala za pružanje pomoćnih usluga i usluga fleksibilnosti odzivom potrošnje kod korisnika mreže</w:t>
      </w:r>
      <w:r>
        <w:t>. Definirat će se način pružanja usluga od krajnjih kupaca te na odgovarajući način izmijeniti i dopuniti regulatorni okvir, poglavito kroz uvođenje agregatora kao tržišnog sudionika</w:t>
      </w:r>
    </w:p>
    <w:p w14:paraId="3555C8D1" w14:textId="77777777" w:rsidR="00AE5419" w:rsidRDefault="00AE5419" w:rsidP="00DB7DF8">
      <w:pPr>
        <w:suppressAutoHyphens w:val="0"/>
        <w:spacing w:after="160" w:line="259" w:lineRule="auto"/>
        <w:contextualSpacing/>
        <w:jc w:val="left"/>
      </w:pPr>
    </w:p>
    <w:p w14:paraId="7D82C2DD" w14:textId="77777777" w:rsidR="00C21988" w:rsidRDefault="00C21988" w:rsidP="00302043">
      <w:pPr>
        <w:pStyle w:val="Heading3"/>
      </w:pPr>
      <w:bookmarkStart w:id="343" w:name="_Toc531935163"/>
      <w:bookmarkStart w:id="344" w:name="_Toc531945113"/>
      <w:r>
        <w:t>Energetsko siromaštvo</w:t>
      </w:r>
      <w:bookmarkEnd w:id="343"/>
      <w:bookmarkEnd w:id="344"/>
    </w:p>
    <w:p w14:paraId="1C7A92CC" w14:textId="77777777" w:rsidR="00C21988" w:rsidRDefault="00C21988" w:rsidP="005822F8">
      <w:pPr>
        <w:pStyle w:val="ListParagraph"/>
        <w:numPr>
          <w:ilvl w:val="0"/>
          <w:numId w:val="40"/>
        </w:numPr>
        <w:tabs>
          <w:tab w:val="clear" w:pos="431"/>
        </w:tabs>
        <w:suppressAutoHyphens w:val="0"/>
        <w:spacing w:after="160" w:line="259" w:lineRule="auto"/>
        <w:contextualSpacing/>
        <w:jc w:val="left"/>
      </w:pPr>
      <w:r>
        <w:t>Ako je primjenjivo, politike i mjere za ostvarivanje ciljeva iz odjeljka 2.4.4.</w:t>
      </w:r>
    </w:p>
    <w:p w14:paraId="383126AD" w14:textId="3C488B53" w:rsidR="006A427C" w:rsidRDefault="006A427C" w:rsidP="006A427C">
      <w:r>
        <w:t>Kako bi se ostvarili ciljevi iz odjeljka 2.4.4., u razdoblju od 2021. do 2030. godine provodit će se sljedeć</w:t>
      </w:r>
      <w:r w:rsidR="00F2577A">
        <w:t>a</w:t>
      </w:r>
      <w:r>
        <w:t xml:space="preserve"> mjer</w:t>
      </w:r>
      <w:r w:rsidR="00F2577A">
        <w:t>a</w:t>
      </w:r>
      <w:r>
        <w:t>:</w:t>
      </w:r>
    </w:p>
    <w:p w14:paraId="334492E0" w14:textId="46785AAD" w:rsidR="00F2577A" w:rsidRPr="00DB7DF8" w:rsidRDefault="006A427C" w:rsidP="006A427C">
      <w:pPr>
        <w:rPr>
          <w:u w:val="single"/>
        </w:rPr>
      </w:pPr>
      <w:r w:rsidRPr="00DB7DF8">
        <w:rPr>
          <w:u w:val="single"/>
        </w:rPr>
        <w:t>UET</w:t>
      </w:r>
      <w:r w:rsidR="00641C0F" w:rsidRPr="00DB7DF8">
        <w:rPr>
          <w:u w:val="single"/>
        </w:rPr>
        <w:t>-</w:t>
      </w:r>
      <w:r w:rsidR="00B04479" w:rsidRPr="00DB7DF8">
        <w:rPr>
          <w:u w:val="single"/>
        </w:rPr>
        <w:t>5</w:t>
      </w:r>
      <w:r w:rsidRPr="00DB7DF8">
        <w:rPr>
          <w:u w:val="single"/>
        </w:rPr>
        <w:t>:</w:t>
      </w:r>
      <w:r w:rsidR="004654CF" w:rsidRPr="00DB7DF8">
        <w:rPr>
          <w:u w:val="single"/>
        </w:rPr>
        <w:tab/>
        <w:t>Prove</w:t>
      </w:r>
      <w:r w:rsidR="007145ED">
        <w:rPr>
          <w:u w:val="single"/>
        </w:rPr>
        <w:t>d</w:t>
      </w:r>
      <w:r w:rsidR="004654CF" w:rsidRPr="00DB7DF8">
        <w:rPr>
          <w:u w:val="single"/>
        </w:rPr>
        <w:t>ba Programa suzbijanja energetsk</w:t>
      </w:r>
      <w:r w:rsidR="00682831">
        <w:rPr>
          <w:u w:val="single"/>
        </w:rPr>
        <w:t>og</w:t>
      </w:r>
      <w:r w:rsidR="004654CF" w:rsidRPr="00DB7DF8">
        <w:rPr>
          <w:u w:val="single"/>
        </w:rPr>
        <w:t xml:space="preserve"> </w:t>
      </w:r>
      <w:r w:rsidR="00682831">
        <w:rPr>
          <w:u w:val="single"/>
        </w:rPr>
        <w:t>siromaštva</w:t>
      </w:r>
    </w:p>
    <w:p w14:paraId="7CC24305" w14:textId="6464C0B6" w:rsidR="00615BB2" w:rsidRDefault="004654CF" w:rsidP="00615BB2">
      <w:r>
        <w:t>U okviru Programa suzbijanja energetske učinkovitosti, na</w:t>
      </w:r>
      <w:r w:rsidR="007D7B4A">
        <w:t>s</w:t>
      </w:r>
      <w:r>
        <w:t>tavit će se s izgradnjom kapaciteta putem lokalnih info-centara te će se energetski siromašnim građanima kao i građanima u riziku od energetskog siromaštva osigurati adekva</w:t>
      </w:r>
      <w:r w:rsidR="007D7B4A">
        <w:t>t</w:t>
      </w:r>
      <w:r>
        <w:t>ne informacije i savjeti</w:t>
      </w:r>
      <w:r w:rsidR="001017E9">
        <w:t xml:space="preserve">, </w:t>
      </w:r>
      <w:r w:rsidR="006A427C">
        <w:t xml:space="preserve">o mjerama energetske učinkovitosti koje doprinose suzbijanju energetskog siromaštva, kao i o mogućnostima sufinanciranja aktivnosti na tom polju. Time će se doprinijeti ublažavanju energetskog siromaštva i stupnja ugroženosti njime te potaknuti korištenje dostupnih sredstava, iz ESI i nacionalnih izvora. </w:t>
      </w:r>
      <w:r w:rsidR="001017E9">
        <w:t>Nadalje, i</w:t>
      </w:r>
      <w:r w:rsidR="006A427C">
        <w:t xml:space="preserve">dentificirat će se indikatori nužni za </w:t>
      </w:r>
      <w:r w:rsidR="00615BB2">
        <w:t>praćenje energetskog siromaštva te će se u</w:t>
      </w:r>
      <w:r w:rsidR="006A427C" w:rsidRPr="006A427C">
        <w:t>spostavit</w:t>
      </w:r>
      <w:r w:rsidR="00615BB2">
        <w:t>i</w:t>
      </w:r>
      <w:r w:rsidR="006A427C">
        <w:t xml:space="preserve"> </w:t>
      </w:r>
      <w:r w:rsidR="006A427C" w:rsidRPr="006A427C">
        <w:t>sustav</w:t>
      </w:r>
      <w:r w:rsidR="00615BB2">
        <w:t xml:space="preserve"> njihovog</w:t>
      </w:r>
      <w:r w:rsidR="006A427C" w:rsidRPr="006A427C">
        <w:t xml:space="preserve"> praćenja, kroz već postojeći sustav prikupljanja podataka o potrošnji i navikama kućanstava (Državni zavod za statistiku)</w:t>
      </w:r>
      <w:r w:rsidR="00615BB2">
        <w:t>.</w:t>
      </w:r>
      <w:r w:rsidR="006A427C" w:rsidRPr="006A427C">
        <w:t xml:space="preserve"> </w:t>
      </w:r>
      <w:r w:rsidR="00615BB2">
        <w:t>Na temelju podataka analizirat će se</w:t>
      </w:r>
      <w:r w:rsidR="006A427C" w:rsidRPr="006A427C">
        <w:t xml:space="preserve"> moguće proširenje kriterija za stjecanje statusa ugroženih kupaca energije</w:t>
      </w:r>
      <w:r w:rsidR="00615BB2">
        <w:t>.</w:t>
      </w:r>
      <w:r w:rsidR="00BB5FE8">
        <w:t xml:space="preserve"> Također, sufinancirat će se provedba </w:t>
      </w:r>
      <w:r w:rsidR="006A427C">
        <w:t>mjera energetske učinkovitosti u energetski siromašnim kućanstvima</w:t>
      </w:r>
      <w:r w:rsidR="00BB5FE8">
        <w:t>, primjerice z</w:t>
      </w:r>
      <w:r w:rsidR="00615BB2">
        <w:t>amjena kućanskih uređaja po sistemu „staro za novo“</w:t>
      </w:r>
      <w:r w:rsidR="00BB5FE8">
        <w:t>, u</w:t>
      </w:r>
      <w:r w:rsidR="00615BB2">
        <w:t>naprjeđenje ili zamjena sustava grijanja (poboljšanja učinkovitosti sustava grijanja i zamjene energenata (naročito električne energije i loživog ulja) okolišno, ekonomski i energetski povoljnijima, a poglavito sustavima koji koriste obnovljive izvore energije</w:t>
      </w:r>
      <w:r w:rsidR="00BB5FE8">
        <w:t xml:space="preserve"> te provedba drugih tehničkih mjera </w:t>
      </w:r>
      <w:r w:rsidR="004206E0">
        <w:t xml:space="preserve">energetske </w:t>
      </w:r>
      <w:r w:rsidR="00615BB2">
        <w:t>učinkovitosti</w:t>
      </w:r>
      <w:r w:rsidR="004206E0">
        <w:t>. Programom će se detaljno razraditi naveden</w:t>
      </w:r>
      <w:r w:rsidR="0099487A">
        <w:t>e mjere te prema potrebi osmislite druge mjere.</w:t>
      </w:r>
    </w:p>
    <w:p w14:paraId="2E090033" w14:textId="77777777" w:rsidR="00C21988" w:rsidRDefault="00C21988" w:rsidP="00C21988">
      <w:pPr>
        <w:pStyle w:val="Heading2"/>
      </w:pPr>
      <w:bookmarkStart w:id="345" w:name="_Toc531935164"/>
      <w:bookmarkStart w:id="346" w:name="_Toc531945114"/>
      <w:r>
        <w:t>Dimenzija: istraživanje, inovacije i konkurentnost</w:t>
      </w:r>
      <w:bookmarkEnd w:id="345"/>
      <w:bookmarkEnd w:id="346"/>
    </w:p>
    <w:p w14:paraId="2A597886" w14:textId="123B88E0" w:rsidR="00C21988" w:rsidRDefault="00C21988" w:rsidP="00CF2D4C">
      <w:pPr>
        <w:pStyle w:val="Heading3"/>
      </w:pPr>
      <w:bookmarkStart w:id="347" w:name="_Toc531935165"/>
      <w:bookmarkStart w:id="348" w:name="_Toc531945115"/>
      <w:r>
        <w:t>Politike i mjere koje se odnose na elemente iz odjeljka 2.5.</w:t>
      </w:r>
      <w:bookmarkEnd w:id="347"/>
      <w:bookmarkEnd w:id="348"/>
    </w:p>
    <w:p w14:paraId="63920E91" w14:textId="645A745D" w:rsidR="00A12BF6" w:rsidRDefault="00A12BF6" w:rsidP="003C2B02">
      <w:pPr>
        <w:suppressAutoHyphens w:val="0"/>
        <w:spacing w:after="160" w:line="259" w:lineRule="auto"/>
        <w:contextualSpacing/>
        <w:jc w:val="left"/>
      </w:pPr>
    </w:p>
    <w:p w14:paraId="7D2F035A" w14:textId="106DE9B6" w:rsidR="003C2B02" w:rsidRDefault="003C2B02" w:rsidP="003C2B02">
      <w:pPr>
        <w:suppressAutoHyphens w:val="0"/>
        <w:spacing w:after="160" w:line="259" w:lineRule="auto"/>
        <w:contextualSpacing/>
      </w:pPr>
      <w:r w:rsidRPr="003C2B02">
        <w:t>U tijeku je izrada Nacionalne razvojne strategije za razdoblje do 2030. godine koja će postaviti krovne strateške ciljeve i ključna područja intervencije za područje energije i održivog okoliša do 2030. godine</w:t>
      </w:r>
      <w:r w:rsidR="00B61D29">
        <w:t xml:space="preserve">. Sve </w:t>
      </w:r>
      <w:r w:rsidR="00A3076B">
        <w:t xml:space="preserve">razvojne strategije i planovi morat će biti </w:t>
      </w:r>
      <w:r w:rsidR="00A45BB5">
        <w:t>u skladu s krovnom nacionalnom razvojnom strategijom.</w:t>
      </w:r>
    </w:p>
    <w:p w14:paraId="33B95089" w14:textId="675357C2" w:rsidR="00A45BB5" w:rsidRDefault="00A45BB5" w:rsidP="003C2B02">
      <w:pPr>
        <w:suppressAutoHyphens w:val="0"/>
        <w:spacing w:after="160" w:line="259" w:lineRule="auto"/>
        <w:contextualSpacing/>
      </w:pPr>
    </w:p>
    <w:p w14:paraId="035A8BF7" w14:textId="13E643FD" w:rsidR="00A45BB5" w:rsidRDefault="00A45BB5" w:rsidP="003C2B02">
      <w:pPr>
        <w:suppressAutoHyphens w:val="0"/>
        <w:spacing w:after="160" w:line="259" w:lineRule="auto"/>
        <w:contextualSpacing/>
      </w:pPr>
      <w:r>
        <w:t xml:space="preserve">U kontekstu istraživanja, inovacija i konkurentnosti </w:t>
      </w:r>
      <w:r w:rsidR="00357092">
        <w:t xml:space="preserve">očekuje se kako će najvažnija mjera biti </w:t>
      </w:r>
    </w:p>
    <w:p w14:paraId="03CB0061" w14:textId="77777777" w:rsidR="00EF4591" w:rsidRDefault="00EF4591" w:rsidP="003C2B02">
      <w:pPr>
        <w:suppressAutoHyphens w:val="0"/>
        <w:spacing w:after="160" w:line="259" w:lineRule="auto"/>
        <w:contextualSpacing/>
      </w:pPr>
    </w:p>
    <w:p w14:paraId="7A2CE9DA" w14:textId="63ABA316" w:rsidR="00357092" w:rsidRDefault="00357092" w:rsidP="00CF2D4C">
      <w:pPr>
        <w:suppressAutoHyphens w:val="0"/>
        <w:spacing w:after="160" w:line="259" w:lineRule="auto"/>
        <w:contextualSpacing/>
      </w:pPr>
      <w:r w:rsidRPr="00CF2D4C">
        <w:rPr>
          <w:u w:val="single"/>
        </w:rPr>
        <w:t xml:space="preserve">IIK-1: Poticanje istraživanja i razvoja tehnologija čiste energije i </w:t>
      </w:r>
      <w:r w:rsidR="00EF4591">
        <w:rPr>
          <w:u w:val="single"/>
        </w:rPr>
        <w:t>n</w:t>
      </w:r>
      <w:r w:rsidRPr="00CF2D4C">
        <w:rPr>
          <w:u w:val="single"/>
        </w:rPr>
        <w:t>iskougljičnih tehnologija</w:t>
      </w:r>
    </w:p>
    <w:p w14:paraId="457177E8" w14:textId="22BD98AD" w:rsidR="00C21988" w:rsidRDefault="00C21988" w:rsidP="00CF2D4C">
      <w:pPr>
        <w:pStyle w:val="Heading3"/>
      </w:pPr>
      <w:bookmarkStart w:id="349" w:name="_Toc531935166"/>
      <w:bookmarkStart w:id="350" w:name="_Toc531945116"/>
      <w:r>
        <w:t>Suradnja s drugim državama članicama u ovom području, uključujući informacije o tome kako se ciljevi i politike Strateškog plana za energetsku tehnologiju (SET) prenose u nacionalni kontekst</w:t>
      </w:r>
      <w:bookmarkEnd w:id="349"/>
      <w:bookmarkEnd w:id="350"/>
      <w:r>
        <w:t xml:space="preserve"> </w:t>
      </w:r>
    </w:p>
    <w:p w14:paraId="3B408BA8" w14:textId="5E96DA92" w:rsidR="00470A1E" w:rsidRDefault="00C8555C" w:rsidP="006C3D9A">
      <w:pPr>
        <w:suppressAutoHyphens w:val="0"/>
        <w:spacing w:after="160" w:line="259" w:lineRule="auto"/>
        <w:contextualSpacing/>
      </w:pPr>
      <w:r w:rsidRPr="00C8555C">
        <w:t>RH je u upravljačku skupinu SET plana uključena od 2015. godine</w:t>
      </w:r>
      <w:r w:rsidR="00B54DF8">
        <w:t xml:space="preserve"> te pokriva svih deset ključnih aktivnosti. </w:t>
      </w:r>
      <w:r w:rsidR="00E24FE9">
        <w:t xml:space="preserve">Poveznica između aktivnosti SET-plana na europskoj i nacionalnoj razini osigurat će se pokretanjem tematskih radnih skupina sastavljenih od predstavnika tijela državne uprave, </w:t>
      </w:r>
      <w:r w:rsidR="00113364">
        <w:t xml:space="preserve">znanstveno-istraživačkog i komercijalnog sektora. </w:t>
      </w:r>
    </w:p>
    <w:p w14:paraId="15E95474" w14:textId="76A2F69F" w:rsidR="00E13CF2" w:rsidRDefault="00E13CF2" w:rsidP="006C3D9A">
      <w:pPr>
        <w:suppressAutoHyphens w:val="0"/>
        <w:spacing w:after="160" w:line="259" w:lineRule="auto"/>
        <w:contextualSpacing/>
      </w:pPr>
    </w:p>
    <w:p w14:paraId="64DC2347" w14:textId="31F7F4D7" w:rsidR="00E13CF2" w:rsidRPr="00CF2D4C" w:rsidRDefault="00E13CF2" w:rsidP="00CF2D4C">
      <w:pPr>
        <w:suppressAutoHyphens w:val="0"/>
        <w:spacing w:after="160" w:line="259" w:lineRule="auto"/>
        <w:contextualSpacing/>
        <w:rPr>
          <w:u w:val="single"/>
        </w:rPr>
      </w:pPr>
      <w:r w:rsidRPr="00CF2D4C">
        <w:rPr>
          <w:u w:val="single"/>
        </w:rPr>
        <w:t>IIK-2:</w:t>
      </w:r>
      <w:r w:rsidRPr="00CF2D4C">
        <w:rPr>
          <w:u w:val="single"/>
        </w:rPr>
        <w:tab/>
      </w:r>
      <w:r w:rsidR="00483D4C">
        <w:rPr>
          <w:u w:val="single"/>
        </w:rPr>
        <w:t>T</w:t>
      </w:r>
      <w:r w:rsidRPr="00CF2D4C">
        <w:rPr>
          <w:u w:val="single"/>
        </w:rPr>
        <w:t>ematsk</w:t>
      </w:r>
      <w:r w:rsidR="00483D4C">
        <w:rPr>
          <w:u w:val="single"/>
        </w:rPr>
        <w:t>e</w:t>
      </w:r>
      <w:r w:rsidRPr="00CF2D4C">
        <w:rPr>
          <w:u w:val="single"/>
        </w:rPr>
        <w:t xml:space="preserve"> radn</w:t>
      </w:r>
      <w:r w:rsidR="00483D4C">
        <w:rPr>
          <w:u w:val="single"/>
        </w:rPr>
        <w:t>e</w:t>
      </w:r>
      <w:r w:rsidRPr="00CF2D4C">
        <w:rPr>
          <w:u w:val="single"/>
        </w:rPr>
        <w:t xml:space="preserve"> skupin</w:t>
      </w:r>
      <w:r w:rsidR="00483D4C">
        <w:rPr>
          <w:u w:val="single"/>
        </w:rPr>
        <w:t>e</w:t>
      </w:r>
      <w:r w:rsidRPr="00CF2D4C">
        <w:rPr>
          <w:u w:val="single"/>
        </w:rPr>
        <w:t xml:space="preserve"> </w:t>
      </w:r>
      <w:r>
        <w:rPr>
          <w:u w:val="single"/>
        </w:rPr>
        <w:t>za</w:t>
      </w:r>
      <w:r w:rsidRPr="00CF2D4C">
        <w:rPr>
          <w:u w:val="single"/>
        </w:rPr>
        <w:t xml:space="preserve"> ključn</w:t>
      </w:r>
      <w:r>
        <w:rPr>
          <w:u w:val="single"/>
        </w:rPr>
        <w:t>e</w:t>
      </w:r>
      <w:r w:rsidRPr="00CF2D4C">
        <w:rPr>
          <w:u w:val="single"/>
        </w:rPr>
        <w:t xml:space="preserve"> aktivnosti SET-plana</w:t>
      </w:r>
    </w:p>
    <w:p w14:paraId="2D11E735" w14:textId="5C4BF5F1" w:rsidR="00C21988" w:rsidRDefault="00C21988" w:rsidP="00CF2D4C">
      <w:pPr>
        <w:pStyle w:val="Heading3"/>
      </w:pPr>
      <w:bookmarkStart w:id="351" w:name="_Toc531935167"/>
      <w:bookmarkStart w:id="352" w:name="_Toc531945117"/>
      <w:r>
        <w:t>Financijske mjere u ovom području na nacionalnoj razini, uključujući potporu EU-a i upotrebu sredstava EU-a</w:t>
      </w:r>
      <w:bookmarkEnd w:id="351"/>
      <w:bookmarkEnd w:id="352"/>
    </w:p>
    <w:p w14:paraId="22DFB39F" w14:textId="13FF617C" w:rsidR="00C21988" w:rsidRDefault="002E4BAF" w:rsidP="00C21988">
      <w:r>
        <w:t>U izradi.</w:t>
      </w:r>
    </w:p>
    <w:p w14:paraId="7AFAACA8" w14:textId="77777777" w:rsidR="00C21988" w:rsidRDefault="00C21988" w:rsidP="00C21988"/>
    <w:p w14:paraId="7DBE9752" w14:textId="77777777" w:rsidR="00C21988" w:rsidRDefault="00C21988" w:rsidP="00C21988"/>
    <w:p w14:paraId="28696E08" w14:textId="4971D5EE" w:rsidR="00C21988" w:rsidRDefault="00C21988">
      <w:pPr>
        <w:suppressAutoHyphens w:val="0"/>
        <w:spacing w:before="0" w:after="0" w:line="240" w:lineRule="auto"/>
        <w:jc w:val="left"/>
      </w:pPr>
      <w:r>
        <w:br w:type="page"/>
      </w:r>
    </w:p>
    <w:p w14:paraId="4FE301C8" w14:textId="77777777" w:rsidR="00C21988" w:rsidRDefault="00C21988" w:rsidP="00C21988">
      <w:pPr>
        <w:rPr>
          <w:rFonts w:cs="Arial"/>
          <w:b/>
          <w:color w:val="BE1D2D"/>
          <w:sz w:val="40"/>
          <w:szCs w:val="40"/>
        </w:rPr>
      </w:pPr>
    </w:p>
    <w:p w14:paraId="52C82E25" w14:textId="77777777" w:rsidR="00C21988" w:rsidRDefault="00C21988" w:rsidP="00C21988">
      <w:pPr>
        <w:rPr>
          <w:rFonts w:cs="Arial"/>
          <w:b/>
          <w:color w:val="BE1D2D"/>
          <w:sz w:val="40"/>
          <w:szCs w:val="40"/>
        </w:rPr>
      </w:pPr>
    </w:p>
    <w:p w14:paraId="649F2F22" w14:textId="77777777" w:rsidR="00C21988" w:rsidRDefault="00C21988" w:rsidP="00C21988">
      <w:pPr>
        <w:rPr>
          <w:rFonts w:cs="Arial"/>
          <w:b/>
          <w:color w:val="BE1D2D"/>
          <w:sz w:val="40"/>
          <w:szCs w:val="40"/>
        </w:rPr>
      </w:pPr>
    </w:p>
    <w:p w14:paraId="49E0288E" w14:textId="4B9B1B60" w:rsidR="00C21988" w:rsidRPr="004D5C6B" w:rsidRDefault="00C21988" w:rsidP="00C21988">
      <w:pPr>
        <w:rPr>
          <w:rFonts w:cs="Arial"/>
          <w:b/>
          <w:color w:val="BE1D2D"/>
          <w:sz w:val="40"/>
          <w:szCs w:val="40"/>
        </w:rPr>
      </w:pPr>
      <w:r w:rsidRPr="004D5C6B">
        <w:rPr>
          <w:rFonts w:cs="Arial"/>
          <w:b/>
          <w:color w:val="BE1D2D"/>
          <w:sz w:val="40"/>
          <w:szCs w:val="40"/>
        </w:rPr>
        <w:t xml:space="preserve">ODJELJAK </w:t>
      </w:r>
      <w:r>
        <w:rPr>
          <w:rFonts w:cs="Arial"/>
          <w:b/>
          <w:color w:val="BE1D2D"/>
          <w:sz w:val="40"/>
          <w:szCs w:val="40"/>
        </w:rPr>
        <w:t>B</w:t>
      </w:r>
      <w:r w:rsidRPr="004D5C6B">
        <w:rPr>
          <w:rFonts w:cs="Arial"/>
          <w:b/>
          <w:color w:val="BE1D2D"/>
          <w:sz w:val="40"/>
          <w:szCs w:val="40"/>
        </w:rPr>
        <w:t xml:space="preserve">: </w:t>
      </w:r>
      <w:r w:rsidRPr="00C21988">
        <w:rPr>
          <w:rFonts w:cs="Arial"/>
          <w:b/>
          <w:color w:val="BE1D2D"/>
          <w:sz w:val="40"/>
          <w:szCs w:val="40"/>
        </w:rPr>
        <w:t>ANALITIČKA OSNOVA</w:t>
      </w:r>
    </w:p>
    <w:p w14:paraId="2F28EB98" w14:textId="1876166E" w:rsidR="00C21988" w:rsidRDefault="00C21988">
      <w:pPr>
        <w:suppressAutoHyphens w:val="0"/>
        <w:spacing w:before="0" w:after="0" w:line="240" w:lineRule="auto"/>
        <w:jc w:val="left"/>
      </w:pPr>
      <w:r>
        <w:br w:type="page"/>
      </w:r>
    </w:p>
    <w:p w14:paraId="12C1119B" w14:textId="4D3D8C87" w:rsidR="00C21988" w:rsidRPr="00E534AA" w:rsidRDefault="00C21988" w:rsidP="00C21988">
      <w:pPr>
        <w:pStyle w:val="Heading1"/>
      </w:pPr>
      <w:bookmarkStart w:id="353" w:name="_Toc531935168"/>
      <w:bookmarkStart w:id="354" w:name="_Toc531945118"/>
      <w:r w:rsidRPr="00DB7DF8">
        <w:t>TRENUTAČNO STANJE I PROJEKCIJE NA TEMELJU POSTOJEĆIH POLITIKA I MJERA</w:t>
      </w:r>
      <w:bookmarkEnd w:id="353"/>
      <w:bookmarkEnd w:id="354"/>
      <w:r w:rsidR="00461782">
        <w:t xml:space="preserve"> </w:t>
      </w:r>
    </w:p>
    <w:p w14:paraId="13CD1E62" w14:textId="77777777" w:rsidR="00C21988" w:rsidRDefault="00C21988" w:rsidP="00C21988">
      <w:pPr>
        <w:pStyle w:val="Heading2"/>
      </w:pPr>
      <w:bookmarkStart w:id="355" w:name="_Toc531935169"/>
      <w:bookmarkStart w:id="356" w:name="_Toc531945119"/>
      <w:r>
        <w:t>Predviđeni razvoj glavnih egzogenih čimbenika koji utječu na energetski sustav i trendove u pogledu emisija stakleničkih plinova</w:t>
      </w:r>
      <w:bookmarkEnd w:id="355"/>
      <w:bookmarkEnd w:id="356"/>
      <w:r>
        <w:t xml:space="preserve"> </w:t>
      </w:r>
    </w:p>
    <w:p w14:paraId="3F135C7C" w14:textId="77777777" w:rsidR="00C21988" w:rsidRDefault="00C21988" w:rsidP="00C21988"/>
    <w:p w14:paraId="64CFD471" w14:textId="77777777" w:rsidR="00DB7A62" w:rsidRPr="00DB7A62" w:rsidRDefault="00C21988" w:rsidP="00DB7A62">
      <w:r>
        <w:t>Najvažniji čimbenici koji utječu na energetski sustav i trendove u pogledu emisija stakleničkih plinova su demografska i gospodarska kretanja.</w:t>
      </w:r>
    </w:p>
    <w:p w14:paraId="1415D343" w14:textId="2090A2A6" w:rsidR="00C21988" w:rsidRDefault="009450F5" w:rsidP="00C21988">
      <w:r w:rsidRPr="00462AD9">
        <w:t>Broj i sastav stanovništva prema različitim demografskim i socio-gospodarskim obilježjima čini temeljnu odrednicu sadašnjeg i predvidivog društvenog i gospodarskog rasta i razvoja. Za usmjeravanje ukupnog razvoja neophodno je poznavati broj, dinamiku i prostorni razmještaj stanovništva prema različitim demografskim i gospodarskim obilježjima. Također, valja naglasiti da je stanovništvo temeljni čimbenik koji svojom aktivnošću mijenja društvene, gospodarske, socijalne, kulturne, psihološke i druge uvjete razvoja. Osobito je važno imati u vidu činjenicu da su demografski procesi po svojoj naravi dugoročni, koliko u nastajanju, toliko i po budućim učincima.</w:t>
      </w:r>
      <w:r w:rsidR="00E065F5">
        <w:t xml:space="preserve"> Ovdje su prikazane projekcije broja stanovnika </w:t>
      </w:r>
      <w:r w:rsidR="001E78AC">
        <w:t>korištene</w:t>
      </w:r>
      <w:r w:rsidR="00E065F5">
        <w:t xml:space="preserve"> za potrebe </w:t>
      </w:r>
      <w:r w:rsidR="00002DA3">
        <w:t>izrade</w:t>
      </w:r>
      <w:r w:rsidR="00E065F5">
        <w:t xml:space="preserve"> </w:t>
      </w:r>
      <w:r w:rsidR="00002DA3">
        <w:t>podloga Energetske strategije [</w:t>
      </w:r>
      <w:r w:rsidR="006B47A2">
        <w:fldChar w:fldCharType="begin"/>
      </w:r>
      <w:r w:rsidR="006B47A2">
        <w:instrText xml:space="preserve"> REF _Ref531867919 \r \h </w:instrText>
      </w:r>
      <w:r w:rsidR="006B47A2">
        <w:fldChar w:fldCharType="separate"/>
      </w:r>
      <w:r w:rsidR="00E5423A">
        <w:t>16</w:t>
      </w:r>
      <w:r w:rsidR="006B47A2">
        <w:fldChar w:fldCharType="end"/>
      </w:r>
      <w:r w:rsidR="00002DA3">
        <w:t>].</w:t>
      </w:r>
      <w:r w:rsidR="0060129F">
        <w:t xml:space="preserve"> </w:t>
      </w:r>
      <w:r w:rsidR="006A3C63">
        <w:t>Projekcije su napravljene za tri varijante (niska, srednja i visoka), p</w:t>
      </w:r>
      <w:r w:rsidR="00C21988">
        <w:t xml:space="preserve">rognoze demografskih kretanja </w:t>
      </w:r>
      <w:r w:rsidR="006A3C63">
        <w:t>za sve tri varijante</w:t>
      </w:r>
      <w:r w:rsidR="00C21988">
        <w:t xml:space="preserve"> prikazuje</w:t>
      </w:r>
      <w:r w:rsidR="0060129F">
        <w:t xml:space="preserve"> </w:t>
      </w:r>
      <w:r w:rsidR="0060129F">
        <w:fldChar w:fldCharType="begin"/>
      </w:r>
      <w:r w:rsidR="0060129F">
        <w:instrText xml:space="preserve"> REF _Ref531868039 \h </w:instrText>
      </w:r>
      <w:r w:rsidR="0060129F">
        <w:fldChar w:fldCharType="separate"/>
      </w:r>
      <w:r w:rsidR="00E5423A">
        <w:t xml:space="preserve">Slika </w:t>
      </w:r>
      <w:r w:rsidR="00E5423A">
        <w:rPr>
          <w:noProof/>
        </w:rPr>
        <w:t>4</w:t>
      </w:r>
      <w:r w:rsidR="00E5423A">
        <w:noBreakHyphen/>
      </w:r>
      <w:r w:rsidR="00E5423A">
        <w:rPr>
          <w:noProof/>
        </w:rPr>
        <w:t>1</w:t>
      </w:r>
      <w:r w:rsidR="0060129F">
        <w:fldChar w:fldCharType="end"/>
      </w:r>
      <w:r w:rsidR="00C21988">
        <w:t>.</w:t>
      </w:r>
    </w:p>
    <w:p w14:paraId="24566D82" w14:textId="77777777" w:rsidR="00C21988" w:rsidRDefault="00C21988" w:rsidP="00C21988">
      <w:r w:rsidRPr="005600F5">
        <w:rPr>
          <w:noProof/>
        </w:rPr>
        <w:drawing>
          <wp:inline distT="0" distB="0" distL="0" distR="0" wp14:anchorId="19BAB8ED" wp14:editId="2B552B99">
            <wp:extent cx="5760720" cy="3521075"/>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521075"/>
                    </a:xfrm>
                    <a:prstGeom prst="rect">
                      <a:avLst/>
                    </a:prstGeom>
                    <a:noFill/>
                    <a:ln>
                      <a:noFill/>
                    </a:ln>
                  </pic:spPr>
                </pic:pic>
              </a:graphicData>
            </a:graphic>
          </wp:inline>
        </w:drawing>
      </w:r>
    </w:p>
    <w:p w14:paraId="22B3E899" w14:textId="178C63B5" w:rsidR="00C21988" w:rsidRDefault="0060129F" w:rsidP="00CF2D4C">
      <w:pPr>
        <w:pStyle w:val="Caption"/>
      </w:pPr>
      <w:bookmarkStart w:id="357" w:name="_Ref531868039"/>
      <w:bookmarkStart w:id="358" w:name="_Toc531935291"/>
      <w:r>
        <w:t xml:space="preserve">Slika </w:t>
      </w:r>
      <w:fldSimple w:instr=" STYLEREF 1 \s ">
        <w:r w:rsidR="00856D97">
          <w:rPr>
            <w:noProof/>
          </w:rPr>
          <w:t>4</w:t>
        </w:r>
      </w:fldSimple>
      <w:r w:rsidR="00856D97">
        <w:noBreakHyphen/>
      </w:r>
      <w:fldSimple w:instr=" SEQ Slika \* ARABIC \s 1 ">
        <w:r w:rsidR="00856D97">
          <w:rPr>
            <w:noProof/>
          </w:rPr>
          <w:t>1</w:t>
        </w:r>
      </w:fldSimple>
      <w:bookmarkEnd w:id="357"/>
      <w:r w:rsidR="00A87274">
        <w:t xml:space="preserve"> </w:t>
      </w:r>
      <w:r w:rsidR="006A3C63" w:rsidRPr="006A3C63">
        <w:t>Projekcija broja stanovnika u RH do 2050. godine za tri varijante</w:t>
      </w:r>
      <w:bookmarkEnd w:id="358"/>
    </w:p>
    <w:p w14:paraId="6AEEFD49" w14:textId="3F58935E" w:rsidR="004040BA" w:rsidRPr="004040BA" w:rsidRDefault="001B2FB4" w:rsidP="004040BA">
      <w:r>
        <w:t xml:space="preserve">Također, za potrebe izrade podloga Energetske strategije </w:t>
      </w:r>
      <w:r w:rsidR="005F496B">
        <w:t>i</w:t>
      </w:r>
      <w:r w:rsidR="005F496B" w:rsidRPr="005F496B">
        <w:t>zrađene su</w:t>
      </w:r>
      <w:r w:rsidR="005F496B">
        <w:t xml:space="preserve"> i</w:t>
      </w:r>
      <w:r w:rsidR="005F496B" w:rsidRPr="005F496B">
        <w:t xml:space="preserve"> projekcije gospodarskih kretanja u razdoblju do 2050. godine. Aktivnosti predviđene projektnim zadatkom obuhvaćaju izradu projekcije bruto domaćeg proizvoda (BDP, engl. GDP) i bruto dodane vrijednosti (BDV, engl. GVA) Republike Hrvatske po sektorima djelatnosti: industrija, poljoprivreda, transport, hoteli i restorani, ostale usluge i kućanstva</w:t>
      </w:r>
      <w:r w:rsidR="00086B0E">
        <w:t>.</w:t>
      </w:r>
    </w:p>
    <w:p w14:paraId="01EAB053" w14:textId="590F36A3" w:rsidR="002B0F87" w:rsidRPr="002B0F87" w:rsidRDefault="006366D4" w:rsidP="002B0F87">
      <w:r w:rsidRPr="006366D4">
        <w:t xml:space="preserve">Korištenjem demografskih projekcija koje podrazumijevaju srednju dinamiku kretanja stanovništva, </w:t>
      </w:r>
      <w:r w:rsidR="00D13806">
        <w:t>izrađene su projekcije porasta BDP-a za baznu i rastuću produktivnost (</w:t>
      </w:r>
      <w:r w:rsidR="003204EE">
        <w:fldChar w:fldCharType="begin"/>
      </w:r>
      <w:r w:rsidR="003204EE">
        <w:instrText xml:space="preserve"> REF _Ref531868951 \h </w:instrText>
      </w:r>
      <w:r w:rsidR="003204EE">
        <w:fldChar w:fldCharType="separate"/>
      </w:r>
      <w:r w:rsidR="00E5423A">
        <w:t xml:space="preserve">Slika </w:t>
      </w:r>
      <w:r w:rsidR="00E5423A">
        <w:rPr>
          <w:noProof/>
        </w:rPr>
        <w:t>4</w:t>
      </w:r>
      <w:r w:rsidR="00E5423A">
        <w:noBreakHyphen/>
      </w:r>
      <w:r w:rsidR="00E5423A">
        <w:rPr>
          <w:noProof/>
        </w:rPr>
        <w:t>2</w:t>
      </w:r>
      <w:r w:rsidR="003204EE">
        <w:fldChar w:fldCharType="end"/>
      </w:r>
      <w:r w:rsidR="00D13806">
        <w:t>).</w:t>
      </w:r>
    </w:p>
    <w:p w14:paraId="76606EC1" w14:textId="66CD6D67" w:rsidR="00D13806" w:rsidRDefault="00173DE9" w:rsidP="00C21988">
      <w:r w:rsidRPr="00462AD9">
        <w:rPr>
          <w:noProof/>
        </w:rPr>
        <w:drawing>
          <wp:inline distT="0" distB="0" distL="0" distR="0" wp14:anchorId="71EAFA62" wp14:editId="5E946601">
            <wp:extent cx="5758180" cy="3669030"/>
            <wp:effectExtent l="0" t="0" r="0" b="7620"/>
            <wp:docPr id="1520171665" name="Picture 152017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58180" cy="3669030"/>
                    </a:xfrm>
                    <a:prstGeom prst="rect">
                      <a:avLst/>
                    </a:prstGeom>
                    <a:noFill/>
                    <a:ln>
                      <a:noFill/>
                    </a:ln>
                  </pic:spPr>
                </pic:pic>
              </a:graphicData>
            </a:graphic>
          </wp:inline>
        </w:drawing>
      </w:r>
    </w:p>
    <w:p w14:paraId="50872EC3" w14:textId="5FF16EE8" w:rsidR="003204EE" w:rsidRPr="00462AD9" w:rsidRDefault="003204EE" w:rsidP="00CF2D4C">
      <w:pPr>
        <w:pStyle w:val="Caption"/>
      </w:pPr>
      <w:bookmarkStart w:id="359" w:name="_Ref531868951"/>
      <w:bookmarkStart w:id="360" w:name="_Toc528672937"/>
      <w:bookmarkStart w:id="361" w:name="_Toc531935292"/>
      <w:r>
        <w:t xml:space="preserve">Slika </w:t>
      </w:r>
      <w:fldSimple w:instr=" STYLEREF 1 \s ">
        <w:r w:rsidR="00856D97">
          <w:rPr>
            <w:noProof/>
          </w:rPr>
          <w:t>4</w:t>
        </w:r>
      </w:fldSimple>
      <w:r w:rsidR="00856D97">
        <w:noBreakHyphen/>
      </w:r>
      <w:fldSimple w:instr=" SEQ Slika \* ARABIC \s 1 ">
        <w:r w:rsidR="00856D97">
          <w:rPr>
            <w:noProof/>
          </w:rPr>
          <w:t>2</w:t>
        </w:r>
      </w:fldSimple>
      <w:bookmarkEnd w:id="359"/>
      <w:r w:rsidRPr="00462AD9">
        <w:t>. Projekcija BDP-a temeljem srednjih demografskih projekcija (za baznu i rastuću</w:t>
      </w:r>
      <w:r w:rsidR="009F688B">
        <w:t xml:space="preserve"> </w:t>
      </w:r>
      <w:r w:rsidRPr="00462AD9">
        <w:t>produktivnost)</w:t>
      </w:r>
      <w:bookmarkEnd w:id="360"/>
      <w:bookmarkEnd w:id="361"/>
    </w:p>
    <w:p w14:paraId="70FD895E" w14:textId="77777777" w:rsidR="003204EE" w:rsidRPr="00462AD9" w:rsidRDefault="003204EE" w:rsidP="003204EE">
      <w:r w:rsidRPr="00462AD9">
        <w:t>Scenarij konvergencije omogućava Hrvatskoj da u određenoj mjeri smanji jaz u razvijenosti prema drugim članicama EU, iako ni ta brzina ne osigurava dostizanje prosjeka EU. Ipak konvergencija TFP-a omogućuje hvatanje priključka s novim člancima koje su već prošle razdoblje transformacije gospodarstva i za većinu kojih se očekuje da će do kraja projiciranog razdoblja biti na razini razvijenosti od oko 90 % prosjeka EU28.</w:t>
      </w:r>
    </w:p>
    <w:p w14:paraId="31BE340A" w14:textId="7D031B19" w:rsidR="003204EE" w:rsidRPr="00462AD9" w:rsidRDefault="003204EE" w:rsidP="00CF2D4C">
      <w:pPr>
        <w:pStyle w:val="Caption"/>
      </w:pPr>
      <w:bookmarkStart w:id="362" w:name="_Toc528673079"/>
      <w:bookmarkStart w:id="363" w:name="_Toc531935350"/>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w:t>
      </w:r>
      <w:r w:rsidR="00B22048">
        <w:rPr>
          <w:noProof/>
        </w:rPr>
        <w:fldChar w:fldCharType="end"/>
      </w:r>
      <w:r w:rsidR="00A87274">
        <w:t xml:space="preserve"> </w:t>
      </w:r>
      <w:r w:rsidRPr="00462AD9">
        <w:t>Projekcije ekonomskih parametara temeljem srednjih demografskih projekcija</w:t>
      </w:r>
      <w:bookmarkEnd w:id="362"/>
      <w:bookmarkEnd w:id="363"/>
    </w:p>
    <w:tbl>
      <w:tblPr>
        <w:tblW w:w="8768" w:type="dxa"/>
        <w:jc w:val="center"/>
        <w:tblCellMar>
          <w:left w:w="57" w:type="dxa"/>
          <w:right w:w="57" w:type="dxa"/>
        </w:tblCellMar>
        <w:tblLook w:val="04A0" w:firstRow="1" w:lastRow="0" w:firstColumn="1" w:lastColumn="0" w:noHBand="0" w:noVBand="1"/>
      </w:tblPr>
      <w:tblGrid>
        <w:gridCol w:w="3615"/>
        <w:gridCol w:w="1110"/>
        <w:gridCol w:w="1035"/>
        <w:gridCol w:w="1095"/>
        <w:gridCol w:w="975"/>
        <w:gridCol w:w="938"/>
      </w:tblGrid>
      <w:tr w:rsidR="003204EE" w:rsidRPr="00462AD9" w14:paraId="6FD26289" w14:textId="77777777" w:rsidTr="003204EE">
        <w:trPr>
          <w:trHeight w:val="285"/>
          <w:tblHeader/>
          <w:jc w:val="center"/>
        </w:trPr>
        <w:tc>
          <w:tcPr>
            <w:tcW w:w="3615" w:type="dxa"/>
            <w:tcBorders>
              <w:top w:val="single" w:sz="12" w:space="0" w:color="auto"/>
              <w:left w:val="single" w:sz="12" w:space="0" w:color="auto"/>
              <w:bottom w:val="single" w:sz="8" w:space="0" w:color="auto"/>
              <w:right w:val="single" w:sz="8" w:space="0" w:color="auto"/>
            </w:tcBorders>
            <w:shd w:val="clear" w:color="auto" w:fill="auto"/>
            <w:noWrap/>
            <w:hideMark/>
          </w:tcPr>
          <w:p w14:paraId="68DF2305" w14:textId="77777777" w:rsidR="003204EE" w:rsidRPr="00462AD9" w:rsidRDefault="003204EE" w:rsidP="003204EE">
            <w:pPr>
              <w:keepNext/>
              <w:spacing w:before="0" w:after="0"/>
              <w:rPr>
                <w:rFonts w:cs="Arial"/>
                <w:b/>
                <w:sz w:val="20"/>
                <w:szCs w:val="20"/>
              </w:rPr>
            </w:pPr>
          </w:p>
        </w:tc>
        <w:tc>
          <w:tcPr>
            <w:tcW w:w="1110" w:type="dxa"/>
            <w:tcBorders>
              <w:top w:val="single" w:sz="12" w:space="0" w:color="auto"/>
              <w:left w:val="nil"/>
              <w:bottom w:val="single" w:sz="8" w:space="0" w:color="auto"/>
              <w:right w:val="single" w:sz="8" w:space="0" w:color="auto"/>
            </w:tcBorders>
            <w:shd w:val="clear" w:color="auto" w:fill="auto"/>
            <w:noWrap/>
            <w:vAlign w:val="center"/>
            <w:hideMark/>
          </w:tcPr>
          <w:p w14:paraId="534F6A48"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2016.</w:t>
            </w:r>
          </w:p>
        </w:tc>
        <w:tc>
          <w:tcPr>
            <w:tcW w:w="1035" w:type="dxa"/>
            <w:tcBorders>
              <w:top w:val="single" w:sz="12" w:space="0" w:color="auto"/>
              <w:left w:val="nil"/>
              <w:bottom w:val="single" w:sz="8" w:space="0" w:color="auto"/>
              <w:right w:val="single" w:sz="8" w:space="0" w:color="auto"/>
            </w:tcBorders>
            <w:shd w:val="clear" w:color="auto" w:fill="auto"/>
            <w:noWrap/>
            <w:vAlign w:val="center"/>
            <w:hideMark/>
          </w:tcPr>
          <w:p w14:paraId="28AD227A"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2020.</w:t>
            </w:r>
          </w:p>
        </w:tc>
        <w:tc>
          <w:tcPr>
            <w:tcW w:w="1095" w:type="dxa"/>
            <w:tcBorders>
              <w:top w:val="single" w:sz="12" w:space="0" w:color="auto"/>
              <w:left w:val="nil"/>
              <w:bottom w:val="single" w:sz="8" w:space="0" w:color="auto"/>
              <w:right w:val="single" w:sz="8" w:space="0" w:color="auto"/>
            </w:tcBorders>
            <w:shd w:val="clear" w:color="auto" w:fill="auto"/>
            <w:noWrap/>
            <w:vAlign w:val="center"/>
            <w:hideMark/>
          </w:tcPr>
          <w:p w14:paraId="15105F64"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2030.</w:t>
            </w:r>
          </w:p>
        </w:tc>
        <w:tc>
          <w:tcPr>
            <w:tcW w:w="975" w:type="dxa"/>
            <w:tcBorders>
              <w:top w:val="single" w:sz="12" w:space="0" w:color="auto"/>
              <w:left w:val="nil"/>
              <w:bottom w:val="single" w:sz="8" w:space="0" w:color="auto"/>
              <w:right w:val="single" w:sz="8" w:space="0" w:color="auto"/>
            </w:tcBorders>
            <w:shd w:val="clear" w:color="auto" w:fill="auto"/>
            <w:noWrap/>
            <w:vAlign w:val="center"/>
            <w:hideMark/>
          </w:tcPr>
          <w:p w14:paraId="3028343B"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2040.</w:t>
            </w:r>
          </w:p>
        </w:tc>
        <w:tc>
          <w:tcPr>
            <w:tcW w:w="938" w:type="dxa"/>
            <w:tcBorders>
              <w:top w:val="single" w:sz="12" w:space="0" w:color="auto"/>
              <w:left w:val="nil"/>
              <w:bottom w:val="single" w:sz="8" w:space="0" w:color="auto"/>
              <w:right w:val="single" w:sz="12" w:space="0" w:color="auto"/>
            </w:tcBorders>
            <w:shd w:val="clear" w:color="auto" w:fill="auto"/>
            <w:noWrap/>
            <w:vAlign w:val="center"/>
            <w:hideMark/>
          </w:tcPr>
          <w:p w14:paraId="1168780E"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2050.</w:t>
            </w:r>
          </w:p>
        </w:tc>
      </w:tr>
      <w:tr w:rsidR="003204EE" w:rsidRPr="00462AD9" w14:paraId="2D801CE3"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51B1D79" w14:textId="77777777" w:rsidR="003204EE" w:rsidRPr="00462AD9" w:rsidRDefault="003204EE" w:rsidP="003204EE">
            <w:pPr>
              <w:keepNext/>
              <w:spacing w:before="0" w:after="0"/>
              <w:rPr>
                <w:rFonts w:cs="Arial"/>
                <w:sz w:val="20"/>
                <w:szCs w:val="20"/>
              </w:rPr>
            </w:pPr>
          </w:p>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14:paraId="2C46A6F7"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Bazna produktivnost</w:t>
            </w:r>
          </w:p>
        </w:tc>
      </w:tr>
      <w:tr w:rsidR="003204EE" w:rsidRPr="00462AD9" w14:paraId="55E5697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26E0EB10" w14:textId="77777777" w:rsidR="003204EE" w:rsidRPr="00462AD9" w:rsidRDefault="003204EE" w:rsidP="003204EE">
            <w:pPr>
              <w:keepNext/>
              <w:spacing w:before="0" w:after="0"/>
              <w:jc w:val="left"/>
              <w:rPr>
                <w:rFonts w:cs="Arial"/>
                <w:sz w:val="20"/>
                <w:szCs w:val="20"/>
              </w:rPr>
            </w:pPr>
            <w:r w:rsidRPr="00462AD9">
              <w:rPr>
                <w:rFonts w:cs="Arial"/>
                <w:sz w:val="20"/>
                <w:szCs w:val="20"/>
              </w:rPr>
              <w:t>BDP, stalne cijene 2010., milijuni HRK</w:t>
            </w:r>
          </w:p>
        </w:tc>
        <w:tc>
          <w:tcPr>
            <w:tcW w:w="1110" w:type="dxa"/>
            <w:tcBorders>
              <w:top w:val="nil"/>
              <w:left w:val="nil"/>
              <w:bottom w:val="single" w:sz="8" w:space="0" w:color="auto"/>
              <w:right w:val="single" w:sz="8" w:space="0" w:color="auto"/>
            </w:tcBorders>
            <w:shd w:val="clear" w:color="auto" w:fill="auto"/>
            <w:noWrap/>
            <w:vAlign w:val="center"/>
            <w:hideMark/>
          </w:tcPr>
          <w:p w14:paraId="1DA679F0" w14:textId="77777777" w:rsidR="003204EE" w:rsidRPr="00462AD9" w:rsidRDefault="003204EE" w:rsidP="003204EE">
            <w:pPr>
              <w:keepNext/>
              <w:spacing w:before="0" w:after="0"/>
              <w:jc w:val="center"/>
              <w:rPr>
                <w:rFonts w:cs="Arial"/>
                <w:sz w:val="20"/>
                <w:szCs w:val="20"/>
              </w:rPr>
            </w:pPr>
            <w:r w:rsidRPr="00462AD9">
              <w:rPr>
                <w:rFonts w:cs="Arial"/>
                <w:sz w:val="20"/>
                <w:szCs w:val="20"/>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16A0BDB6" w14:textId="77777777" w:rsidR="003204EE" w:rsidRPr="00462AD9" w:rsidRDefault="003204EE" w:rsidP="003204EE">
            <w:pPr>
              <w:keepNext/>
              <w:spacing w:before="0" w:after="0"/>
              <w:jc w:val="center"/>
              <w:rPr>
                <w:rFonts w:cs="Arial"/>
                <w:sz w:val="20"/>
                <w:szCs w:val="20"/>
              </w:rPr>
            </w:pPr>
            <w:r w:rsidRPr="00462AD9">
              <w:rPr>
                <w:rFonts w:cs="Arial"/>
                <w:sz w:val="20"/>
                <w:szCs w:val="20"/>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2F9ABA92" w14:textId="77777777" w:rsidR="003204EE" w:rsidRPr="00462AD9" w:rsidRDefault="003204EE" w:rsidP="003204EE">
            <w:pPr>
              <w:keepNext/>
              <w:spacing w:before="0" w:after="0"/>
              <w:jc w:val="center"/>
              <w:rPr>
                <w:rFonts w:cs="Arial"/>
                <w:sz w:val="20"/>
                <w:szCs w:val="20"/>
              </w:rPr>
            </w:pPr>
            <w:r w:rsidRPr="00462AD9">
              <w:rPr>
                <w:rFonts w:cs="Arial"/>
                <w:sz w:val="20"/>
                <w:szCs w:val="20"/>
              </w:rPr>
              <w:t>408,987</w:t>
            </w:r>
          </w:p>
        </w:tc>
        <w:tc>
          <w:tcPr>
            <w:tcW w:w="975" w:type="dxa"/>
            <w:tcBorders>
              <w:top w:val="nil"/>
              <w:left w:val="nil"/>
              <w:bottom w:val="single" w:sz="8" w:space="0" w:color="auto"/>
              <w:right w:val="single" w:sz="8" w:space="0" w:color="auto"/>
            </w:tcBorders>
            <w:shd w:val="clear" w:color="auto" w:fill="auto"/>
            <w:noWrap/>
            <w:vAlign w:val="center"/>
            <w:hideMark/>
          </w:tcPr>
          <w:p w14:paraId="5DF44981" w14:textId="77777777" w:rsidR="003204EE" w:rsidRPr="00462AD9" w:rsidRDefault="003204EE" w:rsidP="003204EE">
            <w:pPr>
              <w:keepNext/>
              <w:spacing w:before="0" w:after="0"/>
              <w:jc w:val="center"/>
              <w:rPr>
                <w:rFonts w:cs="Arial"/>
                <w:sz w:val="20"/>
                <w:szCs w:val="20"/>
              </w:rPr>
            </w:pPr>
            <w:r w:rsidRPr="00462AD9">
              <w:rPr>
                <w:rFonts w:cs="Arial"/>
                <w:sz w:val="20"/>
                <w:szCs w:val="20"/>
              </w:rPr>
              <w:t>454,649</w:t>
            </w:r>
          </w:p>
        </w:tc>
        <w:tc>
          <w:tcPr>
            <w:tcW w:w="938" w:type="dxa"/>
            <w:tcBorders>
              <w:top w:val="nil"/>
              <w:left w:val="nil"/>
              <w:bottom w:val="single" w:sz="8" w:space="0" w:color="auto"/>
              <w:right w:val="single" w:sz="12" w:space="0" w:color="auto"/>
            </w:tcBorders>
            <w:shd w:val="clear" w:color="auto" w:fill="auto"/>
            <w:noWrap/>
            <w:vAlign w:val="center"/>
            <w:hideMark/>
          </w:tcPr>
          <w:p w14:paraId="7FB4CB3A" w14:textId="77777777" w:rsidR="003204EE" w:rsidRPr="00462AD9" w:rsidRDefault="003204EE" w:rsidP="003204EE">
            <w:pPr>
              <w:keepNext/>
              <w:spacing w:before="0" w:after="0"/>
              <w:jc w:val="center"/>
              <w:rPr>
                <w:rFonts w:cs="Arial"/>
                <w:sz w:val="20"/>
                <w:szCs w:val="20"/>
              </w:rPr>
            </w:pPr>
            <w:r w:rsidRPr="00462AD9">
              <w:rPr>
                <w:rFonts w:cs="Arial"/>
                <w:sz w:val="20"/>
                <w:szCs w:val="20"/>
              </w:rPr>
              <w:t>520,277</w:t>
            </w:r>
          </w:p>
        </w:tc>
      </w:tr>
      <w:tr w:rsidR="003204EE" w:rsidRPr="00462AD9" w14:paraId="5DD8650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D0B6ADE" w14:textId="77777777" w:rsidR="003204EE" w:rsidRPr="00462AD9" w:rsidRDefault="003204EE" w:rsidP="003204EE">
            <w:pPr>
              <w:keepNext/>
              <w:spacing w:before="0" w:after="0"/>
              <w:jc w:val="left"/>
              <w:rPr>
                <w:rFonts w:cs="Arial"/>
                <w:sz w:val="20"/>
                <w:szCs w:val="20"/>
              </w:rPr>
            </w:pPr>
            <w:r w:rsidRPr="00462AD9">
              <w:rPr>
                <w:rFonts w:cs="Arial"/>
                <w:sz w:val="20"/>
                <w:szCs w:val="20"/>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1A0FBDC9"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68F09A83" w14:textId="77777777" w:rsidR="003204EE" w:rsidRPr="00462AD9" w:rsidRDefault="003204EE" w:rsidP="003204EE">
            <w:pPr>
              <w:keepNext/>
              <w:spacing w:before="0" w:after="0"/>
              <w:jc w:val="center"/>
              <w:rPr>
                <w:rFonts w:cs="Arial"/>
                <w:sz w:val="20"/>
                <w:szCs w:val="20"/>
              </w:rPr>
            </w:pPr>
            <w:r w:rsidRPr="00462AD9">
              <w:rPr>
                <w:rFonts w:cs="Arial"/>
                <w:sz w:val="20"/>
                <w:szCs w:val="20"/>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71649344" w14:textId="77777777" w:rsidR="003204EE" w:rsidRPr="00462AD9" w:rsidRDefault="003204EE" w:rsidP="003204EE">
            <w:pPr>
              <w:keepNext/>
              <w:spacing w:before="0" w:after="0"/>
              <w:jc w:val="center"/>
              <w:rPr>
                <w:rFonts w:cs="Arial"/>
                <w:sz w:val="20"/>
                <w:szCs w:val="20"/>
              </w:rPr>
            </w:pPr>
            <w:r w:rsidRPr="00462AD9">
              <w:rPr>
                <w:rFonts w:cs="Arial"/>
                <w:sz w:val="20"/>
                <w:szCs w:val="20"/>
              </w:rPr>
              <w:t>121,8</w:t>
            </w:r>
          </w:p>
        </w:tc>
        <w:tc>
          <w:tcPr>
            <w:tcW w:w="975" w:type="dxa"/>
            <w:tcBorders>
              <w:top w:val="nil"/>
              <w:left w:val="nil"/>
              <w:bottom w:val="single" w:sz="8" w:space="0" w:color="auto"/>
              <w:right w:val="single" w:sz="8" w:space="0" w:color="auto"/>
            </w:tcBorders>
            <w:shd w:val="clear" w:color="auto" w:fill="auto"/>
            <w:noWrap/>
            <w:vAlign w:val="center"/>
            <w:hideMark/>
          </w:tcPr>
          <w:p w14:paraId="3A728553" w14:textId="77777777" w:rsidR="003204EE" w:rsidRPr="00462AD9" w:rsidRDefault="003204EE" w:rsidP="003204EE">
            <w:pPr>
              <w:keepNext/>
              <w:spacing w:before="0" w:after="0"/>
              <w:jc w:val="center"/>
              <w:rPr>
                <w:rFonts w:cs="Arial"/>
                <w:sz w:val="20"/>
                <w:szCs w:val="20"/>
              </w:rPr>
            </w:pPr>
            <w:r w:rsidRPr="00462AD9">
              <w:rPr>
                <w:rFonts w:cs="Arial"/>
                <w:sz w:val="20"/>
                <w:szCs w:val="20"/>
              </w:rPr>
              <w:t>135,4</w:t>
            </w:r>
          </w:p>
        </w:tc>
        <w:tc>
          <w:tcPr>
            <w:tcW w:w="938" w:type="dxa"/>
            <w:tcBorders>
              <w:top w:val="nil"/>
              <w:left w:val="nil"/>
              <w:bottom w:val="single" w:sz="8" w:space="0" w:color="auto"/>
              <w:right w:val="single" w:sz="12" w:space="0" w:color="auto"/>
            </w:tcBorders>
            <w:shd w:val="clear" w:color="auto" w:fill="auto"/>
            <w:noWrap/>
            <w:vAlign w:val="center"/>
            <w:hideMark/>
          </w:tcPr>
          <w:p w14:paraId="5671911A" w14:textId="77777777" w:rsidR="003204EE" w:rsidRPr="00462AD9" w:rsidRDefault="003204EE" w:rsidP="003204EE">
            <w:pPr>
              <w:keepNext/>
              <w:spacing w:before="0" w:after="0"/>
              <w:jc w:val="center"/>
              <w:rPr>
                <w:rFonts w:cs="Arial"/>
                <w:sz w:val="20"/>
                <w:szCs w:val="20"/>
              </w:rPr>
            </w:pPr>
            <w:r w:rsidRPr="00462AD9">
              <w:rPr>
                <w:rFonts w:cs="Arial"/>
                <w:sz w:val="20"/>
                <w:szCs w:val="20"/>
              </w:rPr>
              <w:t>154,9</w:t>
            </w:r>
          </w:p>
        </w:tc>
      </w:tr>
      <w:tr w:rsidR="003204EE" w:rsidRPr="00462AD9" w14:paraId="3AAB10D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1A82ABC"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stalne cijene 2010., tisuća HRK</w:t>
            </w:r>
          </w:p>
        </w:tc>
        <w:tc>
          <w:tcPr>
            <w:tcW w:w="1110" w:type="dxa"/>
            <w:tcBorders>
              <w:top w:val="nil"/>
              <w:left w:val="nil"/>
              <w:bottom w:val="single" w:sz="8" w:space="0" w:color="auto"/>
              <w:right w:val="single" w:sz="8" w:space="0" w:color="auto"/>
            </w:tcBorders>
            <w:shd w:val="clear" w:color="auto" w:fill="auto"/>
            <w:noWrap/>
            <w:vAlign w:val="center"/>
            <w:hideMark/>
          </w:tcPr>
          <w:p w14:paraId="3B7C57CC" w14:textId="77777777" w:rsidR="003204EE" w:rsidRPr="00462AD9" w:rsidRDefault="003204EE" w:rsidP="003204EE">
            <w:pPr>
              <w:keepNext/>
              <w:spacing w:before="0" w:after="0"/>
              <w:jc w:val="center"/>
              <w:rPr>
                <w:rFonts w:cs="Arial"/>
                <w:sz w:val="20"/>
                <w:szCs w:val="20"/>
              </w:rPr>
            </w:pPr>
            <w:r w:rsidRPr="00462AD9">
              <w:rPr>
                <w:rFonts w:cs="Arial"/>
                <w:sz w:val="20"/>
                <w:szCs w:val="20"/>
              </w:rPr>
              <w:t>82</w:t>
            </w:r>
          </w:p>
        </w:tc>
        <w:tc>
          <w:tcPr>
            <w:tcW w:w="1035" w:type="dxa"/>
            <w:tcBorders>
              <w:top w:val="nil"/>
              <w:left w:val="nil"/>
              <w:bottom w:val="single" w:sz="8" w:space="0" w:color="auto"/>
              <w:right w:val="single" w:sz="8" w:space="0" w:color="auto"/>
            </w:tcBorders>
            <w:shd w:val="clear" w:color="auto" w:fill="auto"/>
            <w:noWrap/>
            <w:vAlign w:val="center"/>
            <w:hideMark/>
          </w:tcPr>
          <w:p w14:paraId="2C40FD5C" w14:textId="77777777" w:rsidR="003204EE" w:rsidRPr="00462AD9" w:rsidRDefault="003204EE" w:rsidP="003204EE">
            <w:pPr>
              <w:keepNext/>
              <w:spacing w:before="0" w:after="0"/>
              <w:jc w:val="center"/>
              <w:rPr>
                <w:rFonts w:cs="Arial"/>
                <w:sz w:val="20"/>
                <w:szCs w:val="20"/>
              </w:rPr>
            </w:pPr>
            <w:r w:rsidRPr="00462AD9">
              <w:rPr>
                <w:rFonts w:cs="Arial"/>
                <w:sz w:val="20"/>
                <w:szCs w:val="20"/>
              </w:rPr>
              <w:t>94</w:t>
            </w:r>
          </w:p>
        </w:tc>
        <w:tc>
          <w:tcPr>
            <w:tcW w:w="1095" w:type="dxa"/>
            <w:tcBorders>
              <w:top w:val="nil"/>
              <w:left w:val="nil"/>
              <w:bottom w:val="single" w:sz="8" w:space="0" w:color="auto"/>
              <w:right w:val="single" w:sz="8" w:space="0" w:color="auto"/>
            </w:tcBorders>
            <w:shd w:val="clear" w:color="auto" w:fill="auto"/>
            <w:noWrap/>
            <w:vAlign w:val="center"/>
            <w:hideMark/>
          </w:tcPr>
          <w:p w14:paraId="54447A81" w14:textId="77777777" w:rsidR="003204EE" w:rsidRPr="00462AD9" w:rsidRDefault="003204EE" w:rsidP="003204EE">
            <w:pPr>
              <w:keepNext/>
              <w:spacing w:before="0" w:after="0"/>
              <w:jc w:val="center"/>
              <w:rPr>
                <w:rFonts w:cs="Arial"/>
                <w:sz w:val="20"/>
                <w:szCs w:val="20"/>
              </w:rPr>
            </w:pPr>
            <w:r w:rsidRPr="00462AD9">
              <w:rPr>
                <w:rFonts w:cs="Arial"/>
                <w:sz w:val="20"/>
                <w:szCs w:val="20"/>
              </w:rPr>
              <w:t>109</w:t>
            </w:r>
          </w:p>
        </w:tc>
        <w:tc>
          <w:tcPr>
            <w:tcW w:w="975" w:type="dxa"/>
            <w:tcBorders>
              <w:top w:val="nil"/>
              <w:left w:val="nil"/>
              <w:bottom w:val="single" w:sz="8" w:space="0" w:color="auto"/>
              <w:right w:val="single" w:sz="8" w:space="0" w:color="auto"/>
            </w:tcBorders>
            <w:shd w:val="clear" w:color="auto" w:fill="auto"/>
            <w:noWrap/>
            <w:vAlign w:val="center"/>
            <w:hideMark/>
          </w:tcPr>
          <w:p w14:paraId="621C76A9" w14:textId="77777777" w:rsidR="003204EE" w:rsidRPr="00462AD9" w:rsidRDefault="003204EE" w:rsidP="003204EE">
            <w:pPr>
              <w:keepNext/>
              <w:spacing w:before="0" w:after="0"/>
              <w:jc w:val="center"/>
              <w:rPr>
                <w:rFonts w:cs="Arial"/>
                <w:sz w:val="20"/>
                <w:szCs w:val="20"/>
              </w:rPr>
            </w:pPr>
            <w:r w:rsidRPr="00462AD9">
              <w:rPr>
                <w:rFonts w:cs="Arial"/>
                <w:sz w:val="20"/>
                <w:szCs w:val="20"/>
              </w:rPr>
              <w:t>129</w:t>
            </w:r>
          </w:p>
        </w:tc>
        <w:tc>
          <w:tcPr>
            <w:tcW w:w="938" w:type="dxa"/>
            <w:tcBorders>
              <w:top w:val="nil"/>
              <w:left w:val="nil"/>
              <w:bottom w:val="single" w:sz="8" w:space="0" w:color="auto"/>
              <w:right w:val="single" w:sz="12" w:space="0" w:color="auto"/>
            </w:tcBorders>
            <w:shd w:val="clear" w:color="auto" w:fill="auto"/>
            <w:noWrap/>
            <w:vAlign w:val="center"/>
            <w:hideMark/>
          </w:tcPr>
          <w:p w14:paraId="79011C64" w14:textId="77777777" w:rsidR="003204EE" w:rsidRPr="00462AD9" w:rsidRDefault="003204EE" w:rsidP="003204EE">
            <w:pPr>
              <w:keepNext/>
              <w:spacing w:before="0" w:after="0"/>
              <w:jc w:val="center"/>
              <w:rPr>
                <w:rFonts w:cs="Arial"/>
                <w:sz w:val="20"/>
                <w:szCs w:val="20"/>
              </w:rPr>
            </w:pPr>
            <w:r w:rsidRPr="00462AD9">
              <w:rPr>
                <w:rFonts w:cs="Arial"/>
                <w:sz w:val="20"/>
                <w:szCs w:val="20"/>
              </w:rPr>
              <w:t>158</w:t>
            </w:r>
          </w:p>
        </w:tc>
      </w:tr>
      <w:tr w:rsidR="003204EE" w:rsidRPr="00462AD9" w14:paraId="5B37C50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FB26405"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09B3F214"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575AB012" w14:textId="77777777" w:rsidR="003204EE" w:rsidRPr="00462AD9" w:rsidRDefault="003204EE" w:rsidP="003204EE">
            <w:pPr>
              <w:keepNext/>
              <w:spacing w:before="0" w:after="0"/>
              <w:jc w:val="center"/>
              <w:rPr>
                <w:rFonts w:cs="Arial"/>
                <w:sz w:val="20"/>
                <w:szCs w:val="20"/>
              </w:rPr>
            </w:pPr>
            <w:r w:rsidRPr="00462AD9">
              <w:rPr>
                <w:rFonts w:cs="Arial"/>
                <w:sz w:val="20"/>
                <w:szCs w:val="20"/>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4D219554" w14:textId="77777777" w:rsidR="003204EE" w:rsidRPr="00462AD9" w:rsidRDefault="003204EE" w:rsidP="003204EE">
            <w:pPr>
              <w:keepNext/>
              <w:spacing w:before="0" w:after="0"/>
              <w:jc w:val="center"/>
              <w:rPr>
                <w:rFonts w:cs="Arial"/>
                <w:sz w:val="20"/>
                <w:szCs w:val="20"/>
              </w:rPr>
            </w:pPr>
            <w:r w:rsidRPr="00462AD9">
              <w:rPr>
                <w:rFonts w:cs="Arial"/>
                <w:sz w:val="20"/>
                <w:szCs w:val="20"/>
              </w:rPr>
              <w:t>132,9</w:t>
            </w:r>
          </w:p>
        </w:tc>
        <w:tc>
          <w:tcPr>
            <w:tcW w:w="975" w:type="dxa"/>
            <w:tcBorders>
              <w:top w:val="nil"/>
              <w:left w:val="nil"/>
              <w:bottom w:val="single" w:sz="8" w:space="0" w:color="auto"/>
              <w:right w:val="single" w:sz="8" w:space="0" w:color="auto"/>
            </w:tcBorders>
            <w:shd w:val="clear" w:color="auto" w:fill="auto"/>
            <w:noWrap/>
            <w:vAlign w:val="center"/>
            <w:hideMark/>
          </w:tcPr>
          <w:p w14:paraId="1C6A9BD9" w14:textId="77777777" w:rsidR="003204EE" w:rsidRPr="00462AD9" w:rsidRDefault="003204EE" w:rsidP="003204EE">
            <w:pPr>
              <w:keepNext/>
              <w:spacing w:before="0" w:after="0"/>
              <w:jc w:val="center"/>
              <w:rPr>
                <w:rFonts w:cs="Arial"/>
                <w:sz w:val="20"/>
                <w:szCs w:val="20"/>
              </w:rPr>
            </w:pPr>
            <w:r w:rsidRPr="00462AD9">
              <w:rPr>
                <w:rFonts w:cs="Arial"/>
                <w:sz w:val="20"/>
                <w:szCs w:val="20"/>
              </w:rPr>
              <w:t>157,1</w:t>
            </w:r>
          </w:p>
        </w:tc>
        <w:tc>
          <w:tcPr>
            <w:tcW w:w="938" w:type="dxa"/>
            <w:tcBorders>
              <w:top w:val="nil"/>
              <w:left w:val="nil"/>
              <w:bottom w:val="single" w:sz="8" w:space="0" w:color="auto"/>
              <w:right w:val="single" w:sz="12" w:space="0" w:color="auto"/>
            </w:tcBorders>
            <w:shd w:val="clear" w:color="auto" w:fill="auto"/>
            <w:noWrap/>
            <w:vAlign w:val="center"/>
            <w:hideMark/>
          </w:tcPr>
          <w:p w14:paraId="40E98FA0" w14:textId="77777777" w:rsidR="003204EE" w:rsidRPr="00462AD9" w:rsidRDefault="003204EE" w:rsidP="003204EE">
            <w:pPr>
              <w:keepNext/>
              <w:spacing w:before="0" w:after="0"/>
              <w:jc w:val="center"/>
              <w:rPr>
                <w:rFonts w:cs="Arial"/>
                <w:sz w:val="20"/>
                <w:szCs w:val="20"/>
              </w:rPr>
            </w:pPr>
            <w:r w:rsidRPr="00462AD9">
              <w:rPr>
                <w:rFonts w:cs="Arial"/>
                <w:sz w:val="20"/>
                <w:szCs w:val="20"/>
              </w:rPr>
              <w:t>192,7</w:t>
            </w:r>
          </w:p>
        </w:tc>
      </w:tr>
      <w:tr w:rsidR="003204EE" w:rsidRPr="00462AD9" w14:paraId="6518928E"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058E06C5" w14:textId="77777777" w:rsidR="003204EE" w:rsidRPr="00462AD9" w:rsidRDefault="003204EE" w:rsidP="003204EE">
            <w:pPr>
              <w:keepNext/>
              <w:spacing w:before="0" w:after="0"/>
              <w:jc w:val="left"/>
              <w:rPr>
                <w:rFonts w:cs="Arial"/>
                <w:sz w:val="20"/>
                <w:szCs w:val="20"/>
              </w:rPr>
            </w:pPr>
            <w:r w:rsidRPr="00462AD9">
              <w:rPr>
                <w:rFonts w:cs="Arial"/>
                <w:sz w:val="20"/>
                <w:szCs w:val="20"/>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34A65EA7" w14:textId="77777777" w:rsidR="003204EE" w:rsidRPr="00462AD9" w:rsidRDefault="003204EE" w:rsidP="003204EE">
            <w:pPr>
              <w:keepNext/>
              <w:spacing w:before="0" w:after="0"/>
              <w:jc w:val="center"/>
              <w:rPr>
                <w:rFonts w:cs="Arial"/>
                <w:sz w:val="20"/>
                <w:szCs w:val="20"/>
              </w:rPr>
            </w:pPr>
            <w:r w:rsidRPr="00462AD9">
              <w:rPr>
                <w:rFonts w:cs="Arial"/>
                <w:sz w:val="20"/>
                <w:szCs w:val="20"/>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6D89F126" w14:textId="77777777" w:rsidR="003204EE" w:rsidRPr="00462AD9" w:rsidRDefault="003204EE" w:rsidP="003204EE">
            <w:pPr>
              <w:keepNext/>
              <w:spacing w:before="0" w:after="0"/>
              <w:jc w:val="center"/>
              <w:rPr>
                <w:rFonts w:cs="Arial"/>
                <w:sz w:val="20"/>
                <w:szCs w:val="20"/>
              </w:rPr>
            </w:pPr>
            <w:r w:rsidRPr="00462AD9">
              <w:rPr>
                <w:rFonts w:cs="Arial"/>
                <w:sz w:val="20"/>
                <w:szCs w:val="20"/>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5FF53FC1" w14:textId="77777777" w:rsidR="003204EE" w:rsidRPr="00462AD9" w:rsidRDefault="003204EE" w:rsidP="003204EE">
            <w:pPr>
              <w:keepNext/>
              <w:spacing w:before="0" w:after="0"/>
              <w:jc w:val="center"/>
              <w:rPr>
                <w:rFonts w:cs="Arial"/>
                <w:sz w:val="20"/>
                <w:szCs w:val="20"/>
              </w:rPr>
            </w:pPr>
            <w:r w:rsidRPr="00462AD9">
              <w:rPr>
                <w:rFonts w:cs="Arial"/>
                <w:sz w:val="20"/>
                <w:szCs w:val="20"/>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5E9BC02E" w14:textId="77777777" w:rsidR="003204EE" w:rsidRPr="00462AD9" w:rsidRDefault="003204EE" w:rsidP="003204EE">
            <w:pPr>
              <w:keepNext/>
              <w:spacing w:before="0" w:after="0"/>
              <w:jc w:val="center"/>
              <w:rPr>
                <w:rFonts w:cs="Arial"/>
                <w:sz w:val="20"/>
                <w:szCs w:val="20"/>
              </w:rPr>
            </w:pPr>
            <w:r w:rsidRPr="00462AD9">
              <w:rPr>
                <w:rFonts w:cs="Arial"/>
                <w:sz w:val="20"/>
                <w:szCs w:val="20"/>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18288239" w14:textId="77777777" w:rsidR="003204EE" w:rsidRPr="00462AD9" w:rsidRDefault="003204EE" w:rsidP="003204EE">
            <w:pPr>
              <w:keepNext/>
              <w:spacing w:before="0" w:after="0"/>
              <w:jc w:val="center"/>
              <w:rPr>
                <w:rFonts w:cs="Arial"/>
                <w:sz w:val="20"/>
                <w:szCs w:val="20"/>
              </w:rPr>
            </w:pPr>
            <w:r w:rsidRPr="00462AD9">
              <w:rPr>
                <w:rFonts w:cs="Arial"/>
                <w:sz w:val="20"/>
                <w:szCs w:val="20"/>
              </w:rPr>
              <w:t>3,295</w:t>
            </w:r>
          </w:p>
        </w:tc>
      </w:tr>
      <w:tr w:rsidR="003204EE" w:rsidRPr="00462AD9" w14:paraId="100376C5"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ABB4738" w14:textId="77777777" w:rsidR="003204EE" w:rsidRPr="00462AD9" w:rsidRDefault="003204EE" w:rsidP="003204EE">
            <w:pPr>
              <w:keepNext/>
              <w:spacing w:before="0" w:after="0"/>
              <w:jc w:val="left"/>
              <w:rPr>
                <w:rFonts w:cs="Arial"/>
                <w:sz w:val="20"/>
                <w:szCs w:val="20"/>
              </w:rPr>
            </w:pPr>
            <w:r w:rsidRPr="00462AD9">
              <w:rPr>
                <w:rFonts w:cs="Arial"/>
                <w:sz w:val="20"/>
                <w:szCs w:val="20"/>
              </w:rPr>
              <w:t>Broj zaposlenih, konstantna aktivnost,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7DA83649" w14:textId="77777777" w:rsidR="003204EE" w:rsidRPr="00462AD9" w:rsidRDefault="003204EE" w:rsidP="003204EE">
            <w:pPr>
              <w:keepNext/>
              <w:spacing w:before="0" w:after="0"/>
              <w:jc w:val="center"/>
              <w:rPr>
                <w:rFonts w:cs="Arial"/>
                <w:sz w:val="20"/>
                <w:szCs w:val="20"/>
              </w:rPr>
            </w:pPr>
            <w:r w:rsidRPr="00462AD9">
              <w:rPr>
                <w:rFonts w:cs="Arial"/>
                <w:sz w:val="20"/>
                <w:szCs w:val="20"/>
              </w:rPr>
              <w:t>1,550</w:t>
            </w:r>
          </w:p>
        </w:tc>
        <w:tc>
          <w:tcPr>
            <w:tcW w:w="1035" w:type="dxa"/>
            <w:tcBorders>
              <w:top w:val="nil"/>
              <w:left w:val="nil"/>
              <w:bottom w:val="single" w:sz="8" w:space="0" w:color="auto"/>
              <w:right w:val="single" w:sz="8" w:space="0" w:color="auto"/>
            </w:tcBorders>
            <w:shd w:val="clear" w:color="auto" w:fill="auto"/>
            <w:noWrap/>
            <w:vAlign w:val="center"/>
            <w:hideMark/>
          </w:tcPr>
          <w:p w14:paraId="393793F8" w14:textId="77777777" w:rsidR="003204EE" w:rsidRPr="00462AD9" w:rsidRDefault="003204EE" w:rsidP="003204EE">
            <w:pPr>
              <w:keepNext/>
              <w:spacing w:before="0" w:after="0"/>
              <w:jc w:val="center"/>
              <w:rPr>
                <w:rFonts w:cs="Arial"/>
                <w:sz w:val="20"/>
                <w:szCs w:val="20"/>
              </w:rPr>
            </w:pPr>
            <w:r w:rsidRPr="00462AD9">
              <w:rPr>
                <w:rFonts w:cs="Arial"/>
                <w:sz w:val="20"/>
                <w:szCs w:val="20"/>
              </w:rPr>
              <w:t>1,559</w:t>
            </w:r>
          </w:p>
        </w:tc>
        <w:tc>
          <w:tcPr>
            <w:tcW w:w="1095" w:type="dxa"/>
            <w:tcBorders>
              <w:top w:val="nil"/>
              <w:left w:val="nil"/>
              <w:bottom w:val="single" w:sz="8" w:space="0" w:color="auto"/>
              <w:right w:val="single" w:sz="8" w:space="0" w:color="auto"/>
            </w:tcBorders>
            <w:shd w:val="clear" w:color="auto" w:fill="auto"/>
            <w:noWrap/>
            <w:vAlign w:val="center"/>
            <w:hideMark/>
          </w:tcPr>
          <w:p w14:paraId="243457E7" w14:textId="77777777" w:rsidR="003204EE" w:rsidRPr="00462AD9" w:rsidRDefault="003204EE" w:rsidP="003204EE">
            <w:pPr>
              <w:keepNext/>
              <w:spacing w:before="0" w:after="0"/>
              <w:jc w:val="center"/>
              <w:rPr>
                <w:rFonts w:cs="Arial"/>
                <w:sz w:val="20"/>
                <w:szCs w:val="20"/>
              </w:rPr>
            </w:pPr>
            <w:r w:rsidRPr="00462AD9">
              <w:rPr>
                <w:rFonts w:cs="Arial"/>
                <w:sz w:val="20"/>
                <w:szCs w:val="20"/>
              </w:rPr>
              <w:t>1,434</w:t>
            </w:r>
          </w:p>
        </w:tc>
        <w:tc>
          <w:tcPr>
            <w:tcW w:w="975" w:type="dxa"/>
            <w:tcBorders>
              <w:top w:val="nil"/>
              <w:left w:val="nil"/>
              <w:bottom w:val="single" w:sz="8" w:space="0" w:color="auto"/>
              <w:right w:val="single" w:sz="8" w:space="0" w:color="auto"/>
            </w:tcBorders>
            <w:shd w:val="clear" w:color="auto" w:fill="auto"/>
            <w:noWrap/>
            <w:vAlign w:val="center"/>
            <w:hideMark/>
          </w:tcPr>
          <w:p w14:paraId="071D0559" w14:textId="77777777" w:rsidR="003204EE" w:rsidRPr="00462AD9" w:rsidRDefault="003204EE" w:rsidP="003204EE">
            <w:pPr>
              <w:keepNext/>
              <w:spacing w:before="0" w:after="0"/>
              <w:jc w:val="center"/>
              <w:rPr>
                <w:rFonts w:cs="Arial"/>
                <w:sz w:val="20"/>
                <w:szCs w:val="20"/>
              </w:rPr>
            </w:pPr>
            <w:r w:rsidRPr="00462AD9">
              <w:rPr>
                <w:rFonts w:cs="Arial"/>
                <w:sz w:val="20"/>
                <w:szCs w:val="20"/>
              </w:rPr>
              <w:t>1,315</w:t>
            </w:r>
          </w:p>
        </w:tc>
        <w:tc>
          <w:tcPr>
            <w:tcW w:w="938" w:type="dxa"/>
            <w:tcBorders>
              <w:top w:val="nil"/>
              <w:left w:val="nil"/>
              <w:bottom w:val="single" w:sz="8" w:space="0" w:color="auto"/>
              <w:right w:val="single" w:sz="12" w:space="0" w:color="auto"/>
            </w:tcBorders>
            <w:shd w:val="clear" w:color="auto" w:fill="auto"/>
            <w:noWrap/>
            <w:vAlign w:val="center"/>
            <w:hideMark/>
          </w:tcPr>
          <w:p w14:paraId="7F62E54B" w14:textId="77777777" w:rsidR="003204EE" w:rsidRPr="00462AD9" w:rsidRDefault="003204EE" w:rsidP="003204EE">
            <w:pPr>
              <w:keepNext/>
              <w:spacing w:before="0" w:after="0"/>
              <w:jc w:val="center"/>
              <w:rPr>
                <w:rFonts w:cs="Arial"/>
                <w:sz w:val="20"/>
                <w:szCs w:val="20"/>
              </w:rPr>
            </w:pPr>
            <w:r w:rsidRPr="00462AD9">
              <w:rPr>
                <w:rFonts w:cs="Arial"/>
                <w:sz w:val="20"/>
                <w:szCs w:val="20"/>
              </w:rPr>
              <w:t>1,191</w:t>
            </w:r>
          </w:p>
        </w:tc>
      </w:tr>
      <w:tr w:rsidR="003204EE" w:rsidRPr="00462AD9" w14:paraId="0BF4D64A"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FF0153E" w14:textId="77777777" w:rsidR="003204EE" w:rsidRPr="00462AD9" w:rsidRDefault="003204EE" w:rsidP="003204EE">
            <w:pPr>
              <w:keepNext/>
              <w:spacing w:before="0" w:after="0"/>
              <w:jc w:val="left"/>
              <w:rPr>
                <w:rFonts w:cs="Arial"/>
                <w:sz w:val="20"/>
                <w:szCs w:val="20"/>
              </w:rPr>
            </w:pPr>
          </w:p>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14:paraId="686BD5C5"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 xml:space="preserve">Konvergencija produktivnosti </w:t>
            </w:r>
          </w:p>
        </w:tc>
      </w:tr>
      <w:tr w:rsidR="003204EE" w:rsidRPr="00462AD9" w14:paraId="57FFF7A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ACD81B1" w14:textId="77777777" w:rsidR="003204EE" w:rsidRPr="00462AD9" w:rsidRDefault="003204EE" w:rsidP="003204EE">
            <w:pPr>
              <w:keepNext/>
              <w:spacing w:before="0" w:after="0"/>
              <w:jc w:val="left"/>
              <w:rPr>
                <w:rFonts w:cs="Arial"/>
                <w:sz w:val="20"/>
                <w:szCs w:val="20"/>
              </w:rPr>
            </w:pPr>
            <w:r w:rsidRPr="00462AD9">
              <w:rPr>
                <w:rFonts w:cs="Arial"/>
                <w:sz w:val="20"/>
                <w:szCs w:val="20"/>
              </w:rPr>
              <w:t>BDP, stalne cijene 2010, milijuni HRK</w:t>
            </w:r>
          </w:p>
        </w:tc>
        <w:tc>
          <w:tcPr>
            <w:tcW w:w="1110" w:type="dxa"/>
            <w:tcBorders>
              <w:top w:val="nil"/>
              <w:left w:val="nil"/>
              <w:bottom w:val="single" w:sz="8" w:space="0" w:color="auto"/>
              <w:right w:val="single" w:sz="8" w:space="0" w:color="auto"/>
            </w:tcBorders>
            <w:shd w:val="clear" w:color="auto" w:fill="auto"/>
            <w:noWrap/>
            <w:vAlign w:val="center"/>
            <w:hideMark/>
          </w:tcPr>
          <w:p w14:paraId="48F52E9A" w14:textId="77777777" w:rsidR="003204EE" w:rsidRPr="00462AD9" w:rsidRDefault="003204EE" w:rsidP="003204EE">
            <w:pPr>
              <w:keepNext/>
              <w:spacing w:before="0" w:after="0"/>
              <w:jc w:val="center"/>
              <w:rPr>
                <w:rFonts w:cs="Arial"/>
                <w:sz w:val="20"/>
                <w:szCs w:val="20"/>
              </w:rPr>
            </w:pPr>
            <w:r w:rsidRPr="00462AD9">
              <w:rPr>
                <w:rFonts w:cs="Arial"/>
                <w:sz w:val="20"/>
                <w:szCs w:val="20"/>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0109B8D8" w14:textId="77777777" w:rsidR="003204EE" w:rsidRPr="00462AD9" w:rsidRDefault="003204EE" w:rsidP="003204EE">
            <w:pPr>
              <w:keepNext/>
              <w:spacing w:before="0" w:after="0"/>
              <w:jc w:val="center"/>
              <w:rPr>
                <w:rFonts w:cs="Arial"/>
                <w:sz w:val="20"/>
                <w:szCs w:val="20"/>
              </w:rPr>
            </w:pPr>
            <w:r w:rsidRPr="00462AD9">
              <w:rPr>
                <w:rFonts w:cs="Arial"/>
                <w:sz w:val="20"/>
                <w:szCs w:val="20"/>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6D04E359" w14:textId="77777777" w:rsidR="003204EE" w:rsidRPr="00462AD9" w:rsidRDefault="003204EE" w:rsidP="003204EE">
            <w:pPr>
              <w:keepNext/>
              <w:spacing w:before="0" w:after="0"/>
              <w:jc w:val="center"/>
              <w:rPr>
                <w:rFonts w:cs="Arial"/>
                <w:sz w:val="20"/>
                <w:szCs w:val="20"/>
              </w:rPr>
            </w:pPr>
            <w:r w:rsidRPr="00462AD9">
              <w:rPr>
                <w:rFonts w:cs="Arial"/>
                <w:sz w:val="20"/>
                <w:szCs w:val="20"/>
              </w:rPr>
              <w:t>462,111</w:t>
            </w:r>
          </w:p>
        </w:tc>
        <w:tc>
          <w:tcPr>
            <w:tcW w:w="975" w:type="dxa"/>
            <w:tcBorders>
              <w:top w:val="nil"/>
              <w:left w:val="nil"/>
              <w:bottom w:val="single" w:sz="8" w:space="0" w:color="auto"/>
              <w:right w:val="single" w:sz="8" w:space="0" w:color="auto"/>
            </w:tcBorders>
            <w:shd w:val="clear" w:color="auto" w:fill="auto"/>
            <w:noWrap/>
            <w:vAlign w:val="center"/>
            <w:hideMark/>
          </w:tcPr>
          <w:p w14:paraId="6F92C5F7" w14:textId="77777777" w:rsidR="003204EE" w:rsidRPr="00462AD9" w:rsidRDefault="003204EE" w:rsidP="003204EE">
            <w:pPr>
              <w:keepNext/>
              <w:spacing w:before="0" w:after="0"/>
              <w:jc w:val="center"/>
              <w:rPr>
                <w:rFonts w:cs="Arial"/>
                <w:sz w:val="20"/>
                <w:szCs w:val="20"/>
              </w:rPr>
            </w:pPr>
            <w:r w:rsidRPr="00462AD9">
              <w:rPr>
                <w:rFonts w:cs="Arial"/>
                <w:sz w:val="20"/>
                <w:szCs w:val="20"/>
              </w:rPr>
              <w:t>551,311</w:t>
            </w:r>
          </w:p>
        </w:tc>
        <w:tc>
          <w:tcPr>
            <w:tcW w:w="938" w:type="dxa"/>
            <w:tcBorders>
              <w:top w:val="nil"/>
              <w:left w:val="nil"/>
              <w:bottom w:val="single" w:sz="8" w:space="0" w:color="auto"/>
              <w:right w:val="single" w:sz="12" w:space="0" w:color="auto"/>
            </w:tcBorders>
            <w:shd w:val="clear" w:color="auto" w:fill="auto"/>
            <w:noWrap/>
            <w:vAlign w:val="center"/>
            <w:hideMark/>
          </w:tcPr>
          <w:p w14:paraId="6CC18B0A" w14:textId="77777777" w:rsidR="003204EE" w:rsidRPr="00462AD9" w:rsidRDefault="003204EE" w:rsidP="003204EE">
            <w:pPr>
              <w:keepNext/>
              <w:spacing w:before="0" w:after="0"/>
              <w:jc w:val="center"/>
              <w:rPr>
                <w:rFonts w:cs="Arial"/>
                <w:sz w:val="20"/>
                <w:szCs w:val="20"/>
              </w:rPr>
            </w:pPr>
            <w:r w:rsidRPr="00462AD9">
              <w:rPr>
                <w:rFonts w:cs="Arial"/>
                <w:sz w:val="20"/>
                <w:szCs w:val="20"/>
              </w:rPr>
              <w:t>649,695</w:t>
            </w:r>
          </w:p>
        </w:tc>
      </w:tr>
      <w:tr w:rsidR="003204EE" w:rsidRPr="00462AD9" w14:paraId="17C80680"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11CC35E8" w14:textId="77777777" w:rsidR="003204EE" w:rsidRPr="00462AD9" w:rsidRDefault="003204EE" w:rsidP="003204EE">
            <w:pPr>
              <w:keepNext/>
              <w:spacing w:before="0" w:after="0"/>
              <w:jc w:val="left"/>
              <w:rPr>
                <w:rFonts w:cs="Arial"/>
                <w:sz w:val="20"/>
                <w:szCs w:val="20"/>
              </w:rPr>
            </w:pPr>
            <w:r w:rsidRPr="00462AD9">
              <w:rPr>
                <w:rFonts w:cs="Arial"/>
                <w:sz w:val="20"/>
                <w:szCs w:val="20"/>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623CCB43"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514EBC34" w14:textId="77777777" w:rsidR="003204EE" w:rsidRPr="00462AD9" w:rsidRDefault="003204EE" w:rsidP="003204EE">
            <w:pPr>
              <w:keepNext/>
              <w:spacing w:before="0" w:after="0"/>
              <w:jc w:val="center"/>
              <w:rPr>
                <w:rFonts w:cs="Arial"/>
                <w:sz w:val="20"/>
                <w:szCs w:val="20"/>
              </w:rPr>
            </w:pPr>
            <w:r w:rsidRPr="00462AD9">
              <w:rPr>
                <w:rFonts w:cs="Arial"/>
                <w:sz w:val="20"/>
                <w:szCs w:val="20"/>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54970230" w14:textId="77777777" w:rsidR="003204EE" w:rsidRPr="00462AD9" w:rsidRDefault="003204EE" w:rsidP="003204EE">
            <w:pPr>
              <w:keepNext/>
              <w:spacing w:before="0" w:after="0"/>
              <w:jc w:val="center"/>
              <w:rPr>
                <w:rFonts w:cs="Arial"/>
                <w:sz w:val="20"/>
                <w:szCs w:val="20"/>
              </w:rPr>
            </w:pPr>
            <w:r w:rsidRPr="00462AD9">
              <w:rPr>
                <w:rFonts w:cs="Arial"/>
                <w:sz w:val="20"/>
                <w:szCs w:val="20"/>
              </w:rPr>
              <w:t>137,6</w:t>
            </w:r>
          </w:p>
        </w:tc>
        <w:tc>
          <w:tcPr>
            <w:tcW w:w="975" w:type="dxa"/>
            <w:tcBorders>
              <w:top w:val="nil"/>
              <w:left w:val="nil"/>
              <w:bottom w:val="single" w:sz="8" w:space="0" w:color="auto"/>
              <w:right w:val="single" w:sz="8" w:space="0" w:color="auto"/>
            </w:tcBorders>
            <w:shd w:val="clear" w:color="auto" w:fill="auto"/>
            <w:noWrap/>
            <w:vAlign w:val="center"/>
            <w:hideMark/>
          </w:tcPr>
          <w:p w14:paraId="403BC979" w14:textId="77777777" w:rsidR="003204EE" w:rsidRPr="00462AD9" w:rsidRDefault="003204EE" w:rsidP="003204EE">
            <w:pPr>
              <w:keepNext/>
              <w:spacing w:before="0" w:after="0"/>
              <w:jc w:val="center"/>
              <w:rPr>
                <w:rFonts w:cs="Arial"/>
                <w:sz w:val="20"/>
                <w:szCs w:val="20"/>
              </w:rPr>
            </w:pPr>
            <w:r w:rsidRPr="00462AD9">
              <w:rPr>
                <w:rFonts w:cs="Arial"/>
                <w:sz w:val="20"/>
                <w:szCs w:val="20"/>
              </w:rPr>
              <w:t>164,1</w:t>
            </w:r>
          </w:p>
        </w:tc>
        <w:tc>
          <w:tcPr>
            <w:tcW w:w="938" w:type="dxa"/>
            <w:tcBorders>
              <w:top w:val="nil"/>
              <w:left w:val="nil"/>
              <w:bottom w:val="single" w:sz="8" w:space="0" w:color="auto"/>
              <w:right w:val="single" w:sz="12" w:space="0" w:color="auto"/>
            </w:tcBorders>
            <w:shd w:val="clear" w:color="auto" w:fill="auto"/>
            <w:noWrap/>
            <w:vAlign w:val="center"/>
            <w:hideMark/>
          </w:tcPr>
          <w:p w14:paraId="50ACFF39" w14:textId="77777777" w:rsidR="003204EE" w:rsidRPr="00462AD9" w:rsidRDefault="003204EE" w:rsidP="003204EE">
            <w:pPr>
              <w:keepNext/>
              <w:spacing w:before="0" w:after="0"/>
              <w:jc w:val="center"/>
              <w:rPr>
                <w:rFonts w:cs="Arial"/>
                <w:sz w:val="20"/>
                <w:szCs w:val="20"/>
              </w:rPr>
            </w:pPr>
            <w:r w:rsidRPr="00462AD9">
              <w:rPr>
                <w:rFonts w:cs="Arial"/>
                <w:sz w:val="20"/>
                <w:szCs w:val="20"/>
              </w:rPr>
              <w:t>193,4</w:t>
            </w:r>
          </w:p>
        </w:tc>
      </w:tr>
      <w:tr w:rsidR="003204EE" w:rsidRPr="00462AD9" w14:paraId="257270B9"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FAE1957"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stalne cijene 2010.</w:t>
            </w:r>
          </w:p>
        </w:tc>
        <w:tc>
          <w:tcPr>
            <w:tcW w:w="1110" w:type="dxa"/>
            <w:tcBorders>
              <w:top w:val="nil"/>
              <w:left w:val="nil"/>
              <w:bottom w:val="single" w:sz="8" w:space="0" w:color="auto"/>
              <w:right w:val="single" w:sz="8" w:space="0" w:color="auto"/>
            </w:tcBorders>
            <w:shd w:val="clear" w:color="auto" w:fill="auto"/>
            <w:noWrap/>
            <w:vAlign w:val="center"/>
            <w:hideMark/>
          </w:tcPr>
          <w:p w14:paraId="050F0B55" w14:textId="77777777" w:rsidR="003204EE" w:rsidRPr="00462AD9" w:rsidRDefault="003204EE" w:rsidP="003204EE">
            <w:pPr>
              <w:keepNext/>
              <w:spacing w:before="0" w:after="0"/>
              <w:jc w:val="center"/>
              <w:rPr>
                <w:rFonts w:cs="Arial"/>
                <w:sz w:val="20"/>
                <w:szCs w:val="20"/>
              </w:rPr>
            </w:pPr>
            <w:r w:rsidRPr="00462AD9">
              <w:rPr>
                <w:rFonts w:cs="Arial"/>
                <w:sz w:val="20"/>
                <w:szCs w:val="20"/>
              </w:rPr>
              <w:t>82</w:t>
            </w:r>
          </w:p>
        </w:tc>
        <w:tc>
          <w:tcPr>
            <w:tcW w:w="1035" w:type="dxa"/>
            <w:tcBorders>
              <w:top w:val="nil"/>
              <w:left w:val="nil"/>
              <w:bottom w:val="single" w:sz="8" w:space="0" w:color="auto"/>
              <w:right w:val="single" w:sz="8" w:space="0" w:color="auto"/>
            </w:tcBorders>
            <w:shd w:val="clear" w:color="auto" w:fill="auto"/>
            <w:noWrap/>
            <w:vAlign w:val="center"/>
            <w:hideMark/>
          </w:tcPr>
          <w:p w14:paraId="2D325E92" w14:textId="77777777" w:rsidR="003204EE" w:rsidRPr="00462AD9" w:rsidRDefault="003204EE" w:rsidP="003204EE">
            <w:pPr>
              <w:keepNext/>
              <w:spacing w:before="0" w:after="0"/>
              <w:jc w:val="center"/>
              <w:rPr>
                <w:rFonts w:cs="Arial"/>
                <w:sz w:val="20"/>
                <w:szCs w:val="20"/>
              </w:rPr>
            </w:pPr>
            <w:r w:rsidRPr="00462AD9">
              <w:rPr>
                <w:rFonts w:cs="Arial"/>
                <w:sz w:val="20"/>
                <w:szCs w:val="20"/>
              </w:rPr>
              <w:t>94</w:t>
            </w:r>
          </w:p>
        </w:tc>
        <w:tc>
          <w:tcPr>
            <w:tcW w:w="1095" w:type="dxa"/>
            <w:tcBorders>
              <w:top w:val="nil"/>
              <w:left w:val="nil"/>
              <w:bottom w:val="single" w:sz="8" w:space="0" w:color="auto"/>
              <w:right w:val="single" w:sz="8" w:space="0" w:color="auto"/>
            </w:tcBorders>
            <w:shd w:val="clear" w:color="auto" w:fill="auto"/>
            <w:noWrap/>
            <w:vAlign w:val="center"/>
            <w:hideMark/>
          </w:tcPr>
          <w:p w14:paraId="0062E4B4" w14:textId="77777777" w:rsidR="003204EE" w:rsidRPr="00462AD9" w:rsidRDefault="003204EE" w:rsidP="003204EE">
            <w:pPr>
              <w:keepNext/>
              <w:spacing w:before="0" w:after="0"/>
              <w:jc w:val="center"/>
              <w:rPr>
                <w:rFonts w:cs="Arial"/>
                <w:sz w:val="20"/>
                <w:szCs w:val="20"/>
              </w:rPr>
            </w:pPr>
            <w:r w:rsidRPr="00462AD9">
              <w:rPr>
                <w:rFonts w:cs="Arial"/>
                <w:sz w:val="20"/>
                <w:szCs w:val="20"/>
              </w:rPr>
              <w:t>123</w:t>
            </w:r>
          </w:p>
        </w:tc>
        <w:tc>
          <w:tcPr>
            <w:tcW w:w="975" w:type="dxa"/>
            <w:tcBorders>
              <w:top w:val="nil"/>
              <w:left w:val="nil"/>
              <w:bottom w:val="single" w:sz="8" w:space="0" w:color="auto"/>
              <w:right w:val="single" w:sz="8" w:space="0" w:color="auto"/>
            </w:tcBorders>
            <w:shd w:val="clear" w:color="auto" w:fill="auto"/>
            <w:noWrap/>
            <w:vAlign w:val="center"/>
            <w:hideMark/>
          </w:tcPr>
          <w:p w14:paraId="6CEC82D0" w14:textId="77777777" w:rsidR="003204EE" w:rsidRPr="00462AD9" w:rsidRDefault="003204EE" w:rsidP="003204EE">
            <w:pPr>
              <w:keepNext/>
              <w:spacing w:before="0" w:after="0"/>
              <w:jc w:val="center"/>
              <w:rPr>
                <w:rFonts w:cs="Arial"/>
                <w:sz w:val="20"/>
                <w:szCs w:val="20"/>
              </w:rPr>
            </w:pPr>
            <w:r w:rsidRPr="00462AD9">
              <w:rPr>
                <w:rFonts w:cs="Arial"/>
                <w:sz w:val="20"/>
                <w:szCs w:val="20"/>
              </w:rPr>
              <w:t>156</w:t>
            </w:r>
          </w:p>
        </w:tc>
        <w:tc>
          <w:tcPr>
            <w:tcW w:w="938" w:type="dxa"/>
            <w:tcBorders>
              <w:top w:val="nil"/>
              <w:left w:val="nil"/>
              <w:bottom w:val="single" w:sz="8" w:space="0" w:color="auto"/>
              <w:right w:val="single" w:sz="12" w:space="0" w:color="auto"/>
            </w:tcBorders>
            <w:shd w:val="clear" w:color="auto" w:fill="auto"/>
            <w:noWrap/>
            <w:vAlign w:val="center"/>
            <w:hideMark/>
          </w:tcPr>
          <w:p w14:paraId="486352F6" w14:textId="77777777" w:rsidR="003204EE" w:rsidRPr="00462AD9" w:rsidRDefault="003204EE" w:rsidP="003204EE">
            <w:pPr>
              <w:keepNext/>
              <w:spacing w:before="0" w:after="0"/>
              <w:jc w:val="center"/>
              <w:rPr>
                <w:rFonts w:cs="Arial"/>
                <w:sz w:val="20"/>
                <w:szCs w:val="20"/>
              </w:rPr>
            </w:pPr>
            <w:r w:rsidRPr="00462AD9">
              <w:rPr>
                <w:rFonts w:cs="Arial"/>
                <w:sz w:val="20"/>
                <w:szCs w:val="20"/>
              </w:rPr>
              <w:t>197</w:t>
            </w:r>
          </w:p>
        </w:tc>
      </w:tr>
      <w:tr w:rsidR="003204EE" w:rsidRPr="00462AD9" w14:paraId="583B86A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325B3C61"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7128208A"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2B753D07" w14:textId="77777777" w:rsidR="003204EE" w:rsidRPr="00462AD9" w:rsidRDefault="003204EE" w:rsidP="003204EE">
            <w:pPr>
              <w:keepNext/>
              <w:spacing w:before="0" w:after="0"/>
              <w:jc w:val="center"/>
              <w:rPr>
                <w:rFonts w:cs="Arial"/>
                <w:sz w:val="20"/>
                <w:szCs w:val="20"/>
              </w:rPr>
            </w:pPr>
            <w:r w:rsidRPr="00462AD9">
              <w:rPr>
                <w:rFonts w:cs="Arial"/>
                <w:sz w:val="20"/>
                <w:szCs w:val="20"/>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4BB308CA" w14:textId="77777777" w:rsidR="003204EE" w:rsidRPr="00462AD9" w:rsidRDefault="003204EE" w:rsidP="003204EE">
            <w:pPr>
              <w:keepNext/>
              <w:spacing w:before="0" w:after="0"/>
              <w:jc w:val="center"/>
              <w:rPr>
                <w:rFonts w:cs="Arial"/>
                <w:sz w:val="20"/>
                <w:szCs w:val="20"/>
              </w:rPr>
            </w:pPr>
            <w:r w:rsidRPr="00462AD9">
              <w:rPr>
                <w:rFonts w:cs="Arial"/>
                <w:sz w:val="20"/>
                <w:szCs w:val="20"/>
              </w:rPr>
              <w:t>150,2</w:t>
            </w:r>
          </w:p>
        </w:tc>
        <w:tc>
          <w:tcPr>
            <w:tcW w:w="975" w:type="dxa"/>
            <w:tcBorders>
              <w:top w:val="nil"/>
              <w:left w:val="nil"/>
              <w:bottom w:val="single" w:sz="8" w:space="0" w:color="auto"/>
              <w:right w:val="single" w:sz="8" w:space="0" w:color="auto"/>
            </w:tcBorders>
            <w:shd w:val="clear" w:color="auto" w:fill="auto"/>
            <w:noWrap/>
            <w:vAlign w:val="center"/>
            <w:hideMark/>
          </w:tcPr>
          <w:p w14:paraId="2E64FFA8" w14:textId="77777777" w:rsidR="003204EE" w:rsidRPr="00462AD9" w:rsidRDefault="003204EE" w:rsidP="003204EE">
            <w:pPr>
              <w:keepNext/>
              <w:spacing w:before="0" w:after="0"/>
              <w:jc w:val="center"/>
              <w:rPr>
                <w:rFonts w:cs="Arial"/>
                <w:sz w:val="20"/>
                <w:szCs w:val="20"/>
              </w:rPr>
            </w:pPr>
            <w:r w:rsidRPr="00462AD9">
              <w:rPr>
                <w:rFonts w:cs="Arial"/>
                <w:sz w:val="20"/>
                <w:szCs w:val="20"/>
              </w:rPr>
              <w:t>190,5</w:t>
            </w:r>
          </w:p>
        </w:tc>
        <w:tc>
          <w:tcPr>
            <w:tcW w:w="938" w:type="dxa"/>
            <w:tcBorders>
              <w:top w:val="nil"/>
              <w:left w:val="nil"/>
              <w:bottom w:val="single" w:sz="8" w:space="0" w:color="auto"/>
              <w:right w:val="single" w:sz="12" w:space="0" w:color="auto"/>
            </w:tcBorders>
            <w:shd w:val="clear" w:color="auto" w:fill="auto"/>
            <w:noWrap/>
            <w:vAlign w:val="center"/>
            <w:hideMark/>
          </w:tcPr>
          <w:p w14:paraId="73B09470" w14:textId="77777777" w:rsidR="003204EE" w:rsidRPr="00462AD9" w:rsidRDefault="003204EE" w:rsidP="003204EE">
            <w:pPr>
              <w:keepNext/>
              <w:spacing w:before="0" w:after="0"/>
              <w:jc w:val="center"/>
              <w:rPr>
                <w:rFonts w:cs="Arial"/>
                <w:sz w:val="20"/>
                <w:szCs w:val="20"/>
              </w:rPr>
            </w:pPr>
            <w:r w:rsidRPr="00462AD9">
              <w:rPr>
                <w:rFonts w:cs="Arial"/>
                <w:sz w:val="20"/>
                <w:szCs w:val="20"/>
              </w:rPr>
              <w:t>240,6</w:t>
            </w:r>
          </w:p>
        </w:tc>
      </w:tr>
      <w:tr w:rsidR="003204EE" w:rsidRPr="00462AD9" w14:paraId="2479B63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EAA433B" w14:textId="77777777" w:rsidR="003204EE" w:rsidRPr="00462AD9" w:rsidRDefault="003204EE" w:rsidP="003204EE">
            <w:pPr>
              <w:keepNext/>
              <w:spacing w:before="0" w:after="0"/>
              <w:jc w:val="left"/>
              <w:rPr>
                <w:rFonts w:cs="Arial"/>
                <w:sz w:val="20"/>
                <w:szCs w:val="20"/>
              </w:rPr>
            </w:pPr>
            <w:r w:rsidRPr="00462AD9">
              <w:rPr>
                <w:rFonts w:cs="Arial"/>
                <w:sz w:val="20"/>
                <w:szCs w:val="20"/>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64E22AF6" w14:textId="77777777" w:rsidR="003204EE" w:rsidRPr="00462AD9" w:rsidRDefault="003204EE" w:rsidP="003204EE">
            <w:pPr>
              <w:keepNext/>
              <w:spacing w:before="0" w:after="0"/>
              <w:jc w:val="center"/>
              <w:rPr>
                <w:rFonts w:cs="Arial"/>
                <w:sz w:val="20"/>
                <w:szCs w:val="20"/>
              </w:rPr>
            </w:pPr>
            <w:r w:rsidRPr="00462AD9">
              <w:rPr>
                <w:rFonts w:cs="Arial"/>
                <w:sz w:val="20"/>
                <w:szCs w:val="20"/>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53971B5F" w14:textId="77777777" w:rsidR="003204EE" w:rsidRPr="00462AD9" w:rsidRDefault="003204EE" w:rsidP="003204EE">
            <w:pPr>
              <w:keepNext/>
              <w:spacing w:before="0" w:after="0"/>
              <w:jc w:val="center"/>
              <w:rPr>
                <w:rFonts w:cs="Arial"/>
                <w:sz w:val="20"/>
                <w:szCs w:val="20"/>
              </w:rPr>
            </w:pPr>
            <w:r w:rsidRPr="00462AD9">
              <w:rPr>
                <w:rFonts w:cs="Arial"/>
                <w:sz w:val="20"/>
                <w:szCs w:val="20"/>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6701FCF3" w14:textId="77777777" w:rsidR="003204EE" w:rsidRPr="00462AD9" w:rsidRDefault="003204EE" w:rsidP="003204EE">
            <w:pPr>
              <w:keepNext/>
              <w:spacing w:before="0" w:after="0"/>
              <w:jc w:val="center"/>
              <w:rPr>
                <w:rFonts w:cs="Arial"/>
                <w:sz w:val="20"/>
                <w:szCs w:val="20"/>
              </w:rPr>
            </w:pPr>
            <w:r w:rsidRPr="00462AD9">
              <w:rPr>
                <w:rFonts w:cs="Arial"/>
                <w:sz w:val="20"/>
                <w:szCs w:val="20"/>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5251F6A1" w14:textId="77777777" w:rsidR="003204EE" w:rsidRPr="00462AD9" w:rsidRDefault="003204EE" w:rsidP="003204EE">
            <w:pPr>
              <w:keepNext/>
              <w:spacing w:before="0" w:after="0"/>
              <w:jc w:val="center"/>
              <w:rPr>
                <w:rFonts w:cs="Arial"/>
                <w:sz w:val="20"/>
                <w:szCs w:val="20"/>
              </w:rPr>
            </w:pPr>
            <w:r w:rsidRPr="00462AD9">
              <w:rPr>
                <w:rFonts w:cs="Arial"/>
                <w:sz w:val="20"/>
                <w:szCs w:val="20"/>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2D6F5E19" w14:textId="77777777" w:rsidR="003204EE" w:rsidRPr="00462AD9" w:rsidRDefault="003204EE" w:rsidP="003204EE">
            <w:pPr>
              <w:keepNext/>
              <w:spacing w:before="0" w:after="0"/>
              <w:jc w:val="center"/>
              <w:rPr>
                <w:rFonts w:cs="Arial"/>
                <w:sz w:val="20"/>
                <w:szCs w:val="20"/>
              </w:rPr>
            </w:pPr>
            <w:r w:rsidRPr="00462AD9">
              <w:rPr>
                <w:rFonts w:cs="Arial"/>
                <w:sz w:val="20"/>
                <w:szCs w:val="20"/>
              </w:rPr>
              <w:t>3,295</w:t>
            </w:r>
          </w:p>
        </w:tc>
      </w:tr>
      <w:tr w:rsidR="003204EE" w:rsidRPr="00462AD9" w14:paraId="32AA7742" w14:textId="77777777" w:rsidTr="003204EE">
        <w:trPr>
          <w:trHeight w:val="270"/>
          <w:jc w:val="center"/>
        </w:trPr>
        <w:tc>
          <w:tcPr>
            <w:tcW w:w="3615" w:type="dxa"/>
            <w:tcBorders>
              <w:top w:val="nil"/>
              <w:left w:val="single" w:sz="12" w:space="0" w:color="auto"/>
              <w:bottom w:val="single" w:sz="12" w:space="0" w:color="auto"/>
              <w:right w:val="single" w:sz="8" w:space="0" w:color="auto"/>
            </w:tcBorders>
            <w:shd w:val="clear" w:color="auto" w:fill="auto"/>
            <w:noWrap/>
            <w:hideMark/>
          </w:tcPr>
          <w:p w14:paraId="6C50C468" w14:textId="77777777" w:rsidR="003204EE" w:rsidRPr="00462AD9" w:rsidRDefault="003204EE" w:rsidP="003204EE">
            <w:pPr>
              <w:spacing w:before="0" w:after="0"/>
              <w:jc w:val="left"/>
              <w:rPr>
                <w:rFonts w:cs="Arial"/>
                <w:sz w:val="20"/>
                <w:szCs w:val="20"/>
              </w:rPr>
            </w:pPr>
            <w:r w:rsidRPr="00462AD9">
              <w:rPr>
                <w:rFonts w:cs="Arial"/>
                <w:sz w:val="20"/>
                <w:szCs w:val="20"/>
              </w:rPr>
              <w:t>Broj zaposlenih, rastuća aktivnost, u milijunima</w:t>
            </w:r>
          </w:p>
        </w:tc>
        <w:tc>
          <w:tcPr>
            <w:tcW w:w="1110" w:type="dxa"/>
            <w:tcBorders>
              <w:top w:val="nil"/>
              <w:left w:val="nil"/>
              <w:bottom w:val="single" w:sz="12" w:space="0" w:color="auto"/>
              <w:right w:val="single" w:sz="8" w:space="0" w:color="auto"/>
            </w:tcBorders>
            <w:shd w:val="clear" w:color="auto" w:fill="auto"/>
            <w:noWrap/>
            <w:vAlign w:val="center"/>
            <w:hideMark/>
          </w:tcPr>
          <w:p w14:paraId="718BB4DA" w14:textId="77777777" w:rsidR="003204EE" w:rsidRPr="00462AD9" w:rsidRDefault="003204EE" w:rsidP="003204EE">
            <w:pPr>
              <w:spacing w:before="0" w:after="0"/>
              <w:jc w:val="center"/>
              <w:rPr>
                <w:rFonts w:cs="Arial"/>
                <w:sz w:val="20"/>
                <w:szCs w:val="20"/>
              </w:rPr>
            </w:pPr>
            <w:r w:rsidRPr="00462AD9">
              <w:rPr>
                <w:rFonts w:cs="Arial"/>
                <w:sz w:val="20"/>
                <w:szCs w:val="20"/>
              </w:rPr>
              <w:t>1,550</w:t>
            </w:r>
          </w:p>
        </w:tc>
        <w:tc>
          <w:tcPr>
            <w:tcW w:w="1035" w:type="dxa"/>
            <w:tcBorders>
              <w:top w:val="nil"/>
              <w:left w:val="nil"/>
              <w:bottom w:val="single" w:sz="12" w:space="0" w:color="auto"/>
              <w:right w:val="single" w:sz="8" w:space="0" w:color="auto"/>
            </w:tcBorders>
            <w:shd w:val="clear" w:color="auto" w:fill="auto"/>
            <w:noWrap/>
            <w:vAlign w:val="center"/>
            <w:hideMark/>
          </w:tcPr>
          <w:p w14:paraId="17A5FEC4" w14:textId="77777777" w:rsidR="003204EE" w:rsidRPr="00462AD9" w:rsidRDefault="003204EE" w:rsidP="003204EE">
            <w:pPr>
              <w:spacing w:before="0" w:after="0"/>
              <w:jc w:val="center"/>
              <w:rPr>
                <w:rFonts w:cs="Arial"/>
                <w:sz w:val="20"/>
                <w:szCs w:val="20"/>
              </w:rPr>
            </w:pPr>
            <w:r w:rsidRPr="00462AD9">
              <w:rPr>
                <w:rFonts w:cs="Arial"/>
                <w:sz w:val="20"/>
                <w:szCs w:val="20"/>
              </w:rPr>
              <w:t>1,576</w:t>
            </w:r>
          </w:p>
        </w:tc>
        <w:tc>
          <w:tcPr>
            <w:tcW w:w="1095" w:type="dxa"/>
            <w:tcBorders>
              <w:top w:val="nil"/>
              <w:left w:val="nil"/>
              <w:bottom w:val="single" w:sz="12" w:space="0" w:color="auto"/>
              <w:right w:val="single" w:sz="8" w:space="0" w:color="auto"/>
            </w:tcBorders>
            <w:shd w:val="clear" w:color="auto" w:fill="auto"/>
            <w:noWrap/>
            <w:vAlign w:val="center"/>
            <w:hideMark/>
          </w:tcPr>
          <w:p w14:paraId="562B6A83" w14:textId="77777777" w:rsidR="003204EE" w:rsidRPr="00462AD9" w:rsidRDefault="003204EE" w:rsidP="003204EE">
            <w:pPr>
              <w:spacing w:before="0" w:after="0"/>
              <w:jc w:val="center"/>
              <w:rPr>
                <w:rFonts w:cs="Arial"/>
                <w:sz w:val="20"/>
                <w:szCs w:val="20"/>
              </w:rPr>
            </w:pPr>
            <w:r w:rsidRPr="00462AD9">
              <w:rPr>
                <w:rFonts w:cs="Arial"/>
                <w:sz w:val="20"/>
                <w:szCs w:val="20"/>
              </w:rPr>
              <w:t>1,502</w:t>
            </w:r>
          </w:p>
        </w:tc>
        <w:tc>
          <w:tcPr>
            <w:tcW w:w="975" w:type="dxa"/>
            <w:tcBorders>
              <w:top w:val="nil"/>
              <w:left w:val="nil"/>
              <w:bottom w:val="single" w:sz="12" w:space="0" w:color="auto"/>
              <w:right w:val="single" w:sz="8" w:space="0" w:color="auto"/>
            </w:tcBorders>
            <w:shd w:val="clear" w:color="auto" w:fill="auto"/>
            <w:noWrap/>
            <w:vAlign w:val="center"/>
            <w:hideMark/>
          </w:tcPr>
          <w:p w14:paraId="5AA1FE1A" w14:textId="77777777" w:rsidR="003204EE" w:rsidRPr="00462AD9" w:rsidRDefault="003204EE" w:rsidP="003204EE">
            <w:pPr>
              <w:spacing w:before="0" w:after="0"/>
              <w:jc w:val="center"/>
              <w:rPr>
                <w:rFonts w:cs="Arial"/>
                <w:sz w:val="20"/>
                <w:szCs w:val="20"/>
              </w:rPr>
            </w:pPr>
            <w:r w:rsidRPr="00462AD9">
              <w:rPr>
                <w:rFonts w:cs="Arial"/>
                <w:sz w:val="20"/>
                <w:szCs w:val="20"/>
              </w:rPr>
              <w:t>1,429</w:t>
            </w:r>
          </w:p>
        </w:tc>
        <w:tc>
          <w:tcPr>
            <w:tcW w:w="938" w:type="dxa"/>
            <w:tcBorders>
              <w:top w:val="nil"/>
              <w:left w:val="nil"/>
              <w:bottom w:val="single" w:sz="12" w:space="0" w:color="auto"/>
              <w:right w:val="single" w:sz="12" w:space="0" w:color="auto"/>
            </w:tcBorders>
            <w:shd w:val="clear" w:color="auto" w:fill="auto"/>
            <w:noWrap/>
            <w:vAlign w:val="center"/>
            <w:hideMark/>
          </w:tcPr>
          <w:p w14:paraId="139E1579" w14:textId="77777777" w:rsidR="003204EE" w:rsidRPr="00462AD9" w:rsidRDefault="003204EE" w:rsidP="003204EE">
            <w:pPr>
              <w:spacing w:before="0" w:after="0"/>
              <w:jc w:val="center"/>
              <w:rPr>
                <w:rFonts w:cs="Arial"/>
                <w:sz w:val="20"/>
                <w:szCs w:val="20"/>
              </w:rPr>
            </w:pPr>
            <w:r w:rsidRPr="00462AD9">
              <w:rPr>
                <w:rFonts w:cs="Arial"/>
                <w:sz w:val="20"/>
                <w:szCs w:val="20"/>
              </w:rPr>
              <w:t>1,342</w:t>
            </w:r>
          </w:p>
        </w:tc>
      </w:tr>
    </w:tbl>
    <w:p w14:paraId="50ADF093" w14:textId="030FD76D" w:rsidR="003204EE" w:rsidRDefault="003204EE" w:rsidP="003204EE">
      <w:r w:rsidRPr="00462AD9">
        <w:t>Projekcija kretanja BDP-a i gospodarske strukture temelji se na uočenim dosadašnjim trendovima u kretanju BDP-a, zaposlenosti i proizvodnosti rada, demografskim projekcijama i zatečenoj strukturi gospodarstva.</w:t>
      </w:r>
    </w:p>
    <w:p w14:paraId="11C81697" w14:textId="75406FDB" w:rsidR="003204EE" w:rsidRPr="00462AD9" w:rsidRDefault="003204EE" w:rsidP="003204EE">
      <w:r>
        <w:t xml:space="preserve">Ključan doprinos ostvarenju zacrtanih ciljeva očekuje se </w:t>
      </w:r>
      <w:r w:rsidR="00FE10C9">
        <w:t>u sektoru obnovljivih izvora energije (posebice u proizvodnji električne energije), sektoru zgradarstva te u prometnom sektoru. Detaljni opisi očekivanih promjena dani su u odgovarajućim poglavljima.</w:t>
      </w:r>
    </w:p>
    <w:p w14:paraId="36D46CCF" w14:textId="751DBEFE" w:rsidR="003204EE" w:rsidRPr="00462AD9" w:rsidRDefault="003204EE">
      <w:r>
        <w:t xml:space="preserve">Očekivani razvoj specifičnih </w:t>
      </w:r>
      <w:r w:rsidRPr="00462AD9">
        <w:t xml:space="preserve">troškova ulaganja u pojedine tehnologije za razdoblje 2015.-2050. </w:t>
      </w:r>
      <w:r>
        <w:t xml:space="preserve">preuzet je iz </w:t>
      </w:r>
      <w:r w:rsidRPr="00462AD9">
        <w:t xml:space="preserve">IEA WEM podataka (World Energy Model korišten za World Energy Outlook publikaciju), temeljem studije Fraunhofer ISE (za sunčane PV elektrane) i internim procjenama, osobito u </w:t>
      </w:r>
      <w:r>
        <w:t>području</w:t>
      </w:r>
      <w:r w:rsidRPr="00462AD9">
        <w:t xml:space="preserve"> vjetroelektrana</w:t>
      </w:r>
      <w:r>
        <w:t xml:space="preserve"> (</w:t>
      </w:r>
      <w:r>
        <w:fldChar w:fldCharType="begin"/>
      </w:r>
      <w:r>
        <w:instrText xml:space="preserve"> REF _Ref531869229 \h </w:instrText>
      </w:r>
      <w:r>
        <w:fldChar w:fldCharType="separate"/>
      </w:r>
      <w:r w:rsidR="00E5423A">
        <w:t xml:space="preserve">Slika </w:t>
      </w:r>
      <w:r w:rsidR="00E5423A">
        <w:rPr>
          <w:noProof/>
        </w:rPr>
        <w:t>4</w:t>
      </w:r>
      <w:r w:rsidR="00E5423A">
        <w:noBreakHyphen/>
      </w:r>
      <w:r w:rsidR="00E5423A">
        <w:rPr>
          <w:noProof/>
        </w:rPr>
        <w:t>3</w:t>
      </w:r>
      <w:r>
        <w:fldChar w:fldCharType="end"/>
      </w:r>
      <w:r>
        <w:t xml:space="preserve"> i </w:t>
      </w:r>
      <w:r>
        <w:fldChar w:fldCharType="begin"/>
      </w:r>
      <w:r>
        <w:instrText xml:space="preserve"> REF _Ref531869243 \h </w:instrText>
      </w:r>
      <w:r>
        <w:fldChar w:fldCharType="separate"/>
      </w:r>
      <w:r w:rsidR="00E5423A">
        <w:t xml:space="preserve">Slika </w:t>
      </w:r>
      <w:r w:rsidR="00E5423A">
        <w:rPr>
          <w:noProof/>
        </w:rPr>
        <w:t>4</w:t>
      </w:r>
      <w:r w:rsidR="00E5423A">
        <w:noBreakHyphen/>
      </w:r>
      <w:r w:rsidR="00E5423A">
        <w:rPr>
          <w:noProof/>
        </w:rPr>
        <w:t>4</w:t>
      </w:r>
      <w:r>
        <w:fldChar w:fldCharType="end"/>
      </w:r>
      <w:r>
        <w:t>)</w:t>
      </w:r>
      <w:r w:rsidRPr="00462AD9">
        <w:t>.</w:t>
      </w:r>
    </w:p>
    <w:p w14:paraId="0E5F0D54" w14:textId="77777777" w:rsidR="003204EE" w:rsidRPr="00462AD9" w:rsidRDefault="003204EE" w:rsidP="003204EE">
      <w:pPr>
        <w:keepNext/>
        <w:jc w:val="center"/>
      </w:pPr>
      <w:r w:rsidRPr="00462AD9">
        <w:rPr>
          <w:noProof/>
        </w:rPr>
        <w:drawing>
          <wp:inline distT="0" distB="0" distL="0" distR="0" wp14:anchorId="680A105C" wp14:editId="65228D09">
            <wp:extent cx="5760085" cy="2941955"/>
            <wp:effectExtent l="0" t="0" r="0"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760085" cy="2941955"/>
                    </a:xfrm>
                    <a:prstGeom prst="rect">
                      <a:avLst/>
                    </a:prstGeom>
                    <a:noFill/>
                    <a:ln>
                      <a:noFill/>
                    </a:ln>
                  </pic:spPr>
                </pic:pic>
              </a:graphicData>
            </a:graphic>
          </wp:inline>
        </w:drawing>
      </w:r>
    </w:p>
    <w:p w14:paraId="6F8F17F8" w14:textId="11200D86" w:rsidR="003204EE" w:rsidRPr="00462AD9" w:rsidRDefault="003204EE">
      <w:pPr>
        <w:pStyle w:val="Caption"/>
      </w:pPr>
      <w:bookmarkStart w:id="364" w:name="_Ref531869229"/>
      <w:bookmarkStart w:id="365" w:name="_Toc531935293"/>
      <w:r>
        <w:t xml:space="preserve">Slika </w:t>
      </w:r>
      <w:fldSimple w:instr=" STYLEREF 1 \s ">
        <w:r w:rsidR="00856D97">
          <w:rPr>
            <w:noProof/>
          </w:rPr>
          <w:t>4</w:t>
        </w:r>
      </w:fldSimple>
      <w:r w:rsidR="00856D97">
        <w:noBreakHyphen/>
      </w:r>
      <w:fldSimple w:instr=" SEQ Slika \* ARABIC \s 1 ">
        <w:r w:rsidR="00856D97">
          <w:rPr>
            <w:noProof/>
          </w:rPr>
          <w:t>3</w:t>
        </w:r>
      </w:fldSimple>
      <w:bookmarkEnd w:id="364"/>
      <w:r>
        <w:rPr>
          <w:noProof/>
        </w:rPr>
        <w:t>.</w:t>
      </w:r>
      <w:r w:rsidRPr="00462AD9">
        <w:t xml:space="preserve"> Specifična investicija u OIE tehnologije</w:t>
      </w:r>
      <w:bookmarkEnd w:id="365"/>
    </w:p>
    <w:p w14:paraId="5F9777BC" w14:textId="77777777" w:rsidR="003204EE" w:rsidRPr="00462AD9" w:rsidRDefault="003204EE" w:rsidP="003204EE">
      <w:r w:rsidRPr="00462AD9">
        <w:t>Za OIE izvore očekuje se daljnje smanjenje specifičnog troška, osobito za sunčeve elektrane i vjetroelektrane na moru. Neki od projekata VE i PV već danas iskazuju niži trošak od ovdje pretpostavljenog. Za velike i male HE i elektrane na biomasu ne očekuje se tehnološki/troškovni napredak.</w:t>
      </w:r>
    </w:p>
    <w:p w14:paraId="50D93DD7" w14:textId="77777777" w:rsidR="003204EE" w:rsidRPr="00462AD9" w:rsidRDefault="003204EE" w:rsidP="003204EE">
      <w:pPr>
        <w:keepNext/>
      </w:pPr>
      <w:r w:rsidRPr="00462AD9">
        <w:rPr>
          <w:noProof/>
        </w:rPr>
        <w:drawing>
          <wp:inline distT="0" distB="0" distL="0" distR="0" wp14:anchorId="79897685" wp14:editId="2994CDDE">
            <wp:extent cx="5760085" cy="2946400"/>
            <wp:effectExtent l="0" t="0" r="0" b="6350"/>
            <wp:docPr id="23" name="Picture 2187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760085" cy="2946400"/>
                    </a:xfrm>
                    <a:prstGeom prst="rect">
                      <a:avLst/>
                    </a:prstGeom>
                    <a:noFill/>
                    <a:ln>
                      <a:noFill/>
                    </a:ln>
                  </pic:spPr>
                </pic:pic>
              </a:graphicData>
            </a:graphic>
          </wp:inline>
        </w:drawing>
      </w:r>
    </w:p>
    <w:p w14:paraId="39263314" w14:textId="2DB71759" w:rsidR="003204EE" w:rsidRPr="00462AD9" w:rsidRDefault="003204EE" w:rsidP="00CF2D4C">
      <w:pPr>
        <w:pStyle w:val="Caption"/>
      </w:pPr>
      <w:bookmarkStart w:id="366" w:name="_Ref531869243"/>
      <w:bookmarkStart w:id="367" w:name="_Toc531935294"/>
      <w:r>
        <w:t xml:space="preserve">Slika </w:t>
      </w:r>
      <w:fldSimple w:instr=" STYLEREF 1 \s ">
        <w:r w:rsidR="00856D97">
          <w:rPr>
            <w:noProof/>
          </w:rPr>
          <w:t>4</w:t>
        </w:r>
      </w:fldSimple>
      <w:r w:rsidR="00856D97">
        <w:noBreakHyphen/>
      </w:r>
      <w:fldSimple w:instr=" SEQ Slika \* ARABIC \s 1 ">
        <w:r w:rsidR="00856D97">
          <w:rPr>
            <w:noProof/>
          </w:rPr>
          <w:t>4</w:t>
        </w:r>
      </w:fldSimple>
      <w:bookmarkEnd w:id="366"/>
      <w:r w:rsidRPr="00462AD9">
        <w:t>. Specifična investicija u elektrane na fosilna goriva i nuklearne elektrane</w:t>
      </w:r>
      <w:bookmarkEnd w:id="367"/>
    </w:p>
    <w:p w14:paraId="0982552B" w14:textId="77777777" w:rsidR="003204EE" w:rsidRPr="00462AD9" w:rsidRDefault="003204EE" w:rsidP="003204EE">
      <w:r w:rsidRPr="00462AD9">
        <w:t>Za TE na ugljen i prirodni plin ne očekuje se tehnološki napredak, osim u slučaju CCS opcije. Za nuklearne elektrane pretpostavljena je mogućnost napretka u slučaju većeg korištenja ove opcije za dostizanje ciljeva smanjenja emisije na globalnoj razini (prikazana procjena odnosi se na projekte koji bi se realizirali u Europi).</w:t>
      </w:r>
    </w:p>
    <w:p w14:paraId="37753069" w14:textId="77777777" w:rsidR="00FE10C9" w:rsidRPr="00462AD9" w:rsidRDefault="00FE10C9" w:rsidP="00FE10C9">
      <w:r w:rsidRPr="00462AD9">
        <w:t xml:space="preserve">Cijene fosilnih goriva do 2050. godine pretpostavljene su u skladu s predviđanjima Međunarodne agencije za energiju (IEA, World Energy Outlook 2017). Promatra se tzv. scenarij „novih politika“ (engl. </w:t>
      </w:r>
      <w:r w:rsidRPr="00462AD9">
        <w:rPr>
          <w:i/>
        </w:rPr>
        <w:t>New Policies Scenario</w:t>
      </w:r>
      <w:r w:rsidRPr="00462AD9">
        <w:t xml:space="preserve">). </w:t>
      </w:r>
    </w:p>
    <w:p w14:paraId="25CEF6C6" w14:textId="48AAD3A6" w:rsidR="00FE10C9" w:rsidRPr="00462AD9" w:rsidRDefault="00FE10C9" w:rsidP="00CF2D4C">
      <w:pPr>
        <w:pStyle w:val="Caption"/>
      </w:pPr>
      <w:bookmarkStart w:id="368" w:name="_Toc531935351"/>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2</w:t>
      </w:r>
      <w:r w:rsidR="00B22048">
        <w:rPr>
          <w:noProof/>
        </w:rPr>
        <w:fldChar w:fldCharType="end"/>
      </w:r>
      <w:r w:rsidRPr="00462AD9">
        <w:t>. Cijene fosilnih goriva do 2040. godine</w:t>
      </w:r>
      <w:bookmarkEnd w:id="3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739"/>
        <w:gridCol w:w="717"/>
        <w:gridCol w:w="717"/>
        <w:gridCol w:w="717"/>
        <w:gridCol w:w="717"/>
        <w:gridCol w:w="717"/>
        <w:gridCol w:w="717"/>
        <w:gridCol w:w="717"/>
      </w:tblGrid>
      <w:tr w:rsidR="00FE10C9" w:rsidRPr="00462AD9" w14:paraId="4DF953EE" w14:textId="77777777" w:rsidTr="00FE10C9">
        <w:trPr>
          <w:trHeight w:val="300"/>
        </w:trPr>
        <w:tc>
          <w:tcPr>
            <w:tcW w:w="0" w:type="auto"/>
            <w:gridSpan w:val="9"/>
            <w:shd w:val="clear" w:color="auto" w:fill="auto"/>
            <w:vAlign w:val="bottom"/>
            <w:hideMark/>
          </w:tcPr>
          <w:p w14:paraId="0FDDE07A" w14:textId="77777777" w:rsidR="00FE10C9" w:rsidRPr="00462AD9" w:rsidRDefault="00FE10C9" w:rsidP="00FE10C9">
            <w:pPr>
              <w:keepNext/>
              <w:spacing w:before="0" w:after="0" w:line="240" w:lineRule="auto"/>
              <w:rPr>
                <w:rFonts w:cs="Arial"/>
                <w:sz w:val="20"/>
                <w:szCs w:val="20"/>
              </w:rPr>
            </w:pPr>
            <w:r w:rsidRPr="00462AD9">
              <w:rPr>
                <w:rFonts w:cs="Arial"/>
                <w:b/>
                <w:color w:val="000000"/>
                <w:sz w:val="20"/>
                <w:szCs w:val="20"/>
              </w:rPr>
              <w:t>IEA – Scenarij „Novih politika“ (New policies scenario)</w:t>
            </w:r>
          </w:p>
        </w:tc>
      </w:tr>
      <w:tr w:rsidR="00FE10C9" w:rsidRPr="00462AD9" w14:paraId="4B22D3AE" w14:textId="77777777" w:rsidTr="00FE10C9">
        <w:trPr>
          <w:trHeight w:val="300"/>
        </w:trPr>
        <w:tc>
          <w:tcPr>
            <w:tcW w:w="0" w:type="auto"/>
            <w:shd w:val="clear" w:color="auto" w:fill="auto"/>
            <w:vAlign w:val="bottom"/>
            <w:hideMark/>
          </w:tcPr>
          <w:p w14:paraId="7115A05C" w14:textId="77777777" w:rsidR="00FE10C9" w:rsidRPr="00462AD9" w:rsidRDefault="00FE10C9" w:rsidP="00FE10C9">
            <w:pPr>
              <w:keepNext/>
              <w:spacing w:before="0" w:after="0" w:line="240" w:lineRule="auto"/>
              <w:jc w:val="center"/>
              <w:rPr>
                <w:rFonts w:cs="Arial"/>
                <w:b/>
                <w:i/>
                <w:color w:val="000000" w:themeColor="text1"/>
                <w:sz w:val="20"/>
                <w:szCs w:val="20"/>
              </w:rPr>
            </w:pPr>
            <w:r w:rsidRPr="00462AD9">
              <w:rPr>
                <w:rFonts w:cs="Arial"/>
                <w:b/>
                <w:i/>
                <w:color w:val="000000"/>
                <w:sz w:val="20"/>
                <w:szCs w:val="20"/>
              </w:rPr>
              <w:t>USD 2016. godine</w:t>
            </w:r>
          </w:p>
        </w:tc>
        <w:tc>
          <w:tcPr>
            <w:tcW w:w="0" w:type="auto"/>
            <w:shd w:val="clear" w:color="auto" w:fill="auto"/>
            <w:vAlign w:val="bottom"/>
            <w:hideMark/>
          </w:tcPr>
          <w:p w14:paraId="65B5CD86" w14:textId="77777777" w:rsidR="00FE10C9" w:rsidRPr="00462AD9" w:rsidRDefault="00FE10C9" w:rsidP="00FE10C9">
            <w:pPr>
              <w:keepNext/>
              <w:spacing w:before="0" w:after="0" w:line="240" w:lineRule="auto"/>
              <w:jc w:val="center"/>
              <w:rPr>
                <w:rFonts w:cs="Arial"/>
                <w:b/>
                <w:i/>
                <w:color w:val="000000" w:themeColor="text1"/>
                <w:sz w:val="20"/>
                <w:szCs w:val="20"/>
              </w:rPr>
            </w:pPr>
            <w:r w:rsidRPr="00462AD9">
              <w:rPr>
                <w:rFonts w:cs="Arial"/>
                <w:b/>
                <w:i/>
                <w:color w:val="000000"/>
                <w:sz w:val="20"/>
                <w:szCs w:val="20"/>
              </w:rPr>
              <w:t>Gorivo</w:t>
            </w:r>
          </w:p>
        </w:tc>
        <w:tc>
          <w:tcPr>
            <w:tcW w:w="0" w:type="auto"/>
            <w:shd w:val="clear" w:color="auto" w:fill="auto"/>
            <w:vAlign w:val="bottom"/>
            <w:hideMark/>
          </w:tcPr>
          <w:p w14:paraId="0A9A814C"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2000.</w:t>
            </w:r>
          </w:p>
        </w:tc>
        <w:tc>
          <w:tcPr>
            <w:tcW w:w="0" w:type="auto"/>
            <w:shd w:val="clear" w:color="auto" w:fill="auto"/>
            <w:vAlign w:val="bottom"/>
            <w:hideMark/>
          </w:tcPr>
          <w:p w14:paraId="645EFE80"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2010.</w:t>
            </w:r>
          </w:p>
        </w:tc>
        <w:tc>
          <w:tcPr>
            <w:tcW w:w="0" w:type="auto"/>
            <w:shd w:val="clear" w:color="auto" w:fill="auto"/>
            <w:vAlign w:val="bottom"/>
            <w:hideMark/>
          </w:tcPr>
          <w:p w14:paraId="2B564FB0"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2016.</w:t>
            </w:r>
          </w:p>
        </w:tc>
        <w:tc>
          <w:tcPr>
            <w:tcW w:w="0" w:type="auto"/>
            <w:shd w:val="clear" w:color="auto" w:fill="auto"/>
            <w:vAlign w:val="bottom"/>
            <w:hideMark/>
          </w:tcPr>
          <w:p w14:paraId="293BEEF3"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2025.</w:t>
            </w:r>
          </w:p>
        </w:tc>
        <w:tc>
          <w:tcPr>
            <w:tcW w:w="0" w:type="auto"/>
            <w:shd w:val="clear" w:color="auto" w:fill="auto"/>
            <w:vAlign w:val="bottom"/>
            <w:hideMark/>
          </w:tcPr>
          <w:p w14:paraId="7B4ABC36"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2030.</w:t>
            </w:r>
          </w:p>
        </w:tc>
        <w:tc>
          <w:tcPr>
            <w:tcW w:w="0" w:type="auto"/>
            <w:shd w:val="clear" w:color="auto" w:fill="auto"/>
            <w:vAlign w:val="bottom"/>
            <w:hideMark/>
          </w:tcPr>
          <w:p w14:paraId="7D235EF2"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2035.</w:t>
            </w:r>
          </w:p>
        </w:tc>
        <w:tc>
          <w:tcPr>
            <w:tcW w:w="0" w:type="auto"/>
            <w:shd w:val="clear" w:color="auto" w:fill="auto"/>
            <w:vAlign w:val="bottom"/>
            <w:hideMark/>
          </w:tcPr>
          <w:p w14:paraId="50FE6984"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2040.</w:t>
            </w:r>
          </w:p>
        </w:tc>
      </w:tr>
      <w:tr w:rsidR="00FE10C9" w:rsidRPr="00462AD9" w14:paraId="2E5A8E4E" w14:textId="77777777" w:rsidTr="00FE10C9">
        <w:trPr>
          <w:trHeight w:val="300"/>
        </w:trPr>
        <w:tc>
          <w:tcPr>
            <w:tcW w:w="0" w:type="auto"/>
            <w:shd w:val="clear" w:color="auto" w:fill="auto"/>
            <w:vAlign w:val="bottom"/>
            <w:hideMark/>
          </w:tcPr>
          <w:p w14:paraId="121F952D"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USD/barrel</w:t>
            </w:r>
          </w:p>
        </w:tc>
        <w:tc>
          <w:tcPr>
            <w:tcW w:w="0" w:type="auto"/>
            <w:shd w:val="clear" w:color="auto" w:fill="auto"/>
            <w:vAlign w:val="bottom"/>
            <w:hideMark/>
          </w:tcPr>
          <w:p w14:paraId="60AAA674"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Sirova nafta</w:t>
            </w:r>
          </w:p>
        </w:tc>
        <w:tc>
          <w:tcPr>
            <w:tcW w:w="0" w:type="auto"/>
            <w:shd w:val="clear" w:color="auto" w:fill="auto"/>
            <w:vAlign w:val="bottom"/>
            <w:hideMark/>
          </w:tcPr>
          <w:p w14:paraId="0DC09872"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38</w:t>
            </w:r>
          </w:p>
        </w:tc>
        <w:tc>
          <w:tcPr>
            <w:tcW w:w="0" w:type="auto"/>
            <w:shd w:val="clear" w:color="auto" w:fill="auto"/>
            <w:vAlign w:val="bottom"/>
            <w:hideMark/>
          </w:tcPr>
          <w:p w14:paraId="30A4FAE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86</w:t>
            </w:r>
          </w:p>
        </w:tc>
        <w:tc>
          <w:tcPr>
            <w:tcW w:w="0" w:type="auto"/>
            <w:shd w:val="clear" w:color="auto" w:fill="auto"/>
            <w:vAlign w:val="bottom"/>
            <w:hideMark/>
          </w:tcPr>
          <w:p w14:paraId="443A06D9"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41</w:t>
            </w:r>
          </w:p>
        </w:tc>
        <w:tc>
          <w:tcPr>
            <w:tcW w:w="0" w:type="auto"/>
            <w:shd w:val="clear" w:color="auto" w:fill="auto"/>
            <w:vAlign w:val="bottom"/>
            <w:hideMark/>
          </w:tcPr>
          <w:p w14:paraId="01257CA4"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83</w:t>
            </w:r>
          </w:p>
        </w:tc>
        <w:tc>
          <w:tcPr>
            <w:tcW w:w="0" w:type="auto"/>
            <w:shd w:val="clear" w:color="auto" w:fill="auto"/>
            <w:vAlign w:val="bottom"/>
            <w:hideMark/>
          </w:tcPr>
          <w:p w14:paraId="162B4FD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94</w:t>
            </w:r>
          </w:p>
        </w:tc>
        <w:tc>
          <w:tcPr>
            <w:tcW w:w="0" w:type="auto"/>
            <w:shd w:val="clear" w:color="auto" w:fill="auto"/>
            <w:vAlign w:val="bottom"/>
            <w:hideMark/>
          </w:tcPr>
          <w:p w14:paraId="16A27753"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103</w:t>
            </w:r>
          </w:p>
        </w:tc>
        <w:tc>
          <w:tcPr>
            <w:tcW w:w="0" w:type="auto"/>
            <w:shd w:val="clear" w:color="auto" w:fill="auto"/>
            <w:vAlign w:val="bottom"/>
            <w:hideMark/>
          </w:tcPr>
          <w:p w14:paraId="71C85B11"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111</w:t>
            </w:r>
          </w:p>
        </w:tc>
      </w:tr>
      <w:tr w:rsidR="00FE10C9" w:rsidRPr="00462AD9" w14:paraId="372B9FC4" w14:textId="77777777" w:rsidTr="00FE10C9">
        <w:trPr>
          <w:trHeight w:val="300"/>
        </w:trPr>
        <w:tc>
          <w:tcPr>
            <w:tcW w:w="0" w:type="auto"/>
            <w:shd w:val="clear" w:color="auto" w:fill="auto"/>
            <w:vAlign w:val="bottom"/>
            <w:hideMark/>
          </w:tcPr>
          <w:p w14:paraId="63121097"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USD/Mbtu</w:t>
            </w:r>
          </w:p>
        </w:tc>
        <w:tc>
          <w:tcPr>
            <w:tcW w:w="0" w:type="auto"/>
            <w:shd w:val="clear" w:color="auto" w:fill="auto"/>
            <w:vAlign w:val="bottom"/>
            <w:hideMark/>
          </w:tcPr>
          <w:p w14:paraId="47134AEB"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Prirodni plin (EU)</w:t>
            </w:r>
          </w:p>
        </w:tc>
        <w:tc>
          <w:tcPr>
            <w:tcW w:w="0" w:type="auto"/>
            <w:shd w:val="clear" w:color="auto" w:fill="auto"/>
            <w:vAlign w:val="bottom"/>
            <w:hideMark/>
          </w:tcPr>
          <w:p w14:paraId="4A2DFFF3"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3,8</w:t>
            </w:r>
          </w:p>
        </w:tc>
        <w:tc>
          <w:tcPr>
            <w:tcW w:w="0" w:type="auto"/>
            <w:shd w:val="clear" w:color="auto" w:fill="auto"/>
            <w:vAlign w:val="bottom"/>
            <w:hideMark/>
          </w:tcPr>
          <w:p w14:paraId="61C0DA4D"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8,2</w:t>
            </w:r>
          </w:p>
        </w:tc>
        <w:tc>
          <w:tcPr>
            <w:tcW w:w="0" w:type="auto"/>
            <w:shd w:val="clear" w:color="auto" w:fill="auto"/>
            <w:vAlign w:val="bottom"/>
            <w:hideMark/>
          </w:tcPr>
          <w:p w14:paraId="3E83B1AF"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4,9</w:t>
            </w:r>
          </w:p>
        </w:tc>
        <w:tc>
          <w:tcPr>
            <w:tcW w:w="0" w:type="auto"/>
            <w:shd w:val="clear" w:color="auto" w:fill="auto"/>
            <w:vAlign w:val="bottom"/>
            <w:hideMark/>
          </w:tcPr>
          <w:p w14:paraId="5D446E20"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7,9</w:t>
            </w:r>
          </w:p>
        </w:tc>
        <w:tc>
          <w:tcPr>
            <w:tcW w:w="0" w:type="auto"/>
            <w:shd w:val="clear" w:color="auto" w:fill="auto"/>
            <w:vAlign w:val="bottom"/>
            <w:hideMark/>
          </w:tcPr>
          <w:p w14:paraId="25419C84"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8,6</w:t>
            </w:r>
          </w:p>
        </w:tc>
        <w:tc>
          <w:tcPr>
            <w:tcW w:w="0" w:type="auto"/>
            <w:shd w:val="clear" w:color="auto" w:fill="auto"/>
            <w:vAlign w:val="bottom"/>
            <w:hideMark/>
          </w:tcPr>
          <w:p w14:paraId="611E3417"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9,1</w:t>
            </w:r>
          </w:p>
        </w:tc>
        <w:tc>
          <w:tcPr>
            <w:tcW w:w="0" w:type="auto"/>
            <w:shd w:val="clear" w:color="auto" w:fill="auto"/>
            <w:vAlign w:val="bottom"/>
            <w:hideMark/>
          </w:tcPr>
          <w:p w14:paraId="5EC142C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9,6</w:t>
            </w:r>
          </w:p>
        </w:tc>
      </w:tr>
      <w:tr w:rsidR="00FE10C9" w:rsidRPr="00462AD9" w14:paraId="299DA982" w14:textId="77777777" w:rsidTr="00FE10C9">
        <w:trPr>
          <w:trHeight w:val="300"/>
        </w:trPr>
        <w:tc>
          <w:tcPr>
            <w:tcW w:w="0" w:type="auto"/>
            <w:shd w:val="clear" w:color="auto" w:fill="auto"/>
            <w:vAlign w:val="bottom"/>
            <w:hideMark/>
          </w:tcPr>
          <w:p w14:paraId="1F9CE305" w14:textId="77777777" w:rsidR="00FE10C9" w:rsidRPr="00462AD9" w:rsidRDefault="00FE10C9" w:rsidP="00FE10C9">
            <w:pPr>
              <w:spacing w:before="0" w:after="0" w:line="240" w:lineRule="auto"/>
              <w:jc w:val="center"/>
              <w:rPr>
                <w:rFonts w:cs="Arial"/>
                <w:color w:val="000000" w:themeColor="text1"/>
                <w:sz w:val="20"/>
                <w:szCs w:val="20"/>
              </w:rPr>
            </w:pPr>
            <w:r w:rsidRPr="00462AD9">
              <w:rPr>
                <w:rFonts w:cs="Arial"/>
                <w:color w:val="000000"/>
                <w:sz w:val="20"/>
                <w:szCs w:val="20"/>
              </w:rPr>
              <w:t>USD/tona</w:t>
            </w:r>
          </w:p>
        </w:tc>
        <w:tc>
          <w:tcPr>
            <w:tcW w:w="0" w:type="auto"/>
            <w:shd w:val="clear" w:color="auto" w:fill="auto"/>
            <w:vAlign w:val="bottom"/>
            <w:hideMark/>
          </w:tcPr>
          <w:p w14:paraId="60BDEEDC" w14:textId="77777777" w:rsidR="00FE10C9" w:rsidRPr="00462AD9" w:rsidRDefault="00FE10C9" w:rsidP="00FE10C9">
            <w:pPr>
              <w:spacing w:before="0" w:after="0" w:line="240" w:lineRule="auto"/>
              <w:jc w:val="center"/>
              <w:rPr>
                <w:rFonts w:cs="Arial"/>
                <w:color w:val="000000" w:themeColor="text1"/>
                <w:sz w:val="20"/>
                <w:szCs w:val="20"/>
              </w:rPr>
            </w:pPr>
            <w:r w:rsidRPr="00462AD9">
              <w:rPr>
                <w:rFonts w:cs="Arial"/>
                <w:color w:val="000000"/>
                <w:sz w:val="20"/>
                <w:szCs w:val="20"/>
              </w:rPr>
              <w:t>Ugljen (EU)</w:t>
            </w:r>
          </w:p>
        </w:tc>
        <w:tc>
          <w:tcPr>
            <w:tcW w:w="0" w:type="auto"/>
            <w:shd w:val="clear" w:color="auto" w:fill="auto"/>
            <w:vAlign w:val="bottom"/>
            <w:hideMark/>
          </w:tcPr>
          <w:p w14:paraId="7181690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46</w:t>
            </w:r>
          </w:p>
        </w:tc>
        <w:tc>
          <w:tcPr>
            <w:tcW w:w="0" w:type="auto"/>
            <w:shd w:val="clear" w:color="auto" w:fill="auto"/>
            <w:vAlign w:val="bottom"/>
            <w:hideMark/>
          </w:tcPr>
          <w:p w14:paraId="0CA71C1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101</w:t>
            </w:r>
          </w:p>
        </w:tc>
        <w:tc>
          <w:tcPr>
            <w:tcW w:w="0" w:type="auto"/>
            <w:shd w:val="clear" w:color="auto" w:fill="auto"/>
            <w:vAlign w:val="bottom"/>
            <w:hideMark/>
          </w:tcPr>
          <w:p w14:paraId="01ED839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63</w:t>
            </w:r>
          </w:p>
        </w:tc>
        <w:tc>
          <w:tcPr>
            <w:tcW w:w="0" w:type="auto"/>
            <w:shd w:val="clear" w:color="auto" w:fill="auto"/>
            <w:vAlign w:val="bottom"/>
            <w:hideMark/>
          </w:tcPr>
          <w:p w14:paraId="0FDDD42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77</w:t>
            </w:r>
          </w:p>
        </w:tc>
        <w:tc>
          <w:tcPr>
            <w:tcW w:w="0" w:type="auto"/>
            <w:shd w:val="clear" w:color="auto" w:fill="auto"/>
            <w:vAlign w:val="bottom"/>
            <w:hideMark/>
          </w:tcPr>
          <w:p w14:paraId="4C21B58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80</w:t>
            </w:r>
          </w:p>
        </w:tc>
        <w:tc>
          <w:tcPr>
            <w:tcW w:w="0" w:type="auto"/>
            <w:shd w:val="clear" w:color="auto" w:fill="auto"/>
            <w:vAlign w:val="bottom"/>
            <w:hideMark/>
          </w:tcPr>
          <w:p w14:paraId="443D5A6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81</w:t>
            </w:r>
          </w:p>
        </w:tc>
        <w:tc>
          <w:tcPr>
            <w:tcW w:w="0" w:type="auto"/>
            <w:shd w:val="clear" w:color="auto" w:fill="auto"/>
            <w:vAlign w:val="bottom"/>
            <w:hideMark/>
          </w:tcPr>
          <w:p w14:paraId="00C1E5E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82</w:t>
            </w:r>
          </w:p>
        </w:tc>
      </w:tr>
    </w:tbl>
    <w:p w14:paraId="207CAADC" w14:textId="77777777" w:rsidR="00FE10C9" w:rsidRPr="00462AD9" w:rsidRDefault="00FE10C9" w:rsidP="00FE10C9">
      <w:pPr>
        <w:pStyle w:val="Slike"/>
        <w:keepNext w:val="0"/>
      </w:pPr>
      <w:r w:rsidRPr="00462AD9">
        <w:t>Izvor: IEA WEO 2016/2017</w:t>
      </w:r>
    </w:p>
    <w:p w14:paraId="69B3759A" w14:textId="1B39D841" w:rsidR="00FE10C9" w:rsidRPr="00462AD9" w:rsidRDefault="00FE10C9" w:rsidP="00FE10C9">
      <w:r w:rsidRPr="00462AD9">
        <w:t xml:space="preserve">Cijene za razdoblje nakon 2040. su ekstrapolirane i za potrebe analize svedene na euro iz 2015. godine. Na slici </w:t>
      </w:r>
      <w:r w:rsidRPr="00462AD9">
        <w:fldChar w:fldCharType="begin"/>
      </w:r>
      <w:r w:rsidRPr="00462AD9">
        <w:instrText xml:space="preserve"> REF sl_Cijene_Fosilnih_Goriva \h </w:instrText>
      </w:r>
      <w:r w:rsidRPr="00462AD9">
        <w:fldChar w:fldCharType="separate"/>
      </w:r>
      <w:r w:rsidR="00E5423A">
        <w:rPr>
          <w:b/>
          <w:bCs/>
        </w:rPr>
        <w:t>Pogreška! Izvor reference nije pronađen.</w:t>
      </w:r>
      <w:r w:rsidRPr="00462AD9">
        <w:fldChar w:fldCharType="end"/>
      </w:r>
      <w:r w:rsidRPr="00462AD9">
        <w:t>. prikazana ja razina tako pretpostavljenih cijena za fosilna goriva u EUR/GJ.</w:t>
      </w:r>
    </w:p>
    <w:p w14:paraId="24B37591" w14:textId="77777777" w:rsidR="00FE10C9" w:rsidRPr="00462AD9" w:rsidRDefault="00FE10C9" w:rsidP="00FE10C9">
      <w:pPr>
        <w:keepNext/>
      </w:pPr>
      <w:r w:rsidRPr="00462AD9">
        <w:rPr>
          <w:noProof/>
        </w:rPr>
        <w:drawing>
          <wp:inline distT="0" distB="0" distL="0" distR="0" wp14:anchorId="07495C70" wp14:editId="246BF68D">
            <wp:extent cx="5760720" cy="2939351"/>
            <wp:effectExtent l="0" t="0" r="0" b="0"/>
            <wp:docPr id="1771669870" name="Picture 177166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60720" cy="2939351"/>
                    </a:xfrm>
                    <a:prstGeom prst="rect">
                      <a:avLst/>
                    </a:prstGeom>
                    <a:noFill/>
                    <a:ln>
                      <a:noFill/>
                    </a:ln>
                  </pic:spPr>
                </pic:pic>
              </a:graphicData>
            </a:graphic>
          </wp:inline>
        </w:drawing>
      </w:r>
    </w:p>
    <w:p w14:paraId="13B20AF4" w14:textId="16E433DD" w:rsidR="00FE10C9" w:rsidRPr="00462AD9" w:rsidRDefault="00FE10C9">
      <w:pPr>
        <w:pStyle w:val="Caption"/>
      </w:pPr>
      <w:bookmarkStart w:id="369" w:name="_Toc531935295"/>
      <w:r>
        <w:t xml:space="preserve">Slika </w:t>
      </w:r>
      <w:fldSimple w:instr=" STYLEREF 1 \s ">
        <w:r w:rsidR="00856D97">
          <w:rPr>
            <w:noProof/>
          </w:rPr>
          <w:t>4</w:t>
        </w:r>
      </w:fldSimple>
      <w:r w:rsidR="00856D97">
        <w:noBreakHyphen/>
      </w:r>
      <w:fldSimple w:instr=" SEQ Slika \* ARABIC \s 1 ">
        <w:r w:rsidR="00856D97">
          <w:rPr>
            <w:noProof/>
          </w:rPr>
          <w:t>5</w:t>
        </w:r>
      </w:fldSimple>
      <w:r w:rsidRPr="00462AD9">
        <w:t>. Cijene fosilnih goriva do 2050. godine</w:t>
      </w:r>
      <w:bookmarkEnd w:id="369"/>
    </w:p>
    <w:p w14:paraId="305AECDC" w14:textId="77777777" w:rsidR="00FE10C9" w:rsidRPr="00462AD9" w:rsidRDefault="00FE10C9" w:rsidP="00FE10C9">
      <w:pPr>
        <w:pStyle w:val="Slike"/>
        <w:keepNext w:val="0"/>
      </w:pPr>
      <w:r w:rsidRPr="00462AD9">
        <w:t>Izvor: IEA WEO 2016/2017 i EIHP obrada</w:t>
      </w:r>
    </w:p>
    <w:p w14:paraId="743A9A96" w14:textId="6587ADAC" w:rsidR="00FE10C9" w:rsidRPr="00462AD9" w:rsidRDefault="00FE10C9" w:rsidP="00FE10C9">
      <w:r w:rsidRPr="00462AD9">
        <w:t>Za prirodni plin i za ugljen preuzete su cijene relevantne za područje EU</w:t>
      </w:r>
      <w:r>
        <w:t>-a</w:t>
      </w:r>
      <w:r w:rsidRPr="00462AD9">
        <w:t>.</w:t>
      </w:r>
      <w:r>
        <w:t xml:space="preserve"> </w:t>
      </w:r>
      <w:r w:rsidRPr="00462AD9">
        <w:t>Za nuklearno gorivo pretpostavljena je nepromjenjiva cijena od 0,74 EUR/GJ, a za biomasu 4,6 EUR/GJ.</w:t>
      </w:r>
    </w:p>
    <w:p w14:paraId="3EA88CD0" w14:textId="6D0660A7" w:rsidR="00FE10C9" w:rsidRPr="00462AD9" w:rsidRDefault="00FE10C9" w:rsidP="00FE10C9">
      <w:r w:rsidRPr="00462AD9">
        <w:t>Za sve elektrane koje koriste fosilna goriva pretpostavljeno je da sudjeluju u europskom sustavu trgovine emisijskim jedinicama. Za potrebe izrade nacionalnih energetsko</w:t>
      </w:r>
      <w:r w:rsidRPr="00462AD9">
        <w:noBreakHyphen/>
        <w:t>klimatskih planova E</w:t>
      </w:r>
      <w:r>
        <w:t xml:space="preserve">uropska komisija </w:t>
      </w:r>
      <w:r w:rsidRPr="00462AD9">
        <w:t xml:space="preserve">je pripremila preporučene razine cijena emisijskih jedinica do 2050. godine koje </w:t>
      </w:r>
      <w:r>
        <w:t xml:space="preserve">prikazuje </w:t>
      </w:r>
      <w:r>
        <w:fldChar w:fldCharType="begin"/>
      </w:r>
      <w:r>
        <w:instrText xml:space="preserve"> REF _Ref531869882 \h </w:instrText>
      </w:r>
      <w:r>
        <w:fldChar w:fldCharType="separate"/>
      </w:r>
      <w:r w:rsidR="00E5423A">
        <w:t xml:space="preserve">Tablica </w:t>
      </w:r>
      <w:r w:rsidR="00E5423A">
        <w:rPr>
          <w:noProof/>
        </w:rPr>
        <w:t>4</w:t>
      </w:r>
      <w:r w:rsidR="00E5423A">
        <w:noBreakHyphen/>
      </w:r>
      <w:r w:rsidR="00E5423A">
        <w:rPr>
          <w:noProof/>
        </w:rPr>
        <w:t>3</w:t>
      </w:r>
      <w:r>
        <w:fldChar w:fldCharType="end"/>
      </w:r>
      <w:r w:rsidRPr="00462AD9">
        <w:t>.</w:t>
      </w:r>
      <w:r>
        <w:t xml:space="preserve"> Osnovne cijene izražene su u eurima iz 2013. godine, </w:t>
      </w:r>
      <w:r w:rsidR="005529DC">
        <w:t>iznosi su</w:t>
      </w:r>
      <w:r>
        <w:t xml:space="preserve"> preračunati na razinu 2015. godine (vrijednosti koje su korištene u analizama) i u eurima iz 2016. godine (vrijednosti koje se također navode u dokumentima Europske komisije).</w:t>
      </w:r>
    </w:p>
    <w:p w14:paraId="632EE7B2" w14:textId="29EEF8AF" w:rsidR="00FE10C9" w:rsidRPr="00462AD9" w:rsidRDefault="00FE10C9" w:rsidP="00CF2D4C">
      <w:pPr>
        <w:pStyle w:val="Caption"/>
      </w:pPr>
      <w:bookmarkStart w:id="370" w:name="_Ref531869882"/>
      <w:bookmarkStart w:id="371" w:name="_Toc531935352"/>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3</w:t>
      </w:r>
      <w:r w:rsidR="00B22048">
        <w:rPr>
          <w:noProof/>
        </w:rPr>
        <w:fldChar w:fldCharType="end"/>
      </w:r>
      <w:bookmarkEnd w:id="370"/>
      <w:r w:rsidRPr="00462AD9">
        <w:t>. Cijene emisijskih jedinica</w:t>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09"/>
        <w:gridCol w:w="809"/>
        <w:gridCol w:w="809"/>
        <w:gridCol w:w="808"/>
        <w:gridCol w:w="808"/>
        <w:gridCol w:w="808"/>
        <w:gridCol w:w="808"/>
      </w:tblGrid>
      <w:tr w:rsidR="00FE10C9" w:rsidRPr="00462AD9" w14:paraId="61A3A3E7" w14:textId="77777777" w:rsidTr="00FE10C9">
        <w:trPr>
          <w:trHeight w:val="300"/>
        </w:trPr>
        <w:tc>
          <w:tcPr>
            <w:tcW w:w="1877" w:type="pct"/>
            <w:shd w:val="clear" w:color="auto" w:fill="auto"/>
            <w:vAlign w:val="center"/>
            <w:hideMark/>
          </w:tcPr>
          <w:p w14:paraId="197B733B" w14:textId="77777777" w:rsidR="00FE10C9" w:rsidRPr="00462AD9" w:rsidRDefault="00FE10C9" w:rsidP="00FE10C9">
            <w:pPr>
              <w:spacing w:before="0" w:after="0" w:line="240" w:lineRule="auto"/>
              <w:jc w:val="center"/>
              <w:rPr>
                <w:rFonts w:cs="Arial"/>
                <w:b/>
                <w:color w:val="000000" w:themeColor="text1"/>
                <w:sz w:val="20"/>
                <w:szCs w:val="20"/>
              </w:rPr>
            </w:pPr>
            <w:r w:rsidRPr="00462AD9">
              <w:rPr>
                <w:rFonts w:cs="Arial"/>
                <w:b/>
                <w:color w:val="000000"/>
                <w:sz w:val="20"/>
                <w:szCs w:val="20"/>
              </w:rPr>
              <w:t>Cijene emisijskih jedinica</w:t>
            </w:r>
          </w:p>
        </w:tc>
        <w:tc>
          <w:tcPr>
            <w:tcW w:w="446" w:type="pct"/>
            <w:shd w:val="clear" w:color="auto" w:fill="auto"/>
            <w:vAlign w:val="center"/>
            <w:hideMark/>
          </w:tcPr>
          <w:p w14:paraId="30005090"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2015.</w:t>
            </w:r>
          </w:p>
        </w:tc>
        <w:tc>
          <w:tcPr>
            <w:tcW w:w="446" w:type="pct"/>
            <w:shd w:val="clear" w:color="auto" w:fill="auto"/>
            <w:vAlign w:val="center"/>
            <w:hideMark/>
          </w:tcPr>
          <w:p w14:paraId="171F6BA6"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2020.</w:t>
            </w:r>
          </w:p>
        </w:tc>
        <w:tc>
          <w:tcPr>
            <w:tcW w:w="446" w:type="pct"/>
            <w:shd w:val="clear" w:color="auto" w:fill="auto"/>
            <w:vAlign w:val="center"/>
            <w:hideMark/>
          </w:tcPr>
          <w:p w14:paraId="2B716FC9"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2025.</w:t>
            </w:r>
          </w:p>
        </w:tc>
        <w:tc>
          <w:tcPr>
            <w:tcW w:w="446" w:type="pct"/>
            <w:shd w:val="clear" w:color="auto" w:fill="auto"/>
            <w:vAlign w:val="center"/>
            <w:hideMark/>
          </w:tcPr>
          <w:p w14:paraId="39DA3980"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2030.</w:t>
            </w:r>
          </w:p>
        </w:tc>
        <w:tc>
          <w:tcPr>
            <w:tcW w:w="446" w:type="pct"/>
            <w:shd w:val="clear" w:color="auto" w:fill="auto"/>
            <w:vAlign w:val="center"/>
            <w:hideMark/>
          </w:tcPr>
          <w:p w14:paraId="03DCC848"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2035.</w:t>
            </w:r>
          </w:p>
        </w:tc>
        <w:tc>
          <w:tcPr>
            <w:tcW w:w="446" w:type="pct"/>
            <w:shd w:val="clear" w:color="auto" w:fill="auto"/>
            <w:vAlign w:val="center"/>
            <w:hideMark/>
          </w:tcPr>
          <w:p w14:paraId="47FC3165"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2040.</w:t>
            </w:r>
          </w:p>
        </w:tc>
        <w:tc>
          <w:tcPr>
            <w:tcW w:w="446" w:type="pct"/>
            <w:shd w:val="clear" w:color="auto" w:fill="auto"/>
            <w:vAlign w:val="center"/>
            <w:hideMark/>
          </w:tcPr>
          <w:p w14:paraId="30FFD538" w14:textId="77777777" w:rsidR="00FE10C9" w:rsidRPr="00462AD9" w:rsidRDefault="00FE10C9" w:rsidP="00FE10C9">
            <w:pPr>
              <w:spacing w:before="0" w:after="0" w:line="240" w:lineRule="auto"/>
              <w:jc w:val="center"/>
              <w:rPr>
                <w:rFonts w:cs="Arial"/>
                <w:b/>
                <w:sz w:val="20"/>
                <w:szCs w:val="20"/>
              </w:rPr>
            </w:pPr>
            <w:r w:rsidRPr="00462AD9">
              <w:rPr>
                <w:rFonts w:cs="Arial"/>
                <w:b/>
                <w:sz w:val="20"/>
                <w:szCs w:val="20"/>
              </w:rPr>
              <w:t>2050.</w:t>
            </w:r>
          </w:p>
        </w:tc>
      </w:tr>
      <w:tr w:rsidR="00FE10C9" w:rsidRPr="00462AD9" w14:paraId="05E348BB" w14:textId="77777777" w:rsidTr="00FE10C9">
        <w:trPr>
          <w:trHeight w:val="300"/>
        </w:trPr>
        <w:tc>
          <w:tcPr>
            <w:tcW w:w="1877" w:type="pct"/>
            <w:shd w:val="clear" w:color="auto" w:fill="auto"/>
            <w:vAlign w:val="center"/>
          </w:tcPr>
          <w:p w14:paraId="5DD3B799"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 EK Preporuka</w:t>
            </w:r>
            <w:r w:rsidRPr="00462AD9">
              <w:rPr>
                <w:rFonts w:cs="Arial"/>
                <w:bCs/>
                <w:color w:val="000000"/>
                <w:sz w:val="20"/>
              </w:rPr>
              <w:br/>
            </w:r>
            <w:r w:rsidRPr="00462AD9">
              <w:rPr>
                <w:rFonts w:cs="Arial"/>
                <w:color w:val="000000"/>
                <w:sz w:val="20"/>
                <w:szCs w:val="20"/>
              </w:rPr>
              <w:t>EUR'13/t CO</w:t>
            </w:r>
            <w:r w:rsidRPr="00462AD9">
              <w:rPr>
                <w:rFonts w:cs="Arial"/>
                <w:color w:val="000000"/>
                <w:sz w:val="20"/>
                <w:szCs w:val="20"/>
                <w:vertAlign w:val="subscript"/>
              </w:rPr>
              <w:t>2</w:t>
            </w:r>
          </w:p>
        </w:tc>
        <w:tc>
          <w:tcPr>
            <w:tcW w:w="446" w:type="pct"/>
            <w:shd w:val="clear" w:color="auto" w:fill="auto"/>
            <w:vAlign w:val="center"/>
          </w:tcPr>
          <w:p w14:paraId="1E374AE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7,5</w:t>
            </w:r>
          </w:p>
        </w:tc>
        <w:tc>
          <w:tcPr>
            <w:tcW w:w="446" w:type="pct"/>
            <w:shd w:val="clear" w:color="auto" w:fill="auto"/>
            <w:vAlign w:val="center"/>
          </w:tcPr>
          <w:p w14:paraId="4A40CC4B"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15,0</w:t>
            </w:r>
          </w:p>
        </w:tc>
        <w:tc>
          <w:tcPr>
            <w:tcW w:w="446" w:type="pct"/>
            <w:shd w:val="clear" w:color="auto" w:fill="auto"/>
            <w:vAlign w:val="center"/>
          </w:tcPr>
          <w:p w14:paraId="32EA2D51"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22,5</w:t>
            </w:r>
          </w:p>
        </w:tc>
        <w:tc>
          <w:tcPr>
            <w:tcW w:w="446" w:type="pct"/>
            <w:shd w:val="clear" w:color="auto" w:fill="auto"/>
            <w:vAlign w:val="center"/>
          </w:tcPr>
          <w:p w14:paraId="5CD94E9F"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33,5</w:t>
            </w:r>
          </w:p>
        </w:tc>
        <w:tc>
          <w:tcPr>
            <w:tcW w:w="446" w:type="pct"/>
            <w:shd w:val="clear" w:color="auto" w:fill="auto"/>
            <w:vAlign w:val="center"/>
          </w:tcPr>
          <w:p w14:paraId="17AA0D92"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42,0</w:t>
            </w:r>
          </w:p>
        </w:tc>
        <w:tc>
          <w:tcPr>
            <w:tcW w:w="446" w:type="pct"/>
            <w:shd w:val="clear" w:color="auto" w:fill="auto"/>
            <w:vAlign w:val="center"/>
          </w:tcPr>
          <w:p w14:paraId="71D74B6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50,0</w:t>
            </w:r>
          </w:p>
        </w:tc>
        <w:tc>
          <w:tcPr>
            <w:tcW w:w="446" w:type="pct"/>
            <w:shd w:val="clear" w:color="auto" w:fill="auto"/>
            <w:vAlign w:val="center"/>
          </w:tcPr>
          <w:p w14:paraId="6B75163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90,0</w:t>
            </w:r>
          </w:p>
        </w:tc>
      </w:tr>
      <w:tr w:rsidR="00FE10C9" w:rsidRPr="00462AD9" w14:paraId="254BAD9B" w14:textId="77777777" w:rsidTr="00FE10C9">
        <w:trPr>
          <w:trHeight w:val="300"/>
        </w:trPr>
        <w:tc>
          <w:tcPr>
            <w:tcW w:w="1877" w:type="pct"/>
            <w:shd w:val="clear" w:color="auto" w:fill="auto"/>
            <w:vAlign w:val="center"/>
            <w:hideMark/>
          </w:tcPr>
          <w:p w14:paraId="7B69D950"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 EK Preporuka</w:t>
            </w:r>
            <w:r w:rsidRPr="00462AD9">
              <w:rPr>
                <w:rFonts w:cs="Arial"/>
                <w:bCs/>
                <w:color w:val="000000"/>
                <w:sz w:val="20"/>
              </w:rPr>
              <w:br/>
            </w:r>
            <w:r w:rsidRPr="00462AD9">
              <w:rPr>
                <w:rFonts w:cs="Arial"/>
                <w:color w:val="000000"/>
                <w:sz w:val="20"/>
                <w:szCs w:val="20"/>
              </w:rPr>
              <w:t>EUR'16/t CO</w:t>
            </w:r>
            <w:r w:rsidRPr="00462AD9">
              <w:rPr>
                <w:rFonts w:cs="Arial"/>
                <w:color w:val="000000"/>
                <w:sz w:val="20"/>
                <w:szCs w:val="20"/>
                <w:vertAlign w:val="subscript"/>
              </w:rPr>
              <w:t>2</w:t>
            </w:r>
          </w:p>
        </w:tc>
        <w:tc>
          <w:tcPr>
            <w:tcW w:w="446" w:type="pct"/>
            <w:shd w:val="clear" w:color="auto" w:fill="auto"/>
            <w:vAlign w:val="center"/>
            <w:hideMark/>
          </w:tcPr>
          <w:p w14:paraId="26C2D8C9"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7,8</w:t>
            </w:r>
          </w:p>
        </w:tc>
        <w:tc>
          <w:tcPr>
            <w:tcW w:w="446" w:type="pct"/>
            <w:shd w:val="clear" w:color="auto" w:fill="auto"/>
            <w:vAlign w:val="center"/>
            <w:hideMark/>
          </w:tcPr>
          <w:p w14:paraId="1C03614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15,5</w:t>
            </w:r>
          </w:p>
        </w:tc>
        <w:tc>
          <w:tcPr>
            <w:tcW w:w="446" w:type="pct"/>
            <w:shd w:val="clear" w:color="auto" w:fill="auto"/>
            <w:vAlign w:val="center"/>
            <w:hideMark/>
          </w:tcPr>
          <w:p w14:paraId="48B7947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23,3</w:t>
            </w:r>
          </w:p>
        </w:tc>
        <w:tc>
          <w:tcPr>
            <w:tcW w:w="446" w:type="pct"/>
            <w:shd w:val="clear" w:color="auto" w:fill="auto"/>
            <w:vAlign w:val="center"/>
            <w:hideMark/>
          </w:tcPr>
          <w:p w14:paraId="45C88C5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34,7</w:t>
            </w:r>
          </w:p>
        </w:tc>
        <w:tc>
          <w:tcPr>
            <w:tcW w:w="446" w:type="pct"/>
            <w:shd w:val="clear" w:color="auto" w:fill="auto"/>
            <w:vAlign w:val="center"/>
            <w:hideMark/>
          </w:tcPr>
          <w:p w14:paraId="39BD25B9"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43,5</w:t>
            </w:r>
          </w:p>
        </w:tc>
        <w:tc>
          <w:tcPr>
            <w:tcW w:w="446" w:type="pct"/>
            <w:shd w:val="clear" w:color="auto" w:fill="auto"/>
            <w:vAlign w:val="center"/>
            <w:hideMark/>
          </w:tcPr>
          <w:p w14:paraId="285CF98F"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51,7</w:t>
            </w:r>
          </w:p>
        </w:tc>
        <w:tc>
          <w:tcPr>
            <w:tcW w:w="446" w:type="pct"/>
            <w:shd w:val="clear" w:color="auto" w:fill="auto"/>
            <w:vAlign w:val="center"/>
            <w:hideMark/>
          </w:tcPr>
          <w:p w14:paraId="11DEA42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93,1</w:t>
            </w:r>
          </w:p>
        </w:tc>
      </w:tr>
      <w:tr w:rsidR="00FE10C9" w:rsidRPr="00462AD9" w14:paraId="3B2514AB" w14:textId="77777777" w:rsidTr="00FE10C9">
        <w:trPr>
          <w:trHeight w:val="300"/>
        </w:trPr>
        <w:tc>
          <w:tcPr>
            <w:tcW w:w="1877" w:type="pct"/>
            <w:shd w:val="clear" w:color="auto" w:fill="auto"/>
            <w:vAlign w:val="center"/>
            <w:hideMark/>
          </w:tcPr>
          <w:p w14:paraId="634FD372"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i korekcija povijesnih cijena</w:t>
            </w:r>
            <w:r w:rsidRPr="00462AD9">
              <w:rPr>
                <w:rFonts w:cs="Arial"/>
                <w:bCs/>
                <w:color w:val="000000"/>
                <w:sz w:val="20"/>
              </w:rPr>
              <w:br/>
            </w:r>
            <w:r w:rsidRPr="00462AD9">
              <w:rPr>
                <w:rFonts w:cs="Arial"/>
                <w:color w:val="000000"/>
                <w:sz w:val="20"/>
                <w:szCs w:val="20"/>
              </w:rPr>
              <w:t>EUR'16/t CO</w:t>
            </w:r>
            <w:r w:rsidRPr="00462AD9">
              <w:rPr>
                <w:rFonts w:cs="Arial"/>
                <w:color w:val="000000"/>
                <w:sz w:val="20"/>
                <w:szCs w:val="20"/>
                <w:vertAlign w:val="subscript"/>
              </w:rPr>
              <w:t>2</w:t>
            </w:r>
          </w:p>
        </w:tc>
        <w:tc>
          <w:tcPr>
            <w:tcW w:w="446" w:type="pct"/>
            <w:shd w:val="clear" w:color="auto" w:fill="auto"/>
            <w:vAlign w:val="center"/>
            <w:hideMark/>
          </w:tcPr>
          <w:p w14:paraId="086FA8D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7,8</w:t>
            </w:r>
          </w:p>
        </w:tc>
        <w:tc>
          <w:tcPr>
            <w:tcW w:w="446" w:type="pct"/>
            <w:shd w:val="clear" w:color="auto" w:fill="auto"/>
            <w:vAlign w:val="center"/>
            <w:hideMark/>
          </w:tcPr>
          <w:p w14:paraId="3EACED3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25,9</w:t>
            </w:r>
          </w:p>
        </w:tc>
        <w:tc>
          <w:tcPr>
            <w:tcW w:w="446" w:type="pct"/>
            <w:shd w:val="clear" w:color="auto" w:fill="auto"/>
            <w:vAlign w:val="center"/>
            <w:hideMark/>
          </w:tcPr>
          <w:p w14:paraId="0B1517CC"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30,3</w:t>
            </w:r>
          </w:p>
        </w:tc>
        <w:tc>
          <w:tcPr>
            <w:tcW w:w="446" w:type="pct"/>
            <w:shd w:val="clear" w:color="auto" w:fill="auto"/>
            <w:vAlign w:val="center"/>
            <w:hideMark/>
          </w:tcPr>
          <w:p w14:paraId="433EA52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34,7</w:t>
            </w:r>
          </w:p>
        </w:tc>
        <w:tc>
          <w:tcPr>
            <w:tcW w:w="446" w:type="pct"/>
            <w:shd w:val="clear" w:color="auto" w:fill="auto"/>
            <w:vAlign w:val="center"/>
            <w:hideMark/>
          </w:tcPr>
          <w:p w14:paraId="5552C44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43,5</w:t>
            </w:r>
          </w:p>
        </w:tc>
        <w:tc>
          <w:tcPr>
            <w:tcW w:w="446" w:type="pct"/>
            <w:shd w:val="clear" w:color="auto" w:fill="auto"/>
            <w:vAlign w:val="center"/>
            <w:hideMark/>
          </w:tcPr>
          <w:p w14:paraId="63409BF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51,7</w:t>
            </w:r>
          </w:p>
        </w:tc>
        <w:tc>
          <w:tcPr>
            <w:tcW w:w="446" w:type="pct"/>
            <w:shd w:val="clear" w:color="auto" w:fill="auto"/>
            <w:vAlign w:val="center"/>
            <w:hideMark/>
          </w:tcPr>
          <w:p w14:paraId="40ACAAE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93,1</w:t>
            </w:r>
          </w:p>
        </w:tc>
      </w:tr>
      <w:tr w:rsidR="00FE10C9" w:rsidRPr="00462AD9" w14:paraId="2EF92CDC" w14:textId="77777777" w:rsidTr="00FE10C9">
        <w:trPr>
          <w:trHeight w:val="300"/>
        </w:trPr>
        <w:tc>
          <w:tcPr>
            <w:tcW w:w="1877" w:type="pct"/>
            <w:shd w:val="clear" w:color="auto" w:fill="auto"/>
            <w:vAlign w:val="center"/>
          </w:tcPr>
          <w:p w14:paraId="1896B92B" w14:textId="3033063B" w:rsidR="00FE10C9" w:rsidRPr="00462AD9" w:rsidRDefault="00FE10C9" w:rsidP="00FE10C9">
            <w:pPr>
              <w:spacing w:before="0" w:after="0" w:line="240" w:lineRule="auto"/>
              <w:jc w:val="left"/>
              <w:rPr>
                <w:rFonts w:cs="Arial"/>
                <w:color w:val="000000"/>
                <w:sz w:val="20"/>
                <w:szCs w:val="20"/>
              </w:rPr>
            </w:pPr>
            <w:r w:rsidRPr="00462AD9">
              <w:rPr>
                <w:rFonts w:cs="Arial"/>
                <w:color w:val="000000"/>
                <w:sz w:val="20"/>
                <w:szCs w:val="20"/>
              </w:rPr>
              <w:t>NEKP i korekcija povijesnih cijena</w:t>
            </w:r>
            <w:r w:rsidRPr="00462AD9">
              <w:rPr>
                <w:rFonts w:cs="Arial"/>
                <w:bCs/>
                <w:color w:val="000000"/>
                <w:sz w:val="20"/>
              </w:rPr>
              <w:br/>
            </w:r>
            <w:r w:rsidRPr="00462AD9">
              <w:rPr>
                <w:rFonts w:cs="Arial"/>
                <w:color w:val="000000"/>
                <w:sz w:val="20"/>
                <w:szCs w:val="20"/>
              </w:rPr>
              <w:t>EUR'1</w:t>
            </w:r>
            <w:r>
              <w:rPr>
                <w:rFonts w:cs="Arial"/>
                <w:color w:val="000000"/>
                <w:sz w:val="20"/>
                <w:szCs w:val="20"/>
              </w:rPr>
              <w:t>5</w:t>
            </w:r>
            <w:r w:rsidRPr="00462AD9">
              <w:rPr>
                <w:rFonts w:cs="Arial"/>
                <w:color w:val="000000"/>
                <w:sz w:val="20"/>
                <w:szCs w:val="20"/>
              </w:rPr>
              <w:t>/t CO</w:t>
            </w:r>
            <w:r w:rsidRPr="00462AD9">
              <w:rPr>
                <w:rFonts w:cs="Arial"/>
                <w:color w:val="000000"/>
                <w:sz w:val="20"/>
                <w:szCs w:val="20"/>
                <w:vertAlign w:val="subscript"/>
              </w:rPr>
              <w:t>2</w:t>
            </w:r>
          </w:p>
        </w:tc>
        <w:tc>
          <w:tcPr>
            <w:tcW w:w="446" w:type="pct"/>
            <w:shd w:val="clear" w:color="auto" w:fill="auto"/>
            <w:vAlign w:val="center"/>
          </w:tcPr>
          <w:p w14:paraId="694A6050"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7</w:t>
            </w:r>
            <w:r>
              <w:rPr>
                <w:rFonts w:cs="Arial"/>
                <w:color w:val="000000"/>
                <w:sz w:val="20"/>
                <w:szCs w:val="20"/>
              </w:rPr>
              <w:t>,7</w:t>
            </w:r>
          </w:p>
        </w:tc>
        <w:tc>
          <w:tcPr>
            <w:tcW w:w="446" w:type="pct"/>
            <w:shd w:val="clear" w:color="auto" w:fill="auto"/>
            <w:vAlign w:val="center"/>
          </w:tcPr>
          <w:p w14:paraId="655DD805"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25</w:t>
            </w:r>
            <w:r>
              <w:rPr>
                <w:rFonts w:cs="Arial"/>
                <w:color w:val="000000"/>
                <w:sz w:val="20"/>
                <w:szCs w:val="20"/>
              </w:rPr>
              <w:t>,6</w:t>
            </w:r>
          </w:p>
        </w:tc>
        <w:tc>
          <w:tcPr>
            <w:tcW w:w="446" w:type="pct"/>
            <w:shd w:val="clear" w:color="auto" w:fill="auto"/>
            <w:vAlign w:val="center"/>
          </w:tcPr>
          <w:p w14:paraId="5C35146D"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29</w:t>
            </w:r>
            <w:r>
              <w:rPr>
                <w:rFonts w:cs="Arial"/>
                <w:color w:val="000000"/>
                <w:sz w:val="20"/>
                <w:szCs w:val="20"/>
              </w:rPr>
              <w:t>,</w:t>
            </w:r>
            <w:r w:rsidRPr="001A2DFB">
              <w:rPr>
                <w:rFonts w:cs="Arial"/>
                <w:color w:val="000000"/>
                <w:sz w:val="20"/>
                <w:szCs w:val="20"/>
              </w:rPr>
              <w:t>9</w:t>
            </w:r>
          </w:p>
        </w:tc>
        <w:tc>
          <w:tcPr>
            <w:tcW w:w="446" w:type="pct"/>
            <w:shd w:val="clear" w:color="auto" w:fill="auto"/>
            <w:vAlign w:val="center"/>
          </w:tcPr>
          <w:p w14:paraId="7B5D86EA"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34</w:t>
            </w:r>
            <w:r>
              <w:rPr>
                <w:rFonts w:cs="Arial"/>
                <w:color w:val="000000"/>
                <w:sz w:val="20"/>
                <w:szCs w:val="20"/>
              </w:rPr>
              <w:t>,3</w:t>
            </w:r>
          </w:p>
        </w:tc>
        <w:tc>
          <w:tcPr>
            <w:tcW w:w="446" w:type="pct"/>
            <w:shd w:val="clear" w:color="auto" w:fill="auto"/>
            <w:vAlign w:val="center"/>
          </w:tcPr>
          <w:p w14:paraId="4E0DBFBC"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4</w:t>
            </w:r>
            <w:r>
              <w:rPr>
                <w:rFonts w:cs="Arial"/>
                <w:color w:val="000000"/>
                <w:sz w:val="20"/>
                <w:szCs w:val="20"/>
              </w:rPr>
              <w:t>3,0</w:t>
            </w:r>
          </w:p>
        </w:tc>
        <w:tc>
          <w:tcPr>
            <w:tcW w:w="446" w:type="pct"/>
            <w:shd w:val="clear" w:color="auto" w:fill="auto"/>
            <w:vAlign w:val="center"/>
          </w:tcPr>
          <w:p w14:paraId="00816B8A"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51</w:t>
            </w:r>
            <w:r>
              <w:rPr>
                <w:rFonts w:cs="Arial"/>
                <w:color w:val="000000"/>
                <w:sz w:val="20"/>
                <w:szCs w:val="20"/>
              </w:rPr>
              <w:t>,</w:t>
            </w:r>
            <w:r w:rsidRPr="001A2DFB">
              <w:rPr>
                <w:rFonts w:cs="Arial"/>
                <w:color w:val="000000"/>
                <w:sz w:val="20"/>
                <w:szCs w:val="20"/>
              </w:rPr>
              <w:t>1</w:t>
            </w:r>
          </w:p>
        </w:tc>
        <w:tc>
          <w:tcPr>
            <w:tcW w:w="446" w:type="pct"/>
            <w:shd w:val="clear" w:color="auto" w:fill="auto"/>
            <w:vAlign w:val="center"/>
          </w:tcPr>
          <w:p w14:paraId="00073141" w14:textId="77777777" w:rsidR="00FE10C9" w:rsidRPr="00462AD9" w:rsidRDefault="00FE10C9" w:rsidP="00FE10C9">
            <w:pPr>
              <w:spacing w:before="0" w:after="0" w:line="240" w:lineRule="auto"/>
              <w:jc w:val="right"/>
              <w:rPr>
                <w:rFonts w:cs="Arial"/>
                <w:color w:val="000000"/>
                <w:sz w:val="20"/>
                <w:szCs w:val="20"/>
              </w:rPr>
            </w:pPr>
            <w:r>
              <w:rPr>
                <w:rFonts w:cs="Arial"/>
                <w:color w:val="000000"/>
                <w:sz w:val="20"/>
                <w:szCs w:val="20"/>
              </w:rPr>
              <w:t>92,1</w:t>
            </w:r>
          </w:p>
        </w:tc>
      </w:tr>
    </w:tbl>
    <w:p w14:paraId="283AB346" w14:textId="77777777" w:rsidR="00FE10C9" w:rsidRPr="00462AD9" w:rsidRDefault="00FE10C9" w:rsidP="00FE10C9">
      <w:pPr>
        <w:pStyle w:val="Slike"/>
        <w:keepNext w:val="0"/>
      </w:pPr>
      <w:r w:rsidRPr="00462AD9">
        <w:t>Izvor: EU Reference Scenario 2016 i EIHP analiza</w:t>
      </w:r>
    </w:p>
    <w:p w14:paraId="42D85E6A" w14:textId="453870FB" w:rsidR="005529DC" w:rsidRPr="00462AD9" w:rsidRDefault="005529DC" w:rsidP="005529DC">
      <w:r w:rsidRPr="00462AD9">
        <w:t xml:space="preserve">Trenutne cijene na tržištu pokazuju i veće vrijednosti od onih preporučenih od strane EK. Temeljem takvih kretanja procijenjena je alternativna putanja cijena do 2030. godine, svedena na euro iz 2015. godine. Ove vrijednosti korištene su za optimiranje sustava proizvodnje električne energije </w:t>
      </w:r>
      <w:r>
        <w:t>(</w:t>
      </w:r>
      <w:r w:rsidR="001032D6">
        <w:fldChar w:fldCharType="begin"/>
      </w:r>
      <w:r w:rsidR="001032D6">
        <w:instrText xml:space="preserve"> REF _Ref531871069 \h </w:instrText>
      </w:r>
      <w:r w:rsidR="001032D6">
        <w:fldChar w:fldCharType="separate"/>
      </w:r>
      <w:r w:rsidR="00E5423A">
        <w:t xml:space="preserve">Slika </w:t>
      </w:r>
      <w:r w:rsidR="00E5423A">
        <w:rPr>
          <w:noProof/>
        </w:rPr>
        <w:t>4</w:t>
      </w:r>
      <w:r w:rsidR="00E5423A">
        <w:noBreakHyphen/>
      </w:r>
      <w:r w:rsidR="00E5423A">
        <w:rPr>
          <w:noProof/>
        </w:rPr>
        <w:t>6</w:t>
      </w:r>
      <w:r w:rsidR="001032D6">
        <w:fldChar w:fldCharType="end"/>
      </w:r>
      <w:r>
        <w:t>)</w:t>
      </w:r>
      <w:r w:rsidRPr="00462AD9">
        <w:t>.</w:t>
      </w:r>
    </w:p>
    <w:p w14:paraId="01AAD982" w14:textId="77777777" w:rsidR="005529DC" w:rsidRPr="00462AD9" w:rsidRDefault="005529DC" w:rsidP="005529DC">
      <w:pPr>
        <w:keepNext/>
      </w:pPr>
      <w:r w:rsidRPr="00462AD9">
        <w:rPr>
          <w:noProof/>
        </w:rPr>
        <w:drawing>
          <wp:inline distT="0" distB="0" distL="0" distR="0" wp14:anchorId="15874E6B" wp14:editId="02D81B1E">
            <wp:extent cx="5760720" cy="3227705"/>
            <wp:effectExtent l="0" t="0" r="0" b="0"/>
            <wp:docPr id="1771669871" name="Picture 177166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60720" cy="3227705"/>
                    </a:xfrm>
                    <a:prstGeom prst="rect">
                      <a:avLst/>
                    </a:prstGeom>
                    <a:noFill/>
                    <a:ln>
                      <a:noFill/>
                    </a:ln>
                  </pic:spPr>
                </pic:pic>
              </a:graphicData>
            </a:graphic>
          </wp:inline>
        </w:drawing>
      </w:r>
    </w:p>
    <w:p w14:paraId="12671144" w14:textId="7EFAC8CB" w:rsidR="005529DC" w:rsidRPr="00462AD9" w:rsidRDefault="005529DC">
      <w:pPr>
        <w:pStyle w:val="Caption"/>
      </w:pPr>
      <w:bookmarkStart w:id="372" w:name="_Ref531871069"/>
      <w:bookmarkStart w:id="373" w:name="_Ref531869972"/>
      <w:bookmarkStart w:id="374" w:name="_Toc531935296"/>
      <w:r>
        <w:t xml:space="preserve">Slika </w:t>
      </w:r>
      <w:fldSimple w:instr=" STYLEREF 1 \s ">
        <w:r w:rsidR="00856D97">
          <w:rPr>
            <w:noProof/>
          </w:rPr>
          <w:t>4</w:t>
        </w:r>
      </w:fldSimple>
      <w:r w:rsidR="00856D97">
        <w:noBreakHyphen/>
      </w:r>
      <w:fldSimple w:instr=" SEQ Slika \* ARABIC \s 1 ">
        <w:r w:rsidR="00856D97">
          <w:rPr>
            <w:noProof/>
          </w:rPr>
          <w:t>6</w:t>
        </w:r>
      </w:fldSimple>
      <w:bookmarkEnd w:id="372"/>
      <w:r w:rsidRPr="00462AD9">
        <w:t>. Očekivana cijena emisijskih jedinica do 2050. godine</w:t>
      </w:r>
      <w:bookmarkEnd w:id="373"/>
      <w:bookmarkEnd w:id="374"/>
    </w:p>
    <w:p w14:paraId="170E2AA9" w14:textId="77777777" w:rsidR="005529DC" w:rsidRPr="00462AD9" w:rsidRDefault="005529DC" w:rsidP="005529DC">
      <w:pPr>
        <w:pStyle w:val="Slike"/>
        <w:keepNext w:val="0"/>
      </w:pPr>
      <w:r w:rsidRPr="00462AD9">
        <w:t>Izvor: EU Reference Scenario 2016 i EIHP analiza</w:t>
      </w:r>
    </w:p>
    <w:p w14:paraId="5103B685" w14:textId="77777777" w:rsidR="00C21988" w:rsidRDefault="00C21988" w:rsidP="00C21988"/>
    <w:p w14:paraId="167DF49F" w14:textId="77777777" w:rsidR="00C21988" w:rsidRDefault="00C21988" w:rsidP="00C21988">
      <w:pPr>
        <w:pStyle w:val="Heading2"/>
      </w:pPr>
      <w:bookmarkStart w:id="375" w:name="_Toc531935170"/>
      <w:bookmarkStart w:id="376" w:name="_Toc531945120"/>
      <w:r>
        <w:t>Dimenzija: dekarbonizacija</w:t>
      </w:r>
      <w:bookmarkEnd w:id="375"/>
      <w:bookmarkEnd w:id="376"/>
    </w:p>
    <w:p w14:paraId="791E253D" w14:textId="77777777" w:rsidR="00C21988" w:rsidRDefault="00C21988" w:rsidP="00302043">
      <w:pPr>
        <w:pStyle w:val="Heading3"/>
      </w:pPr>
      <w:bookmarkStart w:id="377" w:name="_Toc531935171"/>
      <w:bookmarkStart w:id="378" w:name="_Toc531945121"/>
      <w:r>
        <w:t>Emisije i uklanjanja stakleničkih plinova</w:t>
      </w:r>
      <w:bookmarkEnd w:id="377"/>
      <w:bookmarkEnd w:id="378"/>
    </w:p>
    <w:p w14:paraId="14879F2E" w14:textId="77777777" w:rsidR="00C21988" w:rsidRDefault="00C21988" w:rsidP="005822F8">
      <w:pPr>
        <w:pStyle w:val="ListParagraph"/>
        <w:numPr>
          <w:ilvl w:val="0"/>
          <w:numId w:val="44"/>
        </w:numPr>
        <w:tabs>
          <w:tab w:val="clear" w:pos="431"/>
        </w:tabs>
        <w:suppressAutoHyphens w:val="0"/>
        <w:spacing w:after="160" w:line="259" w:lineRule="auto"/>
        <w:contextualSpacing/>
        <w:jc w:val="left"/>
      </w:pPr>
      <w:r>
        <w:t xml:space="preserve">Trendovi u trenutačnim emisijama i uklanjanjima stakleničkih plinova u okviru sustava EU-a za trgovanje emisijama, Uredbe o raspodjeli tereta i LULUCF-a te u okviru drugih energetskih sektora </w:t>
      </w:r>
    </w:p>
    <w:p w14:paraId="478C7D34" w14:textId="46627C29" w:rsidR="006A1890" w:rsidRDefault="00991EB3" w:rsidP="006A1890">
      <w:pPr>
        <w:suppressAutoHyphens w:val="0"/>
        <w:spacing w:after="160" w:line="259" w:lineRule="auto"/>
        <w:contextualSpacing/>
        <w:jc w:val="left"/>
      </w:pPr>
      <w:r>
        <w:t>Trend emisija stakleničkih plinova u Republi</w:t>
      </w:r>
      <w:r w:rsidR="00A93B86">
        <w:t>c</w:t>
      </w:r>
      <w:r>
        <w:t xml:space="preserve">i Hrvatskoj </w:t>
      </w:r>
      <w:r w:rsidR="005529DC">
        <w:t xml:space="preserve">prikazuje </w:t>
      </w:r>
      <w:r w:rsidR="005529DC">
        <w:fldChar w:fldCharType="begin"/>
      </w:r>
      <w:r w:rsidR="005529DC">
        <w:instrText xml:space="preserve"> REF _Ref531870041 \h </w:instrText>
      </w:r>
      <w:r w:rsidR="005529DC">
        <w:fldChar w:fldCharType="separate"/>
      </w:r>
      <w:r w:rsidR="00E5423A" w:rsidRPr="00462AD9">
        <w:t xml:space="preserve">Slika </w:t>
      </w:r>
      <w:r w:rsidR="00E5423A">
        <w:rPr>
          <w:noProof/>
        </w:rPr>
        <w:t>4</w:t>
      </w:r>
      <w:r w:rsidR="00E5423A">
        <w:noBreakHyphen/>
      </w:r>
      <w:r w:rsidR="00E5423A">
        <w:rPr>
          <w:noProof/>
        </w:rPr>
        <w:t>7</w:t>
      </w:r>
      <w:r w:rsidR="005529DC">
        <w:fldChar w:fldCharType="end"/>
      </w:r>
      <w:r>
        <w:t>.</w:t>
      </w:r>
    </w:p>
    <w:p w14:paraId="204DB154" w14:textId="77777777" w:rsidR="00991EB3" w:rsidRDefault="00991EB3" w:rsidP="006A1890">
      <w:pPr>
        <w:suppressAutoHyphens w:val="0"/>
        <w:spacing w:after="160" w:line="259" w:lineRule="auto"/>
        <w:contextualSpacing/>
        <w:jc w:val="left"/>
      </w:pPr>
    </w:p>
    <w:p w14:paraId="2159AF4D" w14:textId="3E4E7E74" w:rsidR="00140589" w:rsidRDefault="00140589" w:rsidP="006A1890">
      <w:pPr>
        <w:suppressAutoHyphens w:val="0"/>
        <w:spacing w:after="160" w:line="259" w:lineRule="auto"/>
        <w:contextualSpacing/>
        <w:jc w:val="left"/>
      </w:pPr>
      <w:r>
        <w:rPr>
          <w:noProof/>
        </w:rPr>
        <w:drawing>
          <wp:inline distT="0" distB="0" distL="0" distR="0" wp14:anchorId="645602E0" wp14:editId="25A0AAAD">
            <wp:extent cx="5735666" cy="2904135"/>
            <wp:effectExtent l="0" t="0" r="0" b="0"/>
            <wp:docPr id="13" name="Picture 6">
              <a:extLst xmlns:a="http://schemas.openxmlformats.org/drawingml/2006/main">
                <a:ext uri="{FF2B5EF4-FFF2-40B4-BE49-F238E27FC236}">
                  <a16:creationId xmlns:a16="http://schemas.microsoft.com/office/drawing/2014/main" id="{B010DE56-4B12-49D3-BC54-BF7D091B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010DE56-4B12-49D3-BC54-BF7D091B4C12}"/>
                        </a:ext>
                      </a:extLst>
                    </pic:cNvPr>
                    <pic:cNvPicPr>
                      <a:picLocks noChangeAspect="1"/>
                    </pic:cNvPicPr>
                  </pic:nvPicPr>
                  <pic:blipFill>
                    <a:blip r:embed="rId45"/>
                    <a:stretch>
                      <a:fillRect/>
                    </a:stretch>
                  </pic:blipFill>
                  <pic:spPr>
                    <a:xfrm>
                      <a:off x="0" y="0"/>
                      <a:ext cx="5767301" cy="2920153"/>
                    </a:xfrm>
                    <a:prstGeom prst="rect">
                      <a:avLst/>
                    </a:prstGeom>
                  </pic:spPr>
                </pic:pic>
              </a:graphicData>
            </a:graphic>
          </wp:inline>
        </w:drawing>
      </w:r>
    </w:p>
    <w:p w14:paraId="1AAAD17B" w14:textId="2B4C0EE1" w:rsidR="00CD2CA1" w:rsidRPr="00462AD9" w:rsidRDefault="00CD2CA1" w:rsidP="00CF2D4C">
      <w:pPr>
        <w:pStyle w:val="Caption"/>
        <w:keepNext/>
      </w:pPr>
      <w:bookmarkStart w:id="379" w:name="_Ref531870041"/>
      <w:bookmarkStart w:id="380" w:name="_Toc531935297"/>
      <w:r w:rsidRPr="00462AD9">
        <w:t xml:space="preserve">Slika </w:t>
      </w:r>
      <w:fldSimple w:instr=" STYLEREF 1 \s ">
        <w:r w:rsidR="00856D97">
          <w:rPr>
            <w:noProof/>
          </w:rPr>
          <w:t>4</w:t>
        </w:r>
      </w:fldSimple>
      <w:r w:rsidR="00856D97">
        <w:noBreakHyphen/>
      </w:r>
      <w:fldSimple w:instr=" SEQ Slika \* ARABIC \s 1 ">
        <w:r w:rsidR="00856D97">
          <w:rPr>
            <w:noProof/>
          </w:rPr>
          <w:t>7</w:t>
        </w:r>
      </w:fldSimple>
      <w:bookmarkEnd w:id="379"/>
      <w:r w:rsidRPr="00462AD9">
        <w:t xml:space="preserve">. </w:t>
      </w:r>
      <w:r w:rsidRPr="00CD2CA1">
        <w:t>Trend emisija stakleničkih plinova u Republici Hrvatskoj</w:t>
      </w:r>
      <w:bookmarkEnd w:id="380"/>
    </w:p>
    <w:p w14:paraId="129D57D6" w14:textId="57A6B7AE" w:rsidR="00140589" w:rsidRDefault="00140589">
      <w:pPr>
        <w:suppressAutoHyphens w:val="0"/>
        <w:spacing w:after="160" w:line="259" w:lineRule="auto"/>
        <w:contextualSpacing/>
      </w:pPr>
      <w:r>
        <w:t xml:space="preserve">Od 1.1.2013. </w:t>
      </w:r>
      <w:r w:rsidR="00FE113E">
        <w:t xml:space="preserve">postrojenja iz </w:t>
      </w:r>
      <w:r>
        <w:t>Republik</w:t>
      </w:r>
      <w:r w:rsidR="00FE113E">
        <w:t>e</w:t>
      </w:r>
      <w:r>
        <w:t xml:space="preserve"> Hrvatsk</w:t>
      </w:r>
      <w:r w:rsidR="00FE113E">
        <w:t xml:space="preserve">e </w:t>
      </w:r>
      <w:r w:rsidR="00CC47E4">
        <w:t>su</w:t>
      </w:r>
      <w:r w:rsidR="00FE113E">
        <w:t xml:space="preserve"> sudionici EU sustava trgovanja emisij</w:t>
      </w:r>
      <w:r w:rsidR="00514C4B">
        <w:t>s</w:t>
      </w:r>
      <w:r w:rsidR="00FE113E">
        <w:t>kim jedinicama stakleničkih plinova.</w:t>
      </w:r>
      <w:r w:rsidR="00CC47E4">
        <w:t xml:space="preserve"> Emisije </w:t>
      </w:r>
      <w:r w:rsidR="00A93B86">
        <w:t>iz ETS sektora i sektora izvan ETS-a su dostupne za 2005. godinu te za razdoblje od 2013. do 2016. godine (</w:t>
      </w:r>
      <w:r w:rsidR="005049D5">
        <w:fldChar w:fldCharType="begin"/>
      </w:r>
      <w:r w:rsidR="005049D5">
        <w:instrText xml:space="preserve"> REF _Ref531871123 \h </w:instrText>
      </w:r>
      <w:r w:rsidR="005049D5">
        <w:fldChar w:fldCharType="separate"/>
      </w:r>
      <w:r w:rsidR="00E5423A">
        <w:t xml:space="preserve">Tablica </w:t>
      </w:r>
      <w:r w:rsidR="00E5423A">
        <w:rPr>
          <w:noProof/>
        </w:rPr>
        <w:t>4</w:t>
      </w:r>
      <w:r w:rsidR="00E5423A">
        <w:noBreakHyphen/>
      </w:r>
      <w:r w:rsidR="00E5423A">
        <w:rPr>
          <w:noProof/>
        </w:rPr>
        <w:t>4</w:t>
      </w:r>
      <w:r w:rsidR="005049D5">
        <w:fldChar w:fldCharType="end"/>
      </w:r>
      <w:r w:rsidR="00A93B86">
        <w:t>).</w:t>
      </w:r>
    </w:p>
    <w:p w14:paraId="5AA24E1A" w14:textId="77777777" w:rsidR="009D1CFB" w:rsidRDefault="009D1CFB">
      <w:pPr>
        <w:suppressAutoHyphens w:val="0"/>
        <w:spacing w:after="160" w:line="259" w:lineRule="auto"/>
        <w:contextualSpacing/>
      </w:pPr>
    </w:p>
    <w:p w14:paraId="134960D6" w14:textId="2D55EADF" w:rsidR="009D1CFB" w:rsidRDefault="009D1CFB" w:rsidP="009D1CFB">
      <w:pPr>
        <w:pStyle w:val="Caption"/>
      </w:pPr>
      <w:bookmarkStart w:id="381" w:name="_Ref531871123"/>
      <w:bookmarkStart w:id="382" w:name="_Toc531935353"/>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4</w:t>
      </w:r>
      <w:r w:rsidR="00B22048">
        <w:rPr>
          <w:noProof/>
        </w:rPr>
        <w:fldChar w:fldCharType="end"/>
      </w:r>
      <w:bookmarkEnd w:id="381"/>
      <w:r>
        <w:t xml:space="preserve">: </w:t>
      </w:r>
      <w:r w:rsidR="00FF767F">
        <w:t>Trend e</w:t>
      </w:r>
      <w:r w:rsidR="00B9204A" w:rsidRPr="00B9204A">
        <w:t>misij</w:t>
      </w:r>
      <w:r w:rsidR="00FF767F">
        <w:t xml:space="preserve">a stakleničkih plinova </w:t>
      </w:r>
      <w:r w:rsidR="00B9204A" w:rsidRPr="00B9204A">
        <w:t>iz ETS sektora i sektora izvan ETS-a</w:t>
      </w:r>
      <w:r w:rsidR="00DF708B">
        <w:t xml:space="preserve"> u Republici Hrvatskoj</w:t>
      </w:r>
      <w:bookmarkEnd w:id="382"/>
    </w:p>
    <w:tbl>
      <w:tblPr>
        <w:tblW w:w="9067" w:type="dxa"/>
        <w:tblLayout w:type="fixed"/>
        <w:tblLook w:val="04A0" w:firstRow="1" w:lastRow="0" w:firstColumn="1" w:lastColumn="0" w:noHBand="0" w:noVBand="1"/>
      </w:tblPr>
      <w:tblGrid>
        <w:gridCol w:w="3260"/>
        <w:gridCol w:w="967"/>
        <w:gridCol w:w="968"/>
        <w:gridCol w:w="968"/>
        <w:gridCol w:w="968"/>
        <w:gridCol w:w="968"/>
        <w:gridCol w:w="968"/>
      </w:tblGrid>
      <w:tr w:rsidR="00CC47E4" w:rsidRPr="00CC47E4" w14:paraId="7345D3E7" w14:textId="77777777" w:rsidTr="00DB7DF8">
        <w:trPr>
          <w:trHeight w:val="315"/>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14D3" w14:textId="46167236" w:rsidR="00CC47E4" w:rsidRPr="00DB7DF8" w:rsidRDefault="00CC47E4" w:rsidP="0028318D">
            <w:pPr>
              <w:suppressAutoHyphens w:val="0"/>
              <w:spacing w:before="0" w:after="0" w:line="240" w:lineRule="auto"/>
              <w:jc w:val="left"/>
              <w:rPr>
                <w:rFonts w:cs="Arial"/>
                <w:b/>
                <w:color w:val="000000"/>
                <w:sz w:val="20"/>
                <w:szCs w:val="20"/>
              </w:rPr>
            </w:pPr>
            <w:r w:rsidRPr="00DB7DF8">
              <w:rPr>
                <w:rFonts w:cs="Arial"/>
                <w:b/>
                <w:color w:val="000000"/>
                <w:sz w:val="20"/>
                <w:szCs w:val="20"/>
              </w:rPr>
              <w:t>Emisija (kt CO</w:t>
            </w:r>
            <w:r w:rsidRPr="00DB7DF8">
              <w:rPr>
                <w:rFonts w:cs="Arial"/>
                <w:b/>
                <w:color w:val="000000"/>
                <w:sz w:val="20"/>
                <w:szCs w:val="20"/>
                <w:vertAlign w:val="subscript"/>
              </w:rPr>
              <w:t>2</w:t>
            </w:r>
            <w:r w:rsidRPr="00DB7DF8">
              <w:rPr>
                <w:rFonts w:cs="Arial"/>
                <w:b/>
                <w:color w:val="000000"/>
                <w:sz w:val="20"/>
                <w:szCs w:val="20"/>
              </w:rPr>
              <w:t>e)</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33918E90" w14:textId="0ACF54C7" w:rsidR="00CC47E4" w:rsidRPr="00DB7DF8" w:rsidRDefault="00CC47E4" w:rsidP="00DB7DF8">
            <w:pPr>
              <w:suppressAutoHyphens w:val="0"/>
              <w:spacing w:before="0" w:after="0" w:line="240" w:lineRule="auto"/>
              <w:jc w:val="right"/>
              <w:rPr>
                <w:rFonts w:cs="Arial"/>
                <w:b/>
                <w:color w:val="000000"/>
                <w:sz w:val="20"/>
                <w:szCs w:val="20"/>
              </w:rPr>
            </w:pPr>
            <w:r w:rsidRPr="00DB7DF8">
              <w:rPr>
                <w:rFonts w:cs="Arial"/>
                <w:b/>
                <w:color w:val="000000"/>
                <w:sz w:val="20"/>
                <w:szCs w:val="20"/>
              </w:rPr>
              <w:t>1990.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1664DC5" w14:textId="05EB2EB2"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2005.</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9411BC3" w14:textId="167D501A"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2013.</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1D2C415" w14:textId="05542C85"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2014.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DB934F7" w14:textId="38C2C375"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2015.</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531D1AE" w14:textId="0C087921"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2016.</w:t>
            </w:r>
          </w:p>
        </w:tc>
      </w:tr>
      <w:tr w:rsidR="00CC47E4" w:rsidRPr="00CC47E4" w14:paraId="120E99C2" w14:textId="77777777" w:rsidTr="00DB7DF8">
        <w:trPr>
          <w:trHeight w:val="315"/>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A847" w14:textId="2C0D232E" w:rsidR="00CC47E4" w:rsidRPr="00DB7DF8" w:rsidRDefault="00CC47E4" w:rsidP="00DB7DF8">
            <w:pPr>
              <w:suppressAutoHyphens w:val="0"/>
              <w:spacing w:before="0" w:after="0" w:line="240" w:lineRule="auto"/>
              <w:rPr>
                <w:rFonts w:cs="Arial"/>
                <w:color w:val="000000"/>
                <w:sz w:val="20"/>
                <w:szCs w:val="20"/>
              </w:rPr>
            </w:pPr>
            <w:r w:rsidRPr="00DB7DF8">
              <w:rPr>
                <w:rFonts w:cs="Arial"/>
                <w:color w:val="000000"/>
                <w:sz w:val="20"/>
                <w:szCs w:val="20"/>
              </w:rPr>
              <w:t>Ne ETS sektori</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9B58DCC" w14:textId="6BEDB6AF" w:rsidR="00CC47E4" w:rsidRPr="00DB7DF8" w:rsidRDefault="00CC47E4" w:rsidP="00DB7DF8">
            <w:pPr>
              <w:suppressAutoHyphens w:val="0"/>
              <w:spacing w:before="0" w:after="0" w:line="240" w:lineRule="auto"/>
              <w:jc w:val="right"/>
              <w:rPr>
                <w:rFonts w:cs="Arial"/>
                <w:color w:val="000000"/>
                <w:sz w:val="20"/>
                <w:szCs w:val="20"/>
              </w:rPr>
            </w:pP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0B238DDF" w14:textId="603D919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19307</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582085FA" w14:textId="2B3C29C6"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15778</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2C0A22F" w14:textId="3E1B65AD"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15311</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631AD82A" w14:textId="3C186208"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15802</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7E39D19" w14:textId="0E75B1FD"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16038</w:t>
            </w:r>
          </w:p>
        </w:tc>
      </w:tr>
      <w:tr w:rsidR="00CC47E4" w:rsidRPr="00CC47E4" w14:paraId="24D90C32" w14:textId="77777777" w:rsidTr="00DB7DF8">
        <w:trPr>
          <w:trHeight w:val="31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8DF40FF" w14:textId="72AF13BE" w:rsidR="00CC47E4" w:rsidRPr="00DB7DF8" w:rsidRDefault="00CC47E4" w:rsidP="00CC47E4">
            <w:pPr>
              <w:suppressAutoHyphens w:val="0"/>
              <w:spacing w:before="0" w:after="0" w:line="240" w:lineRule="auto"/>
              <w:jc w:val="left"/>
              <w:rPr>
                <w:rFonts w:cs="Arial"/>
                <w:color w:val="000000"/>
                <w:sz w:val="20"/>
                <w:szCs w:val="20"/>
              </w:rPr>
            </w:pPr>
            <w:r w:rsidRPr="00DB7DF8">
              <w:rPr>
                <w:rFonts w:cs="Arial"/>
                <w:color w:val="000000"/>
                <w:sz w:val="20"/>
                <w:szCs w:val="20"/>
              </w:rPr>
              <w:t>ETS sektor</w:t>
            </w:r>
          </w:p>
        </w:tc>
        <w:tc>
          <w:tcPr>
            <w:tcW w:w="967" w:type="dxa"/>
            <w:tcBorders>
              <w:top w:val="nil"/>
              <w:left w:val="nil"/>
              <w:bottom w:val="single" w:sz="4" w:space="0" w:color="auto"/>
              <w:right w:val="single" w:sz="4" w:space="0" w:color="auto"/>
            </w:tcBorders>
            <w:shd w:val="clear" w:color="auto" w:fill="auto"/>
            <w:vAlign w:val="center"/>
            <w:hideMark/>
          </w:tcPr>
          <w:p w14:paraId="07CD6F0D" w14:textId="074F0367" w:rsidR="00CC47E4" w:rsidRPr="00DB7DF8" w:rsidRDefault="00CC47E4" w:rsidP="00DB7DF8">
            <w:pPr>
              <w:suppressAutoHyphens w:val="0"/>
              <w:spacing w:before="0" w:after="0" w:line="240" w:lineRule="auto"/>
              <w:jc w:val="right"/>
              <w:rPr>
                <w:rFonts w:cs="Arial"/>
                <w:color w:val="000000"/>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14:paraId="323CF0CA" w14:textId="7777777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10627</w:t>
            </w:r>
          </w:p>
        </w:tc>
        <w:tc>
          <w:tcPr>
            <w:tcW w:w="968" w:type="dxa"/>
            <w:tcBorders>
              <w:top w:val="nil"/>
              <w:left w:val="nil"/>
              <w:bottom w:val="single" w:sz="4" w:space="0" w:color="auto"/>
              <w:right w:val="single" w:sz="4" w:space="0" w:color="auto"/>
            </w:tcBorders>
            <w:shd w:val="clear" w:color="auto" w:fill="auto"/>
            <w:noWrap/>
            <w:vAlign w:val="center"/>
            <w:hideMark/>
          </w:tcPr>
          <w:p w14:paraId="74039361" w14:textId="7777777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8786</w:t>
            </w:r>
          </w:p>
        </w:tc>
        <w:tc>
          <w:tcPr>
            <w:tcW w:w="968" w:type="dxa"/>
            <w:tcBorders>
              <w:top w:val="nil"/>
              <w:left w:val="nil"/>
              <w:bottom w:val="single" w:sz="4" w:space="0" w:color="auto"/>
              <w:right w:val="single" w:sz="4" w:space="0" w:color="auto"/>
            </w:tcBorders>
            <w:shd w:val="clear" w:color="auto" w:fill="auto"/>
            <w:noWrap/>
            <w:vAlign w:val="center"/>
            <w:hideMark/>
          </w:tcPr>
          <w:p w14:paraId="4839DD69" w14:textId="7777777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8387</w:t>
            </w:r>
          </w:p>
        </w:tc>
        <w:tc>
          <w:tcPr>
            <w:tcW w:w="968" w:type="dxa"/>
            <w:tcBorders>
              <w:top w:val="nil"/>
              <w:left w:val="nil"/>
              <w:bottom w:val="single" w:sz="4" w:space="0" w:color="auto"/>
              <w:right w:val="single" w:sz="4" w:space="0" w:color="auto"/>
            </w:tcBorders>
            <w:shd w:val="clear" w:color="auto" w:fill="auto"/>
            <w:noWrap/>
            <w:vAlign w:val="center"/>
            <w:hideMark/>
          </w:tcPr>
          <w:p w14:paraId="6EEFD1A5" w14:textId="7777777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8386</w:t>
            </w:r>
          </w:p>
        </w:tc>
        <w:tc>
          <w:tcPr>
            <w:tcW w:w="968" w:type="dxa"/>
            <w:tcBorders>
              <w:top w:val="nil"/>
              <w:left w:val="nil"/>
              <w:bottom w:val="single" w:sz="4" w:space="0" w:color="auto"/>
              <w:right w:val="single" w:sz="4" w:space="0" w:color="auto"/>
            </w:tcBorders>
            <w:shd w:val="clear" w:color="auto" w:fill="auto"/>
            <w:noWrap/>
            <w:vAlign w:val="center"/>
            <w:hideMark/>
          </w:tcPr>
          <w:p w14:paraId="014A923E" w14:textId="77777777" w:rsidR="00CC47E4" w:rsidRPr="00DB7DF8" w:rsidRDefault="00CC47E4" w:rsidP="00CC47E4">
            <w:pPr>
              <w:suppressAutoHyphens w:val="0"/>
              <w:spacing w:before="0" w:after="0" w:line="240" w:lineRule="auto"/>
              <w:jc w:val="right"/>
              <w:rPr>
                <w:rFonts w:cs="Arial"/>
                <w:color w:val="000000"/>
                <w:sz w:val="20"/>
                <w:szCs w:val="20"/>
              </w:rPr>
            </w:pPr>
            <w:r w:rsidRPr="00DB7DF8">
              <w:rPr>
                <w:rFonts w:cs="Arial"/>
                <w:color w:val="000000"/>
                <w:sz w:val="20"/>
                <w:szCs w:val="20"/>
              </w:rPr>
              <w:t>8267</w:t>
            </w:r>
          </w:p>
        </w:tc>
      </w:tr>
      <w:tr w:rsidR="00CC47E4" w:rsidRPr="00CC47E4" w14:paraId="794737CD" w14:textId="77777777" w:rsidTr="00DB7DF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5B5B26F" w14:textId="77777777" w:rsidR="00CC47E4" w:rsidRPr="00DB7DF8" w:rsidRDefault="00CC47E4" w:rsidP="00CC47E4">
            <w:pPr>
              <w:suppressAutoHyphens w:val="0"/>
              <w:spacing w:before="0" w:after="0" w:line="240" w:lineRule="auto"/>
              <w:jc w:val="left"/>
              <w:rPr>
                <w:rFonts w:cs="Arial"/>
                <w:b/>
                <w:color w:val="000000"/>
                <w:sz w:val="20"/>
                <w:szCs w:val="20"/>
              </w:rPr>
            </w:pPr>
            <w:r w:rsidRPr="00DB7DF8">
              <w:rPr>
                <w:rFonts w:cs="Arial"/>
                <w:b/>
                <w:color w:val="000000"/>
                <w:sz w:val="20"/>
                <w:szCs w:val="20"/>
              </w:rPr>
              <w:t>Ukupno Hrvatska</w:t>
            </w:r>
          </w:p>
        </w:tc>
        <w:tc>
          <w:tcPr>
            <w:tcW w:w="967" w:type="dxa"/>
            <w:tcBorders>
              <w:top w:val="nil"/>
              <w:left w:val="nil"/>
              <w:bottom w:val="single" w:sz="4" w:space="0" w:color="auto"/>
              <w:right w:val="single" w:sz="4" w:space="0" w:color="auto"/>
            </w:tcBorders>
            <w:shd w:val="clear" w:color="auto" w:fill="auto"/>
            <w:noWrap/>
            <w:vAlign w:val="center"/>
          </w:tcPr>
          <w:p w14:paraId="168B0A41" w14:textId="7A36E5F8" w:rsidR="00CC47E4" w:rsidRPr="00DB7DF8" w:rsidRDefault="00CC47E4" w:rsidP="00DB7DF8">
            <w:pPr>
              <w:suppressAutoHyphens w:val="0"/>
              <w:spacing w:before="0" w:after="0" w:line="240" w:lineRule="auto"/>
              <w:jc w:val="right"/>
              <w:rPr>
                <w:rFonts w:cs="Arial"/>
                <w:b/>
                <w:color w:val="000000"/>
                <w:sz w:val="20"/>
                <w:szCs w:val="20"/>
              </w:rPr>
            </w:pPr>
            <w:r w:rsidRPr="00DB7DF8">
              <w:rPr>
                <w:rFonts w:cs="Arial"/>
                <w:b/>
                <w:color w:val="000000"/>
                <w:sz w:val="20"/>
                <w:szCs w:val="20"/>
              </w:rPr>
              <w:t>31894</w:t>
            </w:r>
          </w:p>
        </w:tc>
        <w:tc>
          <w:tcPr>
            <w:tcW w:w="968" w:type="dxa"/>
            <w:tcBorders>
              <w:top w:val="nil"/>
              <w:left w:val="nil"/>
              <w:bottom w:val="single" w:sz="4" w:space="0" w:color="auto"/>
              <w:right w:val="single" w:sz="4" w:space="0" w:color="auto"/>
            </w:tcBorders>
            <w:shd w:val="clear" w:color="auto" w:fill="auto"/>
            <w:noWrap/>
            <w:vAlign w:val="center"/>
            <w:hideMark/>
          </w:tcPr>
          <w:p w14:paraId="13EC4BEA" w14:textId="77777777"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29934</w:t>
            </w:r>
          </w:p>
        </w:tc>
        <w:tc>
          <w:tcPr>
            <w:tcW w:w="968" w:type="dxa"/>
            <w:tcBorders>
              <w:top w:val="nil"/>
              <w:left w:val="nil"/>
              <w:bottom w:val="single" w:sz="4" w:space="0" w:color="auto"/>
              <w:right w:val="single" w:sz="4" w:space="0" w:color="auto"/>
            </w:tcBorders>
            <w:shd w:val="clear" w:color="auto" w:fill="auto"/>
            <w:noWrap/>
            <w:vAlign w:val="center"/>
            <w:hideMark/>
          </w:tcPr>
          <w:p w14:paraId="4A0BBA8B" w14:textId="77777777"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24563</w:t>
            </w:r>
          </w:p>
        </w:tc>
        <w:tc>
          <w:tcPr>
            <w:tcW w:w="968" w:type="dxa"/>
            <w:tcBorders>
              <w:top w:val="nil"/>
              <w:left w:val="nil"/>
              <w:bottom w:val="single" w:sz="4" w:space="0" w:color="auto"/>
              <w:right w:val="single" w:sz="4" w:space="0" w:color="auto"/>
            </w:tcBorders>
            <w:shd w:val="clear" w:color="auto" w:fill="auto"/>
            <w:noWrap/>
            <w:vAlign w:val="center"/>
            <w:hideMark/>
          </w:tcPr>
          <w:p w14:paraId="3F003E50" w14:textId="77777777"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23698</w:t>
            </w:r>
          </w:p>
        </w:tc>
        <w:tc>
          <w:tcPr>
            <w:tcW w:w="968" w:type="dxa"/>
            <w:tcBorders>
              <w:top w:val="nil"/>
              <w:left w:val="nil"/>
              <w:bottom w:val="single" w:sz="4" w:space="0" w:color="auto"/>
              <w:right w:val="single" w:sz="4" w:space="0" w:color="auto"/>
            </w:tcBorders>
            <w:shd w:val="clear" w:color="auto" w:fill="auto"/>
            <w:noWrap/>
            <w:vAlign w:val="center"/>
            <w:hideMark/>
          </w:tcPr>
          <w:p w14:paraId="07635869" w14:textId="77777777"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24189</w:t>
            </w:r>
          </w:p>
        </w:tc>
        <w:tc>
          <w:tcPr>
            <w:tcW w:w="968" w:type="dxa"/>
            <w:tcBorders>
              <w:top w:val="nil"/>
              <w:left w:val="nil"/>
              <w:bottom w:val="single" w:sz="4" w:space="0" w:color="auto"/>
              <w:right w:val="single" w:sz="4" w:space="0" w:color="auto"/>
            </w:tcBorders>
            <w:shd w:val="clear" w:color="auto" w:fill="auto"/>
            <w:noWrap/>
            <w:vAlign w:val="center"/>
            <w:hideMark/>
          </w:tcPr>
          <w:p w14:paraId="0943635A" w14:textId="77777777" w:rsidR="00CC47E4" w:rsidRPr="00DB7DF8" w:rsidRDefault="00CC47E4" w:rsidP="00CC47E4">
            <w:pPr>
              <w:suppressAutoHyphens w:val="0"/>
              <w:spacing w:before="0" w:after="0" w:line="240" w:lineRule="auto"/>
              <w:jc w:val="right"/>
              <w:rPr>
                <w:rFonts w:cs="Arial"/>
                <w:b/>
                <w:color w:val="000000"/>
                <w:sz w:val="20"/>
                <w:szCs w:val="20"/>
              </w:rPr>
            </w:pPr>
            <w:r w:rsidRPr="00DB7DF8">
              <w:rPr>
                <w:rFonts w:cs="Arial"/>
                <w:b/>
                <w:color w:val="000000"/>
                <w:sz w:val="20"/>
                <w:szCs w:val="20"/>
              </w:rPr>
              <w:t>24305</w:t>
            </w:r>
          </w:p>
        </w:tc>
      </w:tr>
    </w:tbl>
    <w:p w14:paraId="219A6B52" w14:textId="77777777" w:rsidR="00CC47E4" w:rsidRDefault="00CC47E4" w:rsidP="00DB7DF8">
      <w:pPr>
        <w:suppressAutoHyphens w:val="0"/>
        <w:spacing w:after="160" w:line="259" w:lineRule="auto"/>
        <w:contextualSpacing/>
        <w:jc w:val="left"/>
      </w:pPr>
    </w:p>
    <w:p w14:paraId="48A4718D" w14:textId="77777777" w:rsidR="007A3323" w:rsidRDefault="007A3323" w:rsidP="0045155D">
      <w:pPr>
        <w:suppressAutoHyphens w:val="0"/>
        <w:spacing w:after="160" w:line="259" w:lineRule="auto"/>
        <w:contextualSpacing/>
        <w:jc w:val="left"/>
      </w:pPr>
    </w:p>
    <w:p w14:paraId="31F271AB" w14:textId="1D7B1FE5" w:rsidR="00C21988" w:rsidRPr="00DB7DF8" w:rsidDel="009D1CFB" w:rsidRDefault="00C21988" w:rsidP="00DB7DF8">
      <w:pPr>
        <w:suppressAutoHyphens w:val="0"/>
        <w:spacing w:after="160" w:line="259" w:lineRule="auto"/>
        <w:contextualSpacing/>
      </w:pPr>
      <w:r w:rsidRPr="00DB7DF8">
        <w:t xml:space="preserve">Projekcije sektorskih </w:t>
      </w:r>
      <w:r w:rsidR="00FF767F">
        <w:t>emisija</w:t>
      </w:r>
      <w:r w:rsidR="002702B3">
        <w:t xml:space="preserve"> stakleničkih plinova</w:t>
      </w:r>
      <w:r w:rsidR="00FF767F">
        <w:t xml:space="preserve"> </w:t>
      </w:r>
      <w:r w:rsidRPr="00DB7DF8">
        <w:t xml:space="preserve">uz postojeće nacionalne politike i mjere te politike i mjere EU-a do 2040. </w:t>
      </w:r>
      <w:r w:rsidR="005049D5">
        <w:t xml:space="preserve">prikazuje </w:t>
      </w:r>
      <w:r w:rsidR="005049D5">
        <w:fldChar w:fldCharType="begin"/>
      </w:r>
      <w:r w:rsidR="005049D5">
        <w:instrText xml:space="preserve"> REF _Ref531871154 \h </w:instrText>
      </w:r>
      <w:r w:rsidR="005049D5">
        <w:fldChar w:fldCharType="separate"/>
      </w:r>
      <w:r w:rsidR="00E5423A" w:rsidRPr="00462AD9">
        <w:t xml:space="preserve">Slika </w:t>
      </w:r>
      <w:r w:rsidR="00E5423A">
        <w:rPr>
          <w:noProof/>
        </w:rPr>
        <w:t>4</w:t>
      </w:r>
      <w:r w:rsidR="00E5423A">
        <w:noBreakHyphen/>
      </w:r>
      <w:r w:rsidR="00E5423A">
        <w:rPr>
          <w:noProof/>
        </w:rPr>
        <w:t>8</w:t>
      </w:r>
      <w:r w:rsidR="005049D5">
        <w:fldChar w:fldCharType="end"/>
      </w:r>
      <w:r w:rsidR="004C4267">
        <w:t>.</w:t>
      </w:r>
    </w:p>
    <w:p w14:paraId="4AD2AD0A" w14:textId="5A3E48A5" w:rsidR="00360196" w:rsidRDefault="00360196">
      <w:pPr>
        <w:suppressAutoHyphens w:val="0"/>
        <w:spacing w:after="160" w:line="259" w:lineRule="auto"/>
        <w:contextualSpacing/>
        <w:jc w:val="left"/>
      </w:pPr>
    </w:p>
    <w:p w14:paraId="63E5EDD4" w14:textId="63238E8F" w:rsidR="009D1CFB" w:rsidRDefault="006257E1" w:rsidP="00DB7DF8">
      <w:pPr>
        <w:suppressAutoHyphens w:val="0"/>
        <w:spacing w:after="160" w:line="259" w:lineRule="auto"/>
        <w:contextualSpacing/>
        <w:jc w:val="center"/>
      </w:pPr>
      <w:r>
        <w:rPr>
          <w:noProof/>
        </w:rPr>
        <w:drawing>
          <wp:inline distT="0" distB="0" distL="0" distR="0" wp14:anchorId="388927C5" wp14:editId="6E1DAF56">
            <wp:extent cx="5803900" cy="3828415"/>
            <wp:effectExtent l="0" t="0" r="6350" b="63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3900" cy="3828415"/>
                    </a:xfrm>
                    <a:prstGeom prst="rect">
                      <a:avLst/>
                    </a:prstGeom>
                    <a:noFill/>
                  </pic:spPr>
                </pic:pic>
              </a:graphicData>
            </a:graphic>
          </wp:inline>
        </w:drawing>
      </w:r>
    </w:p>
    <w:p w14:paraId="58F6DC9F" w14:textId="6823CA63" w:rsidR="000556E8" w:rsidRPr="00462AD9" w:rsidRDefault="000556E8" w:rsidP="000556E8">
      <w:pPr>
        <w:pStyle w:val="Caption"/>
      </w:pPr>
      <w:bookmarkStart w:id="383" w:name="_Ref531871154"/>
      <w:bookmarkStart w:id="384" w:name="_Toc531935298"/>
      <w:r w:rsidRPr="007955AB">
        <w:t xml:space="preserve">Slika </w:t>
      </w:r>
      <w:fldSimple w:instr=" STYLEREF 1 \s ">
        <w:r w:rsidR="00856D97" w:rsidRPr="007955AB">
          <w:rPr>
            <w:noProof/>
          </w:rPr>
          <w:t>4</w:t>
        </w:r>
      </w:fldSimple>
      <w:r w:rsidR="00856D97" w:rsidRPr="007955AB">
        <w:noBreakHyphen/>
      </w:r>
      <w:fldSimple w:instr=" SEQ Slika \* ARABIC \s 1 ">
        <w:r w:rsidR="00856D97" w:rsidRPr="007955AB">
          <w:rPr>
            <w:noProof/>
          </w:rPr>
          <w:t>8</w:t>
        </w:r>
      </w:fldSimple>
      <w:bookmarkEnd w:id="383"/>
      <w:r w:rsidRPr="007955AB">
        <w:t>. Projekcija emisija stakleničkih plinova</w:t>
      </w:r>
      <w:r w:rsidR="00646B5A" w:rsidRPr="007955AB">
        <w:t>, uz postojeće mjere,</w:t>
      </w:r>
      <w:r w:rsidRPr="007955AB">
        <w:t xml:space="preserve"> u Republici Hrvatskoj</w:t>
      </w:r>
      <w:bookmarkEnd w:id="384"/>
    </w:p>
    <w:p w14:paraId="1F9E7878" w14:textId="77777777" w:rsidR="009D1CFB" w:rsidRPr="00DB7DF8" w:rsidRDefault="009D1CFB" w:rsidP="00DB7DF8">
      <w:pPr>
        <w:suppressAutoHyphens w:val="0"/>
        <w:spacing w:after="160" w:line="259" w:lineRule="auto"/>
        <w:contextualSpacing/>
        <w:jc w:val="left"/>
      </w:pPr>
    </w:p>
    <w:p w14:paraId="3CFF6B50" w14:textId="77777777" w:rsidR="00C21988" w:rsidRDefault="00C21988" w:rsidP="00302043">
      <w:pPr>
        <w:pStyle w:val="Heading3"/>
      </w:pPr>
      <w:bookmarkStart w:id="385" w:name="_Toc531935172"/>
      <w:bookmarkStart w:id="386" w:name="_Toc531945122"/>
      <w:r>
        <w:t>Energija iz obnovljivih izvora</w:t>
      </w:r>
      <w:bookmarkEnd w:id="385"/>
      <w:bookmarkEnd w:id="386"/>
      <w:r>
        <w:t xml:space="preserve"> </w:t>
      </w:r>
    </w:p>
    <w:p w14:paraId="733DD367" w14:textId="652B6B5A" w:rsidR="005F3F29" w:rsidRDefault="005F3F29" w:rsidP="005F3F29">
      <w:pPr>
        <w:suppressAutoHyphens w:val="0"/>
        <w:spacing w:after="160" w:line="259" w:lineRule="auto"/>
        <w:contextualSpacing/>
        <w:jc w:val="left"/>
      </w:pPr>
    </w:p>
    <w:p w14:paraId="38D3B693" w14:textId="77777777" w:rsidR="005F3F29" w:rsidRDefault="005F3F29" w:rsidP="005F3F29">
      <w:r>
        <w:t>U slučaju scenarija s postojećim mjerama (Scenarij S0 ili Scenarij 0), udjeli OIE i predviđanja uz postojeće mjere prikazane su u nastavku.</w:t>
      </w:r>
    </w:p>
    <w:p w14:paraId="2D0FF4AE" w14:textId="670C65DE" w:rsidR="005F3F29" w:rsidRDefault="005F3F29" w:rsidP="005F3F29">
      <w:pPr>
        <w:pStyle w:val="Caption"/>
        <w:keepNext/>
      </w:pPr>
      <w:bookmarkStart w:id="387" w:name="_Toc531935354"/>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5</w:t>
      </w:r>
      <w:r w:rsidR="00B22048">
        <w:rPr>
          <w:noProof/>
        </w:rPr>
        <w:fldChar w:fldCharType="end"/>
      </w:r>
      <w:r>
        <w:t>. Indikativni putanje za udjele OIE do 2030. godine u scenariju s postojećim mjerama</w:t>
      </w:r>
      <w:bookmarkEnd w:id="387"/>
    </w:p>
    <w:tbl>
      <w:tblPr>
        <w:tblW w:w="75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2"/>
        <w:gridCol w:w="1134"/>
        <w:gridCol w:w="1276"/>
        <w:gridCol w:w="1273"/>
      </w:tblGrid>
      <w:tr w:rsidR="005F3F29" w:rsidRPr="00E9288C" w14:paraId="34AE518A" w14:textId="77777777" w:rsidTr="00520FA2">
        <w:trPr>
          <w:trHeight w:val="837"/>
        </w:trPr>
        <w:tc>
          <w:tcPr>
            <w:tcW w:w="3862" w:type="dxa"/>
            <w:shd w:val="clear" w:color="auto" w:fill="auto"/>
            <w:noWrap/>
            <w:vAlign w:val="center"/>
            <w:hideMark/>
          </w:tcPr>
          <w:p w14:paraId="582A716E" w14:textId="77777777" w:rsidR="005F3F29" w:rsidRPr="00E9288C" w:rsidRDefault="005F3F29" w:rsidP="00520FA2">
            <w:pPr>
              <w:spacing w:before="0" w:after="0" w:line="240" w:lineRule="auto"/>
              <w:jc w:val="center"/>
              <w:rPr>
                <w:rFonts w:ascii="Times New Roman" w:hAnsi="Times New Roman"/>
                <w:b/>
                <w:sz w:val="24"/>
                <w:szCs w:val="24"/>
              </w:rPr>
            </w:pPr>
            <w:r w:rsidRPr="00E9288C">
              <w:rPr>
                <w:rFonts w:ascii="Calibri" w:hAnsi="Calibri" w:cs="Calibri"/>
                <w:b/>
                <w:color w:val="000000"/>
              </w:rPr>
              <w:t>Udio OIE, %</w:t>
            </w:r>
          </w:p>
        </w:tc>
        <w:tc>
          <w:tcPr>
            <w:tcW w:w="1134" w:type="dxa"/>
            <w:shd w:val="clear" w:color="auto" w:fill="auto"/>
            <w:noWrap/>
            <w:vAlign w:val="center"/>
            <w:hideMark/>
          </w:tcPr>
          <w:p w14:paraId="6F4E67F8" w14:textId="77777777" w:rsidR="005F3F29" w:rsidRPr="00E9288C" w:rsidRDefault="005F3F29" w:rsidP="00520FA2">
            <w:pPr>
              <w:spacing w:before="0" w:after="0" w:line="240" w:lineRule="auto"/>
              <w:jc w:val="center"/>
              <w:rPr>
                <w:rFonts w:ascii="Times New Roman" w:hAnsi="Times New Roman"/>
                <w:b/>
                <w:sz w:val="20"/>
                <w:szCs w:val="20"/>
              </w:rPr>
            </w:pPr>
            <w:r w:rsidRPr="00E9288C">
              <w:rPr>
                <w:rFonts w:ascii="Calibri" w:hAnsi="Calibri" w:cs="Calibri"/>
                <w:b/>
                <w:color w:val="000000"/>
              </w:rPr>
              <w:t>Vrijednost 2020.</w:t>
            </w:r>
          </w:p>
        </w:tc>
        <w:tc>
          <w:tcPr>
            <w:tcW w:w="1276" w:type="dxa"/>
            <w:shd w:val="clear" w:color="auto" w:fill="auto"/>
            <w:noWrap/>
            <w:vAlign w:val="center"/>
            <w:hideMark/>
          </w:tcPr>
          <w:p w14:paraId="2DF77B39" w14:textId="77777777" w:rsidR="005F3F29" w:rsidRDefault="005F3F29" w:rsidP="00520FA2">
            <w:pPr>
              <w:suppressAutoHyphens w:val="0"/>
              <w:spacing w:before="0" w:after="0" w:line="240" w:lineRule="auto"/>
              <w:jc w:val="center"/>
              <w:rPr>
                <w:rFonts w:ascii="Calibri" w:hAnsi="Calibri" w:cs="Calibri"/>
                <w:b/>
                <w:color w:val="000000"/>
              </w:rPr>
            </w:pPr>
            <w:r w:rsidRPr="00E9288C">
              <w:rPr>
                <w:rFonts w:ascii="Calibri" w:hAnsi="Calibri" w:cs="Calibri"/>
                <w:b/>
                <w:color w:val="000000"/>
              </w:rPr>
              <w:t xml:space="preserve">Scenarij </w:t>
            </w:r>
            <w:r>
              <w:rPr>
                <w:rFonts w:ascii="Calibri" w:hAnsi="Calibri" w:cs="Calibri"/>
                <w:b/>
                <w:color w:val="000000"/>
              </w:rPr>
              <w:t>S0</w:t>
            </w:r>
          </w:p>
          <w:p w14:paraId="0A3F035D" w14:textId="77777777" w:rsidR="005F3F29" w:rsidRPr="00E9288C" w:rsidRDefault="005F3F29" w:rsidP="00520FA2">
            <w:pPr>
              <w:spacing w:before="0" w:after="0" w:line="240" w:lineRule="auto"/>
              <w:jc w:val="center"/>
              <w:rPr>
                <w:rFonts w:ascii="Calibri" w:hAnsi="Calibri" w:cs="Calibri"/>
                <w:b/>
                <w:color w:val="000000"/>
              </w:rPr>
            </w:pPr>
            <w:r>
              <w:rPr>
                <w:rFonts w:ascii="Calibri" w:hAnsi="Calibri" w:cs="Calibri"/>
                <w:b/>
                <w:color w:val="000000"/>
              </w:rPr>
              <w:t>2030.</w:t>
            </w:r>
          </w:p>
        </w:tc>
        <w:tc>
          <w:tcPr>
            <w:tcW w:w="1273" w:type="dxa"/>
            <w:shd w:val="clear" w:color="auto" w:fill="auto"/>
            <w:vAlign w:val="center"/>
          </w:tcPr>
          <w:p w14:paraId="2E70CF78" w14:textId="77777777" w:rsidR="005F3F29" w:rsidRDefault="005F3F29" w:rsidP="00520FA2">
            <w:pPr>
              <w:suppressAutoHyphens w:val="0"/>
              <w:spacing w:before="0" w:after="0" w:line="240" w:lineRule="auto"/>
              <w:jc w:val="center"/>
              <w:rPr>
                <w:rFonts w:ascii="Calibri" w:hAnsi="Calibri" w:cs="Calibri"/>
                <w:b/>
                <w:color w:val="000000"/>
              </w:rPr>
            </w:pPr>
            <w:r w:rsidRPr="00E9288C">
              <w:rPr>
                <w:rFonts w:ascii="Calibri" w:hAnsi="Calibri" w:cs="Calibri"/>
                <w:b/>
                <w:color w:val="000000"/>
              </w:rPr>
              <w:t xml:space="preserve">Scenarij </w:t>
            </w:r>
            <w:r>
              <w:rPr>
                <w:rFonts w:ascii="Calibri" w:hAnsi="Calibri" w:cs="Calibri"/>
                <w:b/>
                <w:color w:val="000000"/>
              </w:rPr>
              <w:t>S0</w:t>
            </w:r>
          </w:p>
          <w:p w14:paraId="38D3E96A" w14:textId="77777777" w:rsidR="005F3F29" w:rsidRPr="00E9288C" w:rsidRDefault="005F3F29" w:rsidP="00520FA2">
            <w:pPr>
              <w:spacing w:before="0" w:after="0" w:line="240" w:lineRule="auto"/>
              <w:jc w:val="center"/>
              <w:rPr>
                <w:rFonts w:ascii="Calibri" w:hAnsi="Calibri" w:cs="Calibri"/>
                <w:b/>
                <w:color w:val="000000"/>
              </w:rPr>
            </w:pPr>
            <w:r>
              <w:rPr>
                <w:rFonts w:ascii="Calibri" w:hAnsi="Calibri" w:cs="Calibri"/>
                <w:b/>
                <w:color w:val="000000"/>
              </w:rPr>
              <w:t>2040.</w:t>
            </w:r>
          </w:p>
        </w:tc>
      </w:tr>
      <w:tr w:rsidR="005F3F29" w:rsidRPr="00E9288C" w14:paraId="49812B03" w14:textId="77777777" w:rsidTr="00520FA2">
        <w:trPr>
          <w:trHeight w:val="290"/>
        </w:trPr>
        <w:tc>
          <w:tcPr>
            <w:tcW w:w="3862" w:type="dxa"/>
            <w:shd w:val="clear" w:color="auto" w:fill="auto"/>
            <w:noWrap/>
            <w:vAlign w:val="center"/>
            <w:hideMark/>
          </w:tcPr>
          <w:p w14:paraId="1E7AE04B" w14:textId="77777777"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U ukupnoj neposrednoj potrošnji energije</w:t>
            </w:r>
          </w:p>
        </w:tc>
        <w:tc>
          <w:tcPr>
            <w:tcW w:w="1134" w:type="dxa"/>
            <w:shd w:val="clear" w:color="auto" w:fill="auto"/>
            <w:noWrap/>
            <w:vAlign w:val="center"/>
            <w:hideMark/>
          </w:tcPr>
          <w:p w14:paraId="6AFB69D2"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28,3</w:t>
            </w:r>
          </w:p>
        </w:tc>
        <w:tc>
          <w:tcPr>
            <w:tcW w:w="1276" w:type="dxa"/>
            <w:shd w:val="clear" w:color="auto" w:fill="auto"/>
            <w:noWrap/>
            <w:vAlign w:val="center"/>
            <w:hideMark/>
          </w:tcPr>
          <w:p w14:paraId="4A178F8E"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35,8</w:t>
            </w:r>
          </w:p>
        </w:tc>
        <w:tc>
          <w:tcPr>
            <w:tcW w:w="1273" w:type="dxa"/>
            <w:shd w:val="clear" w:color="auto" w:fill="auto"/>
            <w:noWrap/>
            <w:vAlign w:val="center"/>
            <w:hideMark/>
          </w:tcPr>
          <w:p w14:paraId="04EB1494"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40,0</w:t>
            </w:r>
          </w:p>
        </w:tc>
      </w:tr>
      <w:tr w:rsidR="005F3F29" w:rsidRPr="00E9288C" w14:paraId="72B7EAFA" w14:textId="77777777" w:rsidTr="00520FA2">
        <w:trPr>
          <w:trHeight w:val="290"/>
        </w:trPr>
        <w:tc>
          <w:tcPr>
            <w:tcW w:w="3862" w:type="dxa"/>
            <w:shd w:val="clear" w:color="auto" w:fill="auto"/>
            <w:noWrap/>
            <w:vAlign w:val="center"/>
            <w:hideMark/>
          </w:tcPr>
          <w:p w14:paraId="7B5BE33C" w14:textId="77777777"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U ukupnoj neposrednoj potrošnji električne energije</w:t>
            </w:r>
          </w:p>
        </w:tc>
        <w:tc>
          <w:tcPr>
            <w:tcW w:w="1134" w:type="dxa"/>
            <w:shd w:val="clear" w:color="auto" w:fill="auto"/>
            <w:noWrap/>
            <w:vAlign w:val="center"/>
            <w:hideMark/>
          </w:tcPr>
          <w:p w14:paraId="0F296A23"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46,7</w:t>
            </w:r>
          </w:p>
        </w:tc>
        <w:tc>
          <w:tcPr>
            <w:tcW w:w="1276" w:type="dxa"/>
            <w:shd w:val="clear" w:color="auto" w:fill="auto"/>
            <w:noWrap/>
            <w:vAlign w:val="center"/>
            <w:hideMark/>
          </w:tcPr>
          <w:p w14:paraId="42D98593"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62,2</w:t>
            </w:r>
          </w:p>
        </w:tc>
        <w:tc>
          <w:tcPr>
            <w:tcW w:w="1273" w:type="dxa"/>
            <w:shd w:val="clear" w:color="auto" w:fill="auto"/>
            <w:noWrap/>
            <w:vAlign w:val="center"/>
            <w:hideMark/>
          </w:tcPr>
          <w:p w14:paraId="2DE62F78"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74,3</w:t>
            </w:r>
          </w:p>
        </w:tc>
      </w:tr>
      <w:tr w:rsidR="005F3F29" w:rsidRPr="00E9288C" w14:paraId="68568AA8" w14:textId="77777777" w:rsidTr="00520FA2">
        <w:trPr>
          <w:trHeight w:val="290"/>
        </w:trPr>
        <w:tc>
          <w:tcPr>
            <w:tcW w:w="3862" w:type="dxa"/>
            <w:shd w:val="clear" w:color="auto" w:fill="auto"/>
            <w:noWrap/>
            <w:vAlign w:val="center"/>
            <w:hideMark/>
          </w:tcPr>
          <w:p w14:paraId="14BE779A" w14:textId="77777777"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ukupnoj neposrednoj potrošnji </w:t>
            </w:r>
            <w:r>
              <w:rPr>
                <w:rFonts w:ascii="Calibri" w:hAnsi="Calibri" w:cs="Calibri"/>
                <w:b/>
                <w:color w:val="000000"/>
              </w:rPr>
              <w:t xml:space="preserve">energije </w:t>
            </w:r>
            <w:r w:rsidRPr="00E9288C">
              <w:rPr>
                <w:rFonts w:ascii="Calibri" w:hAnsi="Calibri" w:cs="Calibri"/>
                <w:b/>
                <w:color w:val="000000"/>
              </w:rPr>
              <w:t>za grijanje i hlađenje</w:t>
            </w:r>
          </w:p>
        </w:tc>
        <w:tc>
          <w:tcPr>
            <w:tcW w:w="1134" w:type="dxa"/>
            <w:shd w:val="clear" w:color="auto" w:fill="auto"/>
            <w:noWrap/>
            <w:vAlign w:val="center"/>
            <w:hideMark/>
          </w:tcPr>
          <w:p w14:paraId="69FF0F4E"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37,6</w:t>
            </w:r>
          </w:p>
        </w:tc>
        <w:tc>
          <w:tcPr>
            <w:tcW w:w="1276" w:type="dxa"/>
            <w:shd w:val="clear" w:color="auto" w:fill="auto"/>
            <w:noWrap/>
            <w:vAlign w:val="center"/>
            <w:hideMark/>
          </w:tcPr>
          <w:p w14:paraId="78FB24A9"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35,2</w:t>
            </w:r>
          </w:p>
        </w:tc>
        <w:tc>
          <w:tcPr>
            <w:tcW w:w="1273" w:type="dxa"/>
            <w:shd w:val="clear" w:color="auto" w:fill="auto"/>
            <w:noWrap/>
            <w:vAlign w:val="center"/>
            <w:hideMark/>
          </w:tcPr>
          <w:p w14:paraId="55BA54DD"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33,4</w:t>
            </w:r>
          </w:p>
        </w:tc>
      </w:tr>
      <w:tr w:rsidR="005F3F29" w:rsidRPr="00E9288C" w14:paraId="53D3127A" w14:textId="77777777" w:rsidTr="00520FA2">
        <w:trPr>
          <w:trHeight w:val="290"/>
        </w:trPr>
        <w:tc>
          <w:tcPr>
            <w:tcW w:w="3862" w:type="dxa"/>
            <w:shd w:val="clear" w:color="auto" w:fill="auto"/>
            <w:noWrap/>
            <w:vAlign w:val="center"/>
            <w:hideMark/>
          </w:tcPr>
          <w:p w14:paraId="5B125035" w14:textId="77777777"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ukupnoj neposrednoj potrošnji </w:t>
            </w:r>
            <w:r>
              <w:rPr>
                <w:rFonts w:ascii="Calibri" w:hAnsi="Calibri" w:cs="Calibri"/>
                <w:b/>
                <w:color w:val="000000"/>
              </w:rPr>
              <w:t xml:space="preserve">energije </w:t>
            </w:r>
            <w:r w:rsidRPr="00E9288C">
              <w:rPr>
                <w:rFonts w:ascii="Calibri" w:hAnsi="Calibri" w:cs="Calibri"/>
                <w:b/>
                <w:color w:val="000000"/>
              </w:rPr>
              <w:t>u prometu</w:t>
            </w:r>
          </w:p>
        </w:tc>
        <w:tc>
          <w:tcPr>
            <w:tcW w:w="1134" w:type="dxa"/>
            <w:shd w:val="clear" w:color="auto" w:fill="auto"/>
            <w:noWrap/>
            <w:vAlign w:val="center"/>
            <w:hideMark/>
          </w:tcPr>
          <w:p w14:paraId="689BE0C9"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1,3</w:t>
            </w:r>
          </w:p>
        </w:tc>
        <w:tc>
          <w:tcPr>
            <w:tcW w:w="1276" w:type="dxa"/>
            <w:shd w:val="clear" w:color="auto" w:fill="auto"/>
            <w:noWrap/>
            <w:vAlign w:val="center"/>
            <w:hideMark/>
          </w:tcPr>
          <w:p w14:paraId="3F0B6F90"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13,2</w:t>
            </w:r>
          </w:p>
        </w:tc>
        <w:tc>
          <w:tcPr>
            <w:tcW w:w="1273" w:type="dxa"/>
            <w:shd w:val="clear" w:color="auto" w:fill="auto"/>
            <w:noWrap/>
            <w:vAlign w:val="center"/>
            <w:hideMark/>
          </w:tcPr>
          <w:p w14:paraId="34C3BA69"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19,9</w:t>
            </w:r>
          </w:p>
        </w:tc>
      </w:tr>
    </w:tbl>
    <w:p w14:paraId="6378C555" w14:textId="77777777" w:rsidR="005F3F29" w:rsidRDefault="005F3F29" w:rsidP="005F3F29">
      <w:r>
        <w:t>Na sljedećoj slici prikazane su očekivane putanje (udjeli) za promatrane kategorije (ukupni OIE, OIE u električnoj energiji, OIE u grijanju i hlađenju i OIE u prometu) za scenarij s postojećim mjerama.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F3F29" w14:paraId="33FCE488" w14:textId="77777777" w:rsidTr="00520FA2">
        <w:tc>
          <w:tcPr>
            <w:tcW w:w="4530" w:type="dxa"/>
            <w:shd w:val="clear" w:color="auto" w:fill="auto"/>
          </w:tcPr>
          <w:p w14:paraId="2B37471D" w14:textId="77777777" w:rsidR="005F3F29" w:rsidRDefault="005F3F29" w:rsidP="00520FA2">
            <w:pPr>
              <w:jc w:val="center"/>
            </w:pPr>
            <w:r w:rsidRPr="00DC0924">
              <w:rPr>
                <w:noProof/>
              </w:rPr>
              <w:drawing>
                <wp:inline distT="0" distB="0" distL="0" distR="0" wp14:anchorId="0D92312A" wp14:editId="3C74D33A">
                  <wp:extent cx="2700000" cy="168480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1684800"/>
                          </a:xfrm>
                          <a:prstGeom prst="rect">
                            <a:avLst/>
                          </a:prstGeom>
                          <a:noFill/>
                          <a:ln>
                            <a:noFill/>
                          </a:ln>
                        </pic:spPr>
                      </pic:pic>
                    </a:graphicData>
                  </a:graphic>
                </wp:inline>
              </w:drawing>
            </w:r>
          </w:p>
        </w:tc>
        <w:tc>
          <w:tcPr>
            <w:tcW w:w="4531" w:type="dxa"/>
            <w:shd w:val="clear" w:color="auto" w:fill="auto"/>
          </w:tcPr>
          <w:p w14:paraId="02AFF955" w14:textId="77777777" w:rsidR="005F3F29" w:rsidRDefault="005F3F29" w:rsidP="00520FA2">
            <w:pPr>
              <w:jc w:val="center"/>
            </w:pPr>
            <w:r w:rsidRPr="00DC0924">
              <w:rPr>
                <w:noProof/>
              </w:rPr>
              <w:drawing>
                <wp:inline distT="0" distB="0" distL="0" distR="0" wp14:anchorId="68D83009" wp14:editId="48B7AC8D">
                  <wp:extent cx="2700000" cy="16848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1684800"/>
                          </a:xfrm>
                          <a:prstGeom prst="rect">
                            <a:avLst/>
                          </a:prstGeom>
                          <a:noFill/>
                          <a:ln>
                            <a:noFill/>
                          </a:ln>
                        </pic:spPr>
                      </pic:pic>
                    </a:graphicData>
                  </a:graphic>
                </wp:inline>
              </w:drawing>
            </w:r>
          </w:p>
        </w:tc>
      </w:tr>
      <w:tr w:rsidR="005F3F29" w14:paraId="1A78D472" w14:textId="77777777" w:rsidTr="00520FA2">
        <w:tc>
          <w:tcPr>
            <w:tcW w:w="4530" w:type="dxa"/>
            <w:shd w:val="clear" w:color="auto" w:fill="auto"/>
          </w:tcPr>
          <w:p w14:paraId="07D80729" w14:textId="77777777" w:rsidR="005F3F29" w:rsidRDefault="005F3F29" w:rsidP="00520FA2">
            <w:pPr>
              <w:jc w:val="center"/>
            </w:pPr>
            <w:r w:rsidRPr="00DC0924">
              <w:rPr>
                <w:noProof/>
              </w:rPr>
              <w:drawing>
                <wp:inline distT="0" distB="0" distL="0" distR="0" wp14:anchorId="49636A8C" wp14:editId="05FB6816">
                  <wp:extent cx="2700000" cy="16848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0000" cy="1684800"/>
                          </a:xfrm>
                          <a:prstGeom prst="rect">
                            <a:avLst/>
                          </a:prstGeom>
                          <a:noFill/>
                          <a:ln>
                            <a:noFill/>
                          </a:ln>
                        </pic:spPr>
                      </pic:pic>
                    </a:graphicData>
                  </a:graphic>
                </wp:inline>
              </w:drawing>
            </w:r>
          </w:p>
        </w:tc>
        <w:tc>
          <w:tcPr>
            <w:tcW w:w="4531" w:type="dxa"/>
            <w:shd w:val="clear" w:color="auto" w:fill="auto"/>
          </w:tcPr>
          <w:p w14:paraId="05975A88" w14:textId="77777777" w:rsidR="005F3F29" w:rsidRDefault="005F3F29" w:rsidP="00520FA2">
            <w:pPr>
              <w:keepNext/>
              <w:jc w:val="center"/>
            </w:pPr>
            <w:r w:rsidRPr="00DC0924">
              <w:rPr>
                <w:noProof/>
              </w:rPr>
              <w:drawing>
                <wp:inline distT="0" distB="0" distL="0" distR="0" wp14:anchorId="18D4C4B3" wp14:editId="358ABD0D">
                  <wp:extent cx="2700000" cy="1692000"/>
                  <wp:effectExtent l="0" t="0" r="571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0000" cy="1692000"/>
                          </a:xfrm>
                          <a:prstGeom prst="rect">
                            <a:avLst/>
                          </a:prstGeom>
                          <a:noFill/>
                          <a:ln>
                            <a:noFill/>
                          </a:ln>
                        </pic:spPr>
                      </pic:pic>
                    </a:graphicData>
                  </a:graphic>
                </wp:inline>
              </w:drawing>
            </w:r>
          </w:p>
        </w:tc>
      </w:tr>
    </w:tbl>
    <w:p w14:paraId="287AE65E" w14:textId="75A3BD4A" w:rsidR="005F3F29" w:rsidRDefault="005F3F29" w:rsidP="005F3F29">
      <w:pPr>
        <w:pStyle w:val="Caption"/>
      </w:pPr>
      <w:bookmarkStart w:id="388" w:name="_Toc531935299"/>
      <w:r>
        <w:t xml:space="preserve">Slika </w:t>
      </w:r>
      <w:fldSimple w:instr=" STYLEREF 1 \s ">
        <w:r w:rsidR="00856D97">
          <w:rPr>
            <w:noProof/>
          </w:rPr>
          <w:t>4</w:t>
        </w:r>
      </w:fldSimple>
      <w:r w:rsidR="00856D97">
        <w:noBreakHyphen/>
      </w:r>
      <w:fldSimple w:instr=" SEQ Slika \* ARABIC \s 1 ">
        <w:r w:rsidR="00856D97">
          <w:rPr>
            <w:noProof/>
          </w:rPr>
          <w:t>9</w:t>
        </w:r>
      </w:fldSimple>
      <w:r>
        <w:t>. Očekivana putanje za udjele OIE za scenarij s postojećim mjerama</w:t>
      </w:r>
      <w:bookmarkEnd w:id="388"/>
    </w:p>
    <w:p w14:paraId="0DE46C88" w14:textId="664B730E" w:rsidR="005F3F29" w:rsidRDefault="005F3F29" w:rsidP="005F3F29">
      <w:r>
        <w:t>Ocijenjeni doprinosi tehnologija za dobivanje energije iz OIE za scenarij s postojećim mjerama prikazani su na slici </w:t>
      </w:r>
      <w:r>
        <w:fldChar w:fldCharType="begin"/>
      </w:r>
      <w:r>
        <w:instrText xml:space="preserve"> REF sl_S0_Udio_OIE_sve_kategorije \h </w:instrText>
      </w:r>
      <w:r>
        <w:fldChar w:fldCharType="separate"/>
      </w:r>
      <w:r w:rsidR="00E5423A">
        <w:rPr>
          <w:noProof/>
        </w:rPr>
        <w:t>4</w:t>
      </w:r>
      <w:r w:rsidR="00E5423A">
        <w:noBreakHyphen/>
      </w:r>
      <w:r w:rsidR="00E5423A">
        <w:rPr>
          <w:noProof/>
        </w:rPr>
        <w:t>10</w:t>
      </w:r>
      <w:r>
        <w:fldChar w:fldCharType="end"/>
      </w:r>
      <w:r>
        <w:t xml:space="preserve">., te u tablicama </w:t>
      </w:r>
      <w:r>
        <w:fldChar w:fldCharType="begin"/>
      </w:r>
      <w:r>
        <w:instrText xml:space="preserve"> REF tbl_S0_Udio_OIE_ukupni \h </w:instrText>
      </w:r>
      <w:r>
        <w:fldChar w:fldCharType="separate"/>
      </w:r>
      <w:r w:rsidR="00E5423A">
        <w:rPr>
          <w:noProof/>
        </w:rPr>
        <w:t>4</w:t>
      </w:r>
      <w:r w:rsidR="00E5423A">
        <w:noBreakHyphen/>
      </w:r>
      <w:r w:rsidR="00E5423A">
        <w:rPr>
          <w:noProof/>
        </w:rPr>
        <w:t>6</w:t>
      </w:r>
      <w:r>
        <w:fldChar w:fldCharType="end"/>
      </w:r>
      <w:r>
        <w:t xml:space="preserve">. do </w:t>
      </w:r>
      <w:r>
        <w:fldChar w:fldCharType="begin"/>
      </w:r>
      <w:r>
        <w:instrText xml:space="preserve"> REF tbl_S0_Udio_OIE_promet \h </w:instrText>
      </w:r>
      <w:r>
        <w:fldChar w:fldCharType="separate"/>
      </w:r>
      <w:r w:rsidR="00E5423A">
        <w:rPr>
          <w:noProof/>
        </w:rPr>
        <w:t>4</w:t>
      </w:r>
      <w:r w:rsidR="00E5423A">
        <w:noBreakHyphen/>
      </w:r>
      <w:r w:rsidR="00E5423A">
        <w:rPr>
          <w:noProof/>
        </w:rPr>
        <w:t>9</w:t>
      </w:r>
      <w:r>
        <w:fldChar w:fldCharType="end"/>
      </w:r>
      <w:r>
        <w:t>.</w:t>
      </w:r>
    </w:p>
    <w:p w14:paraId="0F2462B8" w14:textId="503FCC53" w:rsidR="005F3F29" w:rsidRDefault="005F3F29" w:rsidP="005F3F29">
      <w:pPr>
        <w:pStyle w:val="Caption"/>
        <w:keepNext/>
        <w:spacing w:after="0"/>
        <w:jc w:val="both"/>
      </w:pPr>
      <w:bookmarkStart w:id="389" w:name="_Toc531935355"/>
      <w:r>
        <w:t xml:space="preserve">Tablica </w:t>
      </w:r>
      <w:bookmarkStart w:id="390" w:name="tbl_S0_Udio_OIE_ukupni"/>
      <w:r w:rsidR="00C95155">
        <w:fldChar w:fldCharType="begin"/>
      </w:r>
      <w:r w:rsidR="00C95155">
        <w:instrText xml:space="preserve"> STYLEREF 1 \s </w:instrText>
      </w:r>
      <w:r w:rsidR="00C95155">
        <w:fldChar w:fldCharType="separate"/>
      </w:r>
      <w:r w:rsidR="00E5423A">
        <w:rPr>
          <w:noProof/>
        </w:rPr>
        <w:t>4</w:t>
      </w:r>
      <w:r w:rsidR="00C95155">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6</w:t>
      </w:r>
      <w:r w:rsidR="00B22048">
        <w:rPr>
          <w:noProof/>
        </w:rPr>
        <w:fldChar w:fldCharType="end"/>
      </w:r>
      <w:bookmarkEnd w:id="390"/>
      <w:r>
        <w:t>. Ocijenjeni doprinos tehnologija za OIE – Scenarij s postojećim mjerama</w:t>
      </w:r>
      <w:bookmarkEnd w:id="389"/>
    </w:p>
    <w:p w14:paraId="01EBE0FF" w14:textId="77777777" w:rsidR="005F3F29" w:rsidRDefault="005F3F29" w:rsidP="005F3F29">
      <w:pPr>
        <w:spacing w:before="0"/>
      </w:pPr>
      <w:r w:rsidRPr="00A5373D">
        <w:rPr>
          <w:noProof/>
        </w:rPr>
        <w:drawing>
          <wp:inline distT="0" distB="0" distL="0" distR="0" wp14:anchorId="26837424" wp14:editId="1C0B4972">
            <wp:extent cx="5760085" cy="10115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1011555"/>
                    </a:xfrm>
                    <a:prstGeom prst="rect">
                      <a:avLst/>
                    </a:prstGeom>
                    <a:noFill/>
                    <a:ln>
                      <a:noFill/>
                    </a:ln>
                  </pic:spPr>
                </pic:pic>
              </a:graphicData>
            </a:graphic>
          </wp:inline>
        </w:drawing>
      </w:r>
    </w:p>
    <w:p w14:paraId="51235A4C" w14:textId="7115B3A5" w:rsidR="005F3F29" w:rsidRDefault="005F3F29" w:rsidP="005F3F29">
      <w:pPr>
        <w:pStyle w:val="Caption"/>
        <w:keepNext/>
        <w:spacing w:after="0"/>
        <w:jc w:val="both"/>
      </w:pPr>
      <w:bookmarkStart w:id="391" w:name="_Toc531935356"/>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7</w:t>
      </w:r>
      <w:r w:rsidR="00B22048">
        <w:rPr>
          <w:noProof/>
        </w:rPr>
        <w:fldChar w:fldCharType="end"/>
      </w:r>
      <w:r>
        <w:t>. Ocijenjeni doprinos tehnologija za OIE u električnoj energiji – Scenarij s postojećim mjerama</w:t>
      </w:r>
      <w:bookmarkEnd w:id="391"/>
    </w:p>
    <w:p w14:paraId="544BF046" w14:textId="77777777" w:rsidR="005F3F29" w:rsidRDefault="005F3F29" w:rsidP="005F3F29">
      <w:pPr>
        <w:spacing w:before="0"/>
      </w:pPr>
      <w:r w:rsidRPr="00A5373D">
        <w:rPr>
          <w:noProof/>
        </w:rPr>
        <w:drawing>
          <wp:inline distT="0" distB="0" distL="0" distR="0" wp14:anchorId="780D4F03" wp14:editId="319D1390">
            <wp:extent cx="5760085" cy="78867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788670"/>
                    </a:xfrm>
                    <a:prstGeom prst="rect">
                      <a:avLst/>
                    </a:prstGeom>
                    <a:noFill/>
                    <a:ln>
                      <a:noFill/>
                    </a:ln>
                  </pic:spPr>
                </pic:pic>
              </a:graphicData>
            </a:graphic>
          </wp:inline>
        </w:drawing>
      </w:r>
    </w:p>
    <w:p w14:paraId="004D9609" w14:textId="72D313C6" w:rsidR="005F3F29" w:rsidRDefault="005F3F29" w:rsidP="005F3F29">
      <w:pPr>
        <w:pStyle w:val="Caption"/>
        <w:keepNext/>
        <w:spacing w:after="0"/>
        <w:jc w:val="both"/>
      </w:pPr>
      <w:bookmarkStart w:id="392" w:name="_Toc531935357"/>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8</w:t>
      </w:r>
      <w:r w:rsidR="00B22048">
        <w:rPr>
          <w:noProof/>
        </w:rPr>
        <w:fldChar w:fldCharType="end"/>
      </w:r>
      <w:r>
        <w:t>. Ocijenjeni doprinos tehnologija za OIE u grijanju i hlađenju – Scenarij s postojećim mjerama</w:t>
      </w:r>
      <w:bookmarkEnd w:id="392"/>
    </w:p>
    <w:p w14:paraId="3B817A43" w14:textId="77777777" w:rsidR="005F3F29" w:rsidRDefault="005F3F29" w:rsidP="005F3F29">
      <w:pPr>
        <w:spacing w:before="0"/>
      </w:pPr>
      <w:r w:rsidRPr="00A5373D">
        <w:rPr>
          <w:noProof/>
        </w:rPr>
        <w:drawing>
          <wp:inline distT="0" distB="0" distL="0" distR="0" wp14:anchorId="72043D52" wp14:editId="27B173F8">
            <wp:extent cx="5760085" cy="676910"/>
            <wp:effectExtent l="0" t="0" r="0" b="889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76910"/>
                    </a:xfrm>
                    <a:prstGeom prst="rect">
                      <a:avLst/>
                    </a:prstGeom>
                    <a:noFill/>
                    <a:ln>
                      <a:noFill/>
                    </a:ln>
                  </pic:spPr>
                </pic:pic>
              </a:graphicData>
            </a:graphic>
          </wp:inline>
        </w:drawing>
      </w:r>
    </w:p>
    <w:p w14:paraId="713C2F82" w14:textId="528CC863" w:rsidR="005F3F29" w:rsidRDefault="005F3F29" w:rsidP="005F3F29">
      <w:pPr>
        <w:pStyle w:val="Caption"/>
        <w:keepNext/>
        <w:spacing w:after="0"/>
        <w:jc w:val="both"/>
      </w:pPr>
      <w:bookmarkStart w:id="393" w:name="_Toc531935358"/>
      <w:r>
        <w:t xml:space="preserve">Tablica </w:t>
      </w:r>
      <w:bookmarkStart w:id="394" w:name="tbl_S0_Udio_OIE_promet"/>
      <w:r w:rsidR="00C95155">
        <w:fldChar w:fldCharType="begin"/>
      </w:r>
      <w:r w:rsidR="00C95155">
        <w:instrText xml:space="preserve"> STYLEREF 1 \s </w:instrText>
      </w:r>
      <w:r w:rsidR="00C95155">
        <w:fldChar w:fldCharType="separate"/>
      </w:r>
      <w:r w:rsidR="00E5423A">
        <w:rPr>
          <w:noProof/>
        </w:rPr>
        <w:t>4</w:t>
      </w:r>
      <w:r w:rsidR="00C95155">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9</w:t>
      </w:r>
      <w:r w:rsidR="00B22048">
        <w:rPr>
          <w:noProof/>
        </w:rPr>
        <w:fldChar w:fldCharType="end"/>
      </w:r>
      <w:bookmarkEnd w:id="394"/>
      <w:r>
        <w:t>. Ocijenjeni doprinos tehnologija za OIE u prometu – Scenarij s postojećim mjerama</w:t>
      </w:r>
      <w:bookmarkEnd w:id="393"/>
    </w:p>
    <w:p w14:paraId="2CF78E48" w14:textId="77777777" w:rsidR="005F3F29" w:rsidRDefault="005F3F29" w:rsidP="005F3F29">
      <w:pPr>
        <w:spacing w:before="0"/>
      </w:pPr>
      <w:r w:rsidRPr="00A5373D">
        <w:rPr>
          <w:noProof/>
        </w:rPr>
        <w:drawing>
          <wp:inline distT="0" distB="0" distL="0" distR="0" wp14:anchorId="5DBAAA43" wp14:editId="5D22BCE1">
            <wp:extent cx="5760085" cy="450215"/>
            <wp:effectExtent l="0" t="0" r="0" b="698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450215"/>
                    </a:xfrm>
                    <a:prstGeom prst="rect">
                      <a:avLst/>
                    </a:prstGeom>
                    <a:noFill/>
                    <a:ln>
                      <a:noFill/>
                    </a:ln>
                  </pic:spPr>
                </pic:pic>
              </a:graphicData>
            </a:graphic>
          </wp:inline>
        </w:drawing>
      </w:r>
    </w:p>
    <w:p w14:paraId="301A23F8" w14:textId="77777777" w:rsidR="005F3F29" w:rsidRDefault="005F3F29" w:rsidP="005F3F29">
      <w:pPr>
        <w:spacing w:befor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F3F29" w14:paraId="3B887A0B" w14:textId="77777777" w:rsidTr="00520FA2">
        <w:trPr>
          <w:cantSplit/>
          <w:jc w:val="center"/>
        </w:trPr>
        <w:tc>
          <w:tcPr>
            <w:tcW w:w="4530" w:type="dxa"/>
            <w:shd w:val="clear" w:color="auto" w:fill="auto"/>
          </w:tcPr>
          <w:p w14:paraId="75E2A354" w14:textId="77777777" w:rsidR="005F3F29" w:rsidRDefault="005F3F29" w:rsidP="00520FA2">
            <w:pPr>
              <w:keepNext/>
              <w:jc w:val="center"/>
            </w:pPr>
            <w:r w:rsidRPr="00DC0924">
              <w:rPr>
                <w:noProof/>
              </w:rPr>
              <w:drawing>
                <wp:inline distT="0" distB="0" distL="0" distR="0" wp14:anchorId="18B4FD33" wp14:editId="726251DC">
                  <wp:extent cx="2700000" cy="1314000"/>
                  <wp:effectExtent l="0" t="0" r="571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1314000"/>
                          </a:xfrm>
                          <a:prstGeom prst="rect">
                            <a:avLst/>
                          </a:prstGeom>
                          <a:noFill/>
                          <a:ln>
                            <a:noFill/>
                          </a:ln>
                        </pic:spPr>
                      </pic:pic>
                    </a:graphicData>
                  </a:graphic>
                </wp:inline>
              </w:drawing>
            </w:r>
          </w:p>
        </w:tc>
        <w:tc>
          <w:tcPr>
            <w:tcW w:w="4531" w:type="dxa"/>
            <w:shd w:val="clear" w:color="auto" w:fill="auto"/>
          </w:tcPr>
          <w:p w14:paraId="12A0BD3D" w14:textId="77777777" w:rsidR="005F3F29" w:rsidRDefault="005F3F29" w:rsidP="00520FA2">
            <w:pPr>
              <w:keepNext/>
              <w:jc w:val="center"/>
            </w:pPr>
            <w:r w:rsidRPr="00DC0924">
              <w:rPr>
                <w:noProof/>
              </w:rPr>
              <w:drawing>
                <wp:inline distT="0" distB="0" distL="0" distR="0" wp14:anchorId="40EB57F0" wp14:editId="1F996523">
                  <wp:extent cx="2700000" cy="1306800"/>
                  <wp:effectExtent l="0" t="0" r="5715" b="825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0000" cy="1306800"/>
                          </a:xfrm>
                          <a:prstGeom prst="rect">
                            <a:avLst/>
                          </a:prstGeom>
                          <a:noFill/>
                          <a:ln>
                            <a:noFill/>
                          </a:ln>
                        </pic:spPr>
                      </pic:pic>
                    </a:graphicData>
                  </a:graphic>
                </wp:inline>
              </w:drawing>
            </w:r>
          </w:p>
        </w:tc>
      </w:tr>
      <w:tr w:rsidR="005F3F29" w14:paraId="2C748504" w14:textId="77777777" w:rsidTr="00520FA2">
        <w:trPr>
          <w:cantSplit/>
          <w:jc w:val="center"/>
        </w:trPr>
        <w:tc>
          <w:tcPr>
            <w:tcW w:w="4530" w:type="dxa"/>
            <w:shd w:val="clear" w:color="auto" w:fill="auto"/>
          </w:tcPr>
          <w:p w14:paraId="7DBECA44" w14:textId="77777777" w:rsidR="005F3F29" w:rsidRDefault="005F3F29" w:rsidP="00520FA2">
            <w:pPr>
              <w:keepNext/>
              <w:jc w:val="center"/>
            </w:pPr>
            <w:r w:rsidRPr="00DC0924">
              <w:rPr>
                <w:noProof/>
              </w:rPr>
              <w:drawing>
                <wp:inline distT="0" distB="0" distL="0" distR="0" wp14:anchorId="5AC9A61D" wp14:editId="04F67B6F">
                  <wp:extent cx="2700000" cy="1310400"/>
                  <wp:effectExtent l="0" t="0" r="5715" b="444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000" cy="1310400"/>
                          </a:xfrm>
                          <a:prstGeom prst="rect">
                            <a:avLst/>
                          </a:prstGeom>
                          <a:noFill/>
                          <a:ln>
                            <a:noFill/>
                          </a:ln>
                        </pic:spPr>
                      </pic:pic>
                    </a:graphicData>
                  </a:graphic>
                </wp:inline>
              </w:drawing>
            </w:r>
          </w:p>
        </w:tc>
        <w:tc>
          <w:tcPr>
            <w:tcW w:w="4531" w:type="dxa"/>
            <w:shd w:val="clear" w:color="auto" w:fill="auto"/>
          </w:tcPr>
          <w:p w14:paraId="1B627D7A" w14:textId="77777777" w:rsidR="005F3F29" w:rsidRDefault="005F3F29" w:rsidP="00520FA2">
            <w:pPr>
              <w:keepNext/>
              <w:jc w:val="center"/>
            </w:pPr>
            <w:r w:rsidRPr="00DC0924">
              <w:rPr>
                <w:noProof/>
              </w:rPr>
              <w:drawing>
                <wp:inline distT="0" distB="0" distL="0" distR="0" wp14:anchorId="7EE9FD14" wp14:editId="719EEB76">
                  <wp:extent cx="2700000" cy="1310400"/>
                  <wp:effectExtent l="0" t="0" r="5715" b="444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0000" cy="1310400"/>
                          </a:xfrm>
                          <a:prstGeom prst="rect">
                            <a:avLst/>
                          </a:prstGeom>
                          <a:noFill/>
                          <a:ln>
                            <a:noFill/>
                          </a:ln>
                        </pic:spPr>
                      </pic:pic>
                    </a:graphicData>
                  </a:graphic>
                </wp:inline>
              </w:drawing>
            </w:r>
          </w:p>
        </w:tc>
      </w:tr>
    </w:tbl>
    <w:p w14:paraId="0D1FC02D" w14:textId="6260CF17" w:rsidR="005F3F29" w:rsidRDefault="005F3F29" w:rsidP="005F3F29">
      <w:pPr>
        <w:pStyle w:val="Caption"/>
      </w:pPr>
      <w:bookmarkStart w:id="395" w:name="_Toc531935300"/>
      <w:r>
        <w:t xml:space="preserve">Slika </w:t>
      </w:r>
      <w:bookmarkStart w:id="396" w:name="sl_S0_Udio_OIE_sve_kategorije"/>
      <w:r w:rsidR="00856D97">
        <w:fldChar w:fldCharType="begin"/>
      </w:r>
      <w:r w:rsidR="00856D97">
        <w:instrText xml:space="preserve"> STYLEREF 1 \s </w:instrText>
      </w:r>
      <w:r w:rsidR="00856D97">
        <w:fldChar w:fldCharType="separate"/>
      </w:r>
      <w:r w:rsidR="00856D97">
        <w:rPr>
          <w:noProof/>
        </w:rPr>
        <w:t>4</w:t>
      </w:r>
      <w:r w:rsidR="00856D97">
        <w:fldChar w:fldCharType="end"/>
      </w:r>
      <w:r w:rsidR="00856D97">
        <w:noBreakHyphen/>
      </w:r>
      <w:fldSimple w:instr=" SEQ Slika \* ARABIC \s 1 ">
        <w:r w:rsidR="00856D97">
          <w:rPr>
            <w:noProof/>
          </w:rPr>
          <w:t>10</w:t>
        </w:r>
      </w:fldSimple>
      <w:bookmarkEnd w:id="396"/>
      <w:r>
        <w:t>. Ocijenjeni doprinosi OIE tehnologija po sektorima – Scenarij s postojećim mjerama</w:t>
      </w:r>
      <w:bookmarkEnd w:id="395"/>
    </w:p>
    <w:p w14:paraId="161C2A09" w14:textId="4464EEFA" w:rsidR="005F3F29" w:rsidRDefault="005F3F29" w:rsidP="005F3F29">
      <w:r>
        <w:t>Očekivana struktura snage elektrana za proizvodnju električne energije za Scenarij s postojećim mjerama prikaz</w:t>
      </w:r>
      <w:r w:rsidR="0047418F">
        <w:t xml:space="preserve">uje </w:t>
      </w:r>
      <w:r w:rsidR="0047418F">
        <w:fldChar w:fldCharType="begin"/>
      </w:r>
      <w:r w:rsidR="0047418F">
        <w:instrText xml:space="preserve"> REF _Ref531871258 \h </w:instrText>
      </w:r>
      <w:r w:rsidR="0047418F">
        <w:fldChar w:fldCharType="separate"/>
      </w:r>
      <w:r w:rsidR="00E5423A">
        <w:t xml:space="preserve">Tablica </w:t>
      </w:r>
      <w:r w:rsidR="00E5423A">
        <w:rPr>
          <w:noProof/>
        </w:rPr>
        <w:t>4</w:t>
      </w:r>
      <w:r w:rsidR="00E5423A">
        <w:noBreakHyphen/>
      </w:r>
      <w:r w:rsidR="00E5423A">
        <w:rPr>
          <w:noProof/>
        </w:rPr>
        <w:t>10</w:t>
      </w:r>
      <w:r w:rsidR="0047418F">
        <w:fldChar w:fldCharType="end"/>
      </w:r>
      <w:r>
        <w:t xml:space="preserve"> i</w:t>
      </w:r>
      <w:r w:rsidR="0047418F">
        <w:t xml:space="preserve"> </w:t>
      </w:r>
      <w:r w:rsidR="0047418F">
        <w:fldChar w:fldCharType="begin"/>
      </w:r>
      <w:r w:rsidR="0047418F">
        <w:instrText xml:space="preserve"> REF _Ref531871305 \h </w:instrText>
      </w:r>
      <w:r w:rsidR="0047418F">
        <w:fldChar w:fldCharType="separate"/>
      </w:r>
      <w:r w:rsidR="00E5423A">
        <w:t xml:space="preserve">Slika </w:t>
      </w:r>
      <w:r w:rsidR="00E5423A">
        <w:rPr>
          <w:noProof/>
        </w:rPr>
        <w:t>4</w:t>
      </w:r>
      <w:r w:rsidR="00E5423A">
        <w:noBreakHyphen/>
      </w:r>
      <w:r w:rsidR="00E5423A">
        <w:rPr>
          <w:noProof/>
        </w:rPr>
        <w:t>11</w:t>
      </w:r>
      <w:r w:rsidR="0047418F">
        <w:fldChar w:fldCharType="end"/>
      </w:r>
      <w:r>
        <w:t>.</w:t>
      </w:r>
    </w:p>
    <w:p w14:paraId="51854AC6" w14:textId="5FB299B2" w:rsidR="005F3F29" w:rsidRDefault="005F3F29" w:rsidP="005F3F29">
      <w:pPr>
        <w:pStyle w:val="Caption"/>
        <w:keepNext/>
      </w:pPr>
      <w:bookmarkStart w:id="397" w:name="_Ref531871258"/>
      <w:bookmarkStart w:id="398" w:name="_Toc531935359"/>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10</w:t>
      </w:r>
      <w:r w:rsidR="00B22048">
        <w:rPr>
          <w:noProof/>
        </w:rPr>
        <w:fldChar w:fldCharType="end"/>
      </w:r>
      <w:bookmarkEnd w:id="397"/>
      <w:r>
        <w:t>. Očekivana snaga elektrana u Scenariju s postojećim mjerama</w:t>
      </w:r>
      <w:bookmarkEnd w:id="398"/>
    </w:p>
    <w:p w14:paraId="61BF2086" w14:textId="48A56A8D" w:rsidR="00246CC1" w:rsidRDefault="00246CC1" w:rsidP="00246CC1"/>
    <w:tbl>
      <w:tblPr>
        <w:tblStyle w:val="TableGrid"/>
        <w:tblW w:w="0" w:type="auto"/>
        <w:tblLook w:val="04A0" w:firstRow="1" w:lastRow="0" w:firstColumn="1" w:lastColumn="0" w:noHBand="0" w:noVBand="1"/>
      </w:tblPr>
      <w:tblGrid>
        <w:gridCol w:w="716"/>
        <w:gridCol w:w="712"/>
        <w:gridCol w:w="681"/>
        <w:gridCol w:w="609"/>
        <w:gridCol w:w="762"/>
        <w:gridCol w:w="1053"/>
        <w:gridCol w:w="906"/>
        <w:gridCol w:w="1286"/>
        <w:gridCol w:w="743"/>
        <w:gridCol w:w="738"/>
        <w:gridCol w:w="856"/>
      </w:tblGrid>
      <w:tr w:rsidR="00246CC1" w:rsidRPr="00246CC1" w14:paraId="48ACA856" w14:textId="77777777" w:rsidTr="00246CC1">
        <w:tc>
          <w:tcPr>
            <w:tcW w:w="823" w:type="dxa"/>
          </w:tcPr>
          <w:p w14:paraId="6281DC8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MW</w:t>
            </w:r>
          </w:p>
        </w:tc>
        <w:tc>
          <w:tcPr>
            <w:tcW w:w="823" w:type="dxa"/>
          </w:tcPr>
          <w:p w14:paraId="2AF5A01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Hidro</w:t>
            </w:r>
          </w:p>
        </w:tc>
        <w:tc>
          <w:tcPr>
            <w:tcW w:w="824" w:type="dxa"/>
          </w:tcPr>
          <w:p w14:paraId="2C0AD6D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Plin</w:t>
            </w:r>
          </w:p>
        </w:tc>
        <w:tc>
          <w:tcPr>
            <w:tcW w:w="824" w:type="dxa"/>
          </w:tcPr>
          <w:p w14:paraId="36E1AD9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Lož ulje</w:t>
            </w:r>
          </w:p>
        </w:tc>
        <w:tc>
          <w:tcPr>
            <w:tcW w:w="824" w:type="dxa"/>
          </w:tcPr>
          <w:p w14:paraId="0ACD0A0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Ugljen</w:t>
            </w:r>
          </w:p>
        </w:tc>
        <w:tc>
          <w:tcPr>
            <w:tcW w:w="824" w:type="dxa"/>
          </w:tcPr>
          <w:p w14:paraId="7707047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Nuklearna</w:t>
            </w:r>
          </w:p>
        </w:tc>
        <w:tc>
          <w:tcPr>
            <w:tcW w:w="824" w:type="dxa"/>
          </w:tcPr>
          <w:p w14:paraId="6343131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Biomasa</w:t>
            </w:r>
          </w:p>
        </w:tc>
        <w:tc>
          <w:tcPr>
            <w:tcW w:w="824" w:type="dxa"/>
          </w:tcPr>
          <w:p w14:paraId="1F40F6E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Geotermalna</w:t>
            </w:r>
          </w:p>
        </w:tc>
        <w:tc>
          <w:tcPr>
            <w:tcW w:w="824" w:type="dxa"/>
          </w:tcPr>
          <w:p w14:paraId="1A4D050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Vjetar</w:t>
            </w:r>
          </w:p>
        </w:tc>
        <w:tc>
          <w:tcPr>
            <w:tcW w:w="824" w:type="dxa"/>
          </w:tcPr>
          <w:p w14:paraId="17C7138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Sunce</w:t>
            </w:r>
          </w:p>
        </w:tc>
        <w:tc>
          <w:tcPr>
            <w:tcW w:w="824" w:type="dxa"/>
          </w:tcPr>
          <w:p w14:paraId="4B459D3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Ukupno</w:t>
            </w:r>
          </w:p>
        </w:tc>
      </w:tr>
      <w:tr w:rsidR="00246CC1" w:rsidRPr="00246CC1" w14:paraId="2795111E" w14:textId="77777777" w:rsidTr="00246CC1">
        <w:tc>
          <w:tcPr>
            <w:tcW w:w="823" w:type="dxa"/>
            <w:shd w:val="clear" w:color="auto" w:fill="auto"/>
          </w:tcPr>
          <w:p w14:paraId="22C2B9E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2020.</w:t>
            </w:r>
          </w:p>
        </w:tc>
        <w:tc>
          <w:tcPr>
            <w:tcW w:w="823" w:type="dxa"/>
            <w:shd w:val="clear" w:color="auto" w:fill="auto"/>
          </w:tcPr>
          <w:p w14:paraId="23633B9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824" w:type="dxa"/>
            <w:shd w:val="clear" w:color="auto" w:fill="auto"/>
          </w:tcPr>
          <w:p w14:paraId="30F129A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824" w:type="dxa"/>
            <w:shd w:val="clear" w:color="auto" w:fill="auto"/>
          </w:tcPr>
          <w:p w14:paraId="2ED7CEC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28254DD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3A28E46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4DCE804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154</w:t>
            </w:r>
          </w:p>
        </w:tc>
        <w:tc>
          <w:tcPr>
            <w:tcW w:w="824" w:type="dxa"/>
            <w:shd w:val="clear" w:color="auto" w:fill="auto"/>
          </w:tcPr>
          <w:p w14:paraId="061C2D9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824" w:type="dxa"/>
            <w:shd w:val="clear" w:color="auto" w:fill="auto"/>
          </w:tcPr>
          <w:p w14:paraId="020DAEC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734</w:t>
            </w:r>
          </w:p>
        </w:tc>
        <w:tc>
          <w:tcPr>
            <w:tcW w:w="824" w:type="dxa"/>
            <w:shd w:val="clear" w:color="auto" w:fill="auto"/>
          </w:tcPr>
          <w:p w14:paraId="61F6051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72</w:t>
            </w:r>
          </w:p>
        </w:tc>
        <w:tc>
          <w:tcPr>
            <w:tcW w:w="824" w:type="dxa"/>
            <w:shd w:val="clear" w:color="auto" w:fill="auto"/>
          </w:tcPr>
          <w:p w14:paraId="362E418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4934</w:t>
            </w:r>
          </w:p>
        </w:tc>
      </w:tr>
      <w:tr w:rsidR="00246CC1" w:rsidRPr="00246CC1" w14:paraId="7F1DFF7D" w14:textId="77777777" w:rsidTr="00246CC1">
        <w:tc>
          <w:tcPr>
            <w:tcW w:w="823" w:type="dxa"/>
            <w:shd w:val="clear" w:color="auto" w:fill="auto"/>
          </w:tcPr>
          <w:p w14:paraId="1CBE786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2021.</w:t>
            </w:r>
          </w:p>
        </w:tc>
        <w:tc>
          <w:tcPr>
            <w:tcW w:w="823" w:type="dxa"/>
            <w:shd w:val="clear" w:color="auto" w:fill="auto"/>
          </w:tcPr>
          <w:p w14:paraId="521DCC5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824" w:type="dxa"/>
            <w:shd w:val="clear" w:color="auto" w:fill="auto"/>
          </w:tcPr>
          <w:p w14:paraId="5C3576B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824" w:type="dxa"/>
            <w:shd w:val="clear" w:color="auto" w:fill="auto"/>
          </w:tcPr>
          <w:p w14:paraId="0A18BC3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71F8C95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70500BA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49DB0C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171</w:t>
            </w:r>
          </w:p>
        </w:tc>
        <w:tc>
          <w:tcPr>
            <w:tcW w:w="824" w:type="dxa"/>
            <w:shd w:val="clear" w:color="auto" w:fill="auto"/>
          </w:tcPr>
          <w:p w14:paraId="73703CA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824" w:type="dxa"/>
            <w:shd w:val="clear" w:color="auto" w:fill="auto"/>
          </w:tcPr>
          <w:p w14:paraId="33D470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759</w:t>
            </w:r>
          </w:p>
        </w:tc>
        <w:tc>
          <w:tcPr>
            <w:tcW w:w="824" w:type="dxa"/>
            <w:shd w:val="clear" w:color="auto" w:fill="auto"/>
          </w:tcPr>
          <w:p w14:paraId="77DF176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95</w:t>
            </w:r>
          </w:p>
        </w:tc>
        <w:tc>
          <w:tcPr>
            <w:tcW w:w="824" w:type="dxa"/>
            <w:shd w:val="clear" w:color="auto" w:fill="auto"/>
          </w:tcPr>
          <w:p w14:paraId="4490B9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4999</w:t>
            </w:r>
          </w:p>
        </w:tc>
      </w:tr>
      <w:tr w:rsidR="00246CC1" w:rsidRPr="00246CC1" w14:paraId="5FD65D36" w14:textId="77777777" w:rsidTr="00246CC1">
        <w:tc>
          <w:tcPr>
            <w:tcW w:w="823" w:type="dxa"/>
            <w:shd w:val="clear" w:color="auto" w:fill="auto"/>
          </w:tcPr>
          <w:p w14:paraId="3CDF6B6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2022.</w:t>
            </w:r>
          </w:p>
        </w:tc>
        <w:tc>
          <w:tcPr>
            <w:tcW w:w="823" w:type="dxa"/>
            <w:shd w:val="clear" w:color="auto" w:fill="auto"/>
          </w:tcPr>
          <w:p w14:paraId="622908B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824" w:type="dxa"/>
            <w:shd w:val="clear" w:color="auto" w:fill="auto"/>
          </w:tcPr>
          <w:p w14:paraId="5B413A3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799</w:t>
            </w:r>
          </w:p>
        </w:tc>
        <w:tc>
          <w:tcPr>
            <w:tcW w:w="824" w:type="dxa"/>
            <w:shd w:val="clear" w:color="auto" w:fill="auto"/>
          </w:tcPr>
          <w:p w14:paraId="7062231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7FEA346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56E8381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25BCB5E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170</w:t>
            </w:r>
          </w:p>
        </w:tc>
        <w:tc>
          <w:tcPr>
            <w:tcW w:w="824" w:type="dxa"/>
            <w:shd w:val="clear" w:color="auto" w:fill="auto"/>
          </w:tcPr>
          <w:p w14:paraId="539A455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824" w:type="dxa"/>
            <w:shd w:val="clear" w:color="auto" w:fill="auto"/>
          </w:tcPr>
          <w:p w14:paraId="6062005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784</w:t>
            </w:r>
          </w:p>
        </w:tc>
        <w:tc>
          <w:tcPr>
            <w:tcW w:w="824" w:type="dxa"/>
            <w:shd w:val="clear" w:color="auto" w:fill="auto"/>
          </w:tcPr>
          <w:p w14:paraId="2AB3706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117</w:t>
            </w:r>
          </w:p>
        </w:tc>
        <w:tc>
          <w:tcPr>
            <w:tcW w:w="824" w:type="dxa"/>
            <w:shd w:val="clear" w:color="auto" w:fill="auto"/>
          </w:tcPr>
          <w:p w14:paraId="40ED049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5045</w:t>
            </w:r>
          </w:p>
        </w:tc>
      </w:tr>
      <w:tr w:rsidR="00246CC1" w:rsidRPr="00246CC1" w14:paraId="30742DF4" w14:textId="77777777" w:rsidTr="00246CC1">
        <w:tc>
          <w:tcPr>
            <w:tcW w:w="823" w:type="dxa"/>
            <w:shd w:val="clear" w:color="auto" w:fill="auto"/>
          </w:tcPr>
          <w:p w14:paraId="3DC2D59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2023.</w:t>
            </w:r>
          </w:p>
        </w:tc>
        <w:tc>
          <w:tcPr>
            <w:tcW w:w="823" w:type="dxa"/>
            <w:shd w:val="clear" w:color="auto" w:fill="auto"/>
          </w:tcPr>
          <w:p w14:paraId="76887D5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824" w:type="dxa"/>
            <w:shd w:val="clear" w:color="auto" w:fill="auto"/>
          </w:tcPr>
          <w:p w14:paraId="6D3E102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824" w:type="dxa"/>
            <w:shd w:val="clear" w:color="auto" w:fill="auto"/>
          </w:tcPr>
          <w:p w14:paraId="00FEB15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45E706B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4AFA653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0309CB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166</w:t>
            </w:r>
          </w:p>
        </w:tc>
        <w:tc>
          <w:tcPr>
            <w:tcW w:w="824" w:type="dxa"/>
            <w:shd w:val="clear" w:color="auto" w:fill="auto"/>
          </w:tcPr>
          <w:p w14:paraId="29C30DF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824" w:type="dxa"/>
            <w:shd w:val="clear" w:color="auto" w:fill="auto"/>
          </w:tcPr>
          <w:p w14:paraId="3AFB165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809</w:t>
            </w:r>
          </w:p>
        </w:tc>
        <w:tc>
          <w:tcPr>
            <w:tcW w:w="824" w:type="dxa"/>
            <w:shd w:val="clear" w:color="auto" w:fill="auto"/>
          </w:tcPr>
          <w:p w14:paraId="4D9604F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140</w:t>
            </w:r>
          </w:p>
        </w:tc>
        <w:tc>
          <w:tcPr>
            <w:tcW w:w="824" w:type="dxa"/>
            <w:shd w:val="clear" w:color="auto" w:fill="auto"/>
          </w:tcPr>
          <w:p w14:paraId="0F4A4CE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5389</w:t>
            </w:r>
          </w:p>
        </w:tc>
      </w:tr>
      <w:tr w:rsidR="00246CC1" w:rsidRPr="00246CC1" w14:paraId="1AEE50BE" w14:textId="77777777" w:rsidTr="00246CC1">
        <w:tc>
          <w:tcPr>
            <w:tcW w:w="823" w:type="dxa"/>
            <w:shd w:val="clear" w:color="auto" w:fill="auto"/>
          </w:tcPr>
          <w:p w14:paraId="7413B7C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2024.</w:t>
            </w:r>
          </w:p>
        </w:tc>
        <w:tc>
          <w:tcPr>
            <w:tcW w:w="823" w:type="dxa"/>
            <w:shd w:val="clear" w:color="auto" w:fill="auto"/>
          </w:tcPr>
          <w:p w14:paraId="337EAB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824" w:type="dxa"/>
            <w:shd w:val="clear" w:color="auto" w:fill="auto"/>
          </w:tcPr>
          <w:p w14:paraId="1D8750A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824" w:type="dxa"/>
            <w:shd w:val="clear" w:color="auto" w:fill="auto"/>
          </w:tcPr>
          <w:p w14:paraId="6B2E051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5F86F95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58181CF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301B85C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161</w:t>
            </w:r>
          </w:p>
        </w:tc>
        <w:tc>
          <w:tcPr>
            <w:tcW w:w="824" w:type="dxa"/>
            <w:shd w:val="clear" w:color="auto" w:fill="auto"/>
          </w:tcPr>
          <w:p w14:paraId="2AE7BB3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824" w:type="dxa"/>
            <w:shd w:val="clear" w:color="auto" w:fill="auto"/>
          </w:tcPr>
          <w:p w14:paraId="170544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834</w:t>
            </w:r>
          </w:p>
        </w:tc>
        <w:tc>
          <w:tcPr>
            <w:tcW w:w="824" w:type="dxa"/>
            <w:shd w:val="clear" w:color="auto" w:fill="auto"/>
          </w:tcPr>
          <w:p w14:paraId="402E66C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162</w:t>
            </w:r>
          </w:p>
        </w:tc>
        <w:tc>
          <w:tcPr>
            <w:tcW w:w="824" w:type="dxa"/>
            <w:shd w:val="clear" w:color="auto" w:fill="auto"/>
          </w:tcPr>
          <w:p w14:paraId="4F2A0AD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5465</w:t>
            </w:r>
          </w:p>
        </w:tc>
      </w:tr>
      <w:tr w:rsidR="00246CC1" w:rsidRPr="00246CC1" w14:paraId="3C8575AF" w14:textId="77777777" w:rsidTr="00246CC1">
        <w:tc>
          <w:tcPr>
            <w:tcW w:w="823" w:type="dxa"/>
            <w:shd w:val="clear" w:color="auto" w:fill="auto"/>
          </w:tcPr>
          <w:p w14:paraId="439C47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2025.</w:t>
            </w:r>
          </w:p>
        </w:tc>
        <w:tc>
          <w:tcPr>
            <w:tcW w:w="823" w:type="dxa"/>
            <w:shd w:val="clear" w:color="auto" w:fill="auto"/>
          </w:tcPr>
          <w:p w14:paraId="5D7BD8A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824" w:type="dxa"/>
            <w:shd w:val="clear" w:color="auto" w:fill="auto"/>
          </w:tcPr>
          <w:p w14:paraId="733302D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1099</w:t>
            </w:r>
          </w:p>
        </w:tc>
        <w:tc>
          <w:tcPr>
            <w:tcW w:w="824" w:type="dxa"/>
            <w:shd w:val="clear" w:color="auto" w:fill="auto"/>
          </w:tcPr>
          <w:p w14:paraId="0701B8B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501</w:t>
            </w:r>
          </w:p>
        </w:tc>
        <w:tc>
          <w:tcPr>
            <w:tcW w:w="824" w:type="dxa"/>
            <w:shd w:val="clear" w:color="auto" w:fill="auto"/>
          </w:tcPr>
          <w:p w14:paraId="68183BF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04C24E4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2D40B1F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824" w:type="dxa"/>
            <w:shd w:val="clear" w:color="auto" w:fill="auto"/>
          </w:tcPr>
          <w:p w14:paraId="25F7F38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824" w:type="dxa"/>
            <w:shd w:val="clear" w:color="auto" w:fill="auto"/>
          </w:tcPr>
          <w:p w14:paraId="344533C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859</w:t>
            </w:r>
          </w:p>
        </w:tc>
        <w:tc>
          <w:tcPr>
            <w:tcW w:w="824" w:type="dxa"/>
            <w:shd w:val="clear" w:color="auto" w:fill="auto"/>
          </w:tcPr>
          <w:p w14:paraId="5DDFBDD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185</w:t>
            </w:r>
          </w:p>
        </w:tc>
        <w:tc>
          <w:tcPr>
            <w:tcW w:w="824" w:type="dxa"/>
            <w:shd w:val="clear" w:color="auto" w:fill="auto"/>
          </w:tcPr>
          <w:p w14:paraId="6B83DB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5514</w:t>
            </w:r>
          </w:p>
        </w:tc>
      </w:tr>
      <w:tr w:rsidR="00246CC1" w:rsidRPr="00246CC1" w14:paraId="7E5B397D" w14:textId="77777777" w:rsidTr="00246CC1">
        <w:tc>
          <w:tcPr>
            <w:tcW w:w="823" w:type="dxa"/>
            <w:shd w:val="clear" w:color="auto" w:fill="auto"/>
          </w:tcPr>
          <w:p w14:paraId="67007DE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2026.</w:t>
            </w:r>
          </w:p>
        </w:tc>
        <w:tc>
          <w:tcPr>
            <w:tcW w:w="823" w:type="dxa"/>
            <w:shd w:val="clear" w:color="auto" w:fill="auto"/>
          </w:tcPr>
          <w:p w14:paraId="18EC1EF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824" w:type="dxa"/>
            <w:shd w:val="clear" w:color="auto" w:fill="auto"/>
          </w:tcPr>
          <w:p w14:paraId="356D3EE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824" w:type="dxa"/>
            <w:shd w:val="clear" w:color="auto" w:fill="auto"/>
          </w:tcPr>
          <w:p w14:paraId="3B12F4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303</w:t>
            </w:r>
          </w:p>
        </w:tc>
        <w:tc>
          <w:tcPr>
            <w:tcW w:w="824" w:type="dxa"/>
            <w:shd w:val="clear" w:color="auto" w:fill="auto"/>
          </w:tcPr>
          <w:p w14:paraId="6147BC8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1818CB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0A38784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824" w:type="dxa"/>
            <w:shd w:val="clear" w:color="auto" w:fill="auto"/>
          </w:tcPr>
          <w:p w14:paraId="336A6B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824" w:type="dxa"/>
            <w:shd w:val="clear" w:color="auto" w:fill="auto"/>
          </w:tcPr>
          <w:p w14:paraId="149E3FB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897</w:t>
            </w:r>
          </w:p>
        </w:tc>
        <w:tc>
          <w:tcPr>
            <w:tcW w:w="824" w:type="dxa"/>
            <w:shd w:val="clear" w:color="auto" w:fill="auto"/>
          </w:tcPr>
          <w:p w14:paraId="16001D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222</w:t>
            </w:r>
          </w:p>
        </w:tc>
        <w:tc>
          <w:tcPr>
            <w:tcW w:w="824" w:type="dxa"/>
            <w:shd w:val="clear" w:color="auto" w:fill="auto"/>
          </w:tcPr>
          <w:p w14:paraId="1D847A7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5719</w:t>
            </w:r>
          </w:p>
        </w:tc>
      </w:tr>
      <w:tr w:rsidR="00246CC1" w:rsidRPr="00246CC1" w14:paraId="0B7E65F7" w14:textId="77777777" w:rsidTr="00246CC1">
        <w:tc>
          <w:tcPr>
            <w:tcW w:w="823" w:type="dxa"/>
            <w:shd w:val="clear" w:color="auto" w:fill="auto"/>
          </w:tcPr>
          <w:p w14:paraId="0CB95F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2027.</w:t>
            </w:r>
          </w:p>
        </w:tc>
        <w:tc>
          <w:tcPr>
            <w:tcW w:w="823" w:type="dxa"/>
            <w:shd w:val="clear" w:color="auto" w:fill="auto"/>
          </w:tcPr>
          <w:p w14:paraId="3E9E25C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824" w:type="dxa"/>
            <w:shd w:val="clear" w:color="auto" w:fill="auto"/>
          </w:tcPr>
          <w:p w14:paraId="541B198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824" w:type="dxa"/>
            <w:shd w:val="clear" w:color="auto" w:fill="auto"/>
          </w:tcPr>
          <w:p w14:paraId="2EAE532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303</w:t>
            </w:r>
          </w:p>
        </w:tc>
        <w:tc>
          <w:tcPr>
            <w:tcW w:w="824" w:type="dxa"/>
            <w:shd w:val="clear" w:color="auto" w:fill="auto"/>
          </w:tcPr>
          <w:p w14:paraId="70B847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6898CEA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493DB7F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155</w:t>
            </w:r>
          </w:p>
        </w:tc>
        <w:tc>
          <w:tcPr>
            <w:tcW w:w="824" w:type="dxa"/>
            <w:shd w:val="clear" w:color="auto" w:fill="auto"/>
          </w:tcPr>
          <w:p w14:paraId="5FC72E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824" w:type="dxa"/>
            <w:shd w:val="clear" w:color="auto" w:fill="auto"/>
          </w:tcPr>
          <w:p w14:paraId="7751134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934</w:t>
            </w:r>
          </w:p>
        </w:tc>
        <w:tc>
          <w:tcPr>
            <w:tcW w:w="824" w:type="dxa"/>
            <w:shd w:val="clear" w:color="auto" w:fill="auto"/>
          </w:tcPr>
          <w:p w14:paraId="7C5CD4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260</w:t>
            </w:r>
          </w:p>
        </w:tc>
        <w:tc>
          <w:tcPr>
            <w:tcW w:w="824" w:type="dxa"/>
            <w:shd w:val="clear" w:color="auto" w:fill="auto"/>
          </w:tcPr>
          <w:p w14:paraId="105E44B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5793</w:t>
            </w:r>
          </w:p>
        </w:tc>
      </w:tr>
      <w:tr w:rsidR="00246CC1" w:rsidRPr="00246CC1" w14:paraId="33FB4FD9" w14:textId="77777777" w:rsidTr="00246CC1">
        <w:tc>
          <w:tcPr>
            <w:tcW w:w="823" w:type="dxa"/>
            <w:shd w:val="clear" w:color="auto" w:fill="auto"/>
          </w:tcPr>
          <w:p w14:paraId="0B1A6D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2028.</w:t>
            </w:r>
          </w:p>
        </w:tc>
        <w:tc>
          <w:tcPr>
            <w:tcW w:w="823" w:type="dxa"/>
            <w:shd w:val="clear" w:color="auto" w:fill="auto"/>
          </w:tcPr>
          <w:p w14:paraId="0FE8A1B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824" w:type="dxa"/>
            <w:shd w:val="clear" w:color="auto" w:fill="auto"/>
          </w:tcPr>
          <w:p w14:paraId="6A91DDB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824" w:type="dxa"/>
            <w:shd w:val="clear" w:color="auto" w:fill="auto"/>
          </w:tcPr>
          <w:p w14:paraId="78F3EB0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824" w:type="dxa"/>
            <w:shd w:val="clear" w:color="auto" w:fill="auto"/>
          </w:tcPr>
          <w:p w14:paraId="408C702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66B7E89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3862502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824" w:type="dxa"/>
            <w:shd w:val="clear" w:color="auto" w:fill="auto"/>
          </w:tcPr>
          <w:p w14:paraId="2EA8DE1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824" w:type="dxa"/>
            <w:shd w:val="clear" w:color="auto" w:fill="auto"/>
          </w:tcPr>
          <w:p w14:paraId="1F5C61C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984</w:t>
            </w:r>
          </w:p>
        </w:tc>
        <w:tc>
          <w:tcPr>
            <w:tcW w:w="824" w:type="dxa"/>
            <w:shd w:val="clear" w:color="auto" w:fill="auto"/>
          </w:tcPr>
          <w:p w14:paraId="3621130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297</w:t>
            </w:r>
          </w:p>
        </w:tc>
        <w:tc>
          <w:tcPr>
            <w:tcW w:w="824" w:type="dxa"/>
            <w:shd w:val="clear" w:color="auto" w:fill="auto"/>
          </w:tcPr>
          <w:p w14:paraId="2DE48CD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5742</w:t>
            </w:r>
          </w:p>
        </w:tc>
      </w:tr>
      <w:tr w:rsidR="00246CC1" w:rsidRPr="00246CC1" w14:paraId="1D34DD57" w14:textId="77777777" w:rsidTr="00246CC1">
        <w:tc>
          <w:tcPr>
            <w:tcW w:w="823" w:type="dxa"/>
            <w:shd w:val="clear" w:color="auto" w:fill="auto"/>
          </w:tcPr>
          <w:p w14:paraId="4B32FF7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2029.</w:t>
            </w:r>
          </w:p>
        </w:tc>
        <w:tc>
          <w:tcPr>
            <w:tcW w:w="823" w:type="dxa"/>
            <w:shd w:val="clear" w:color="auto" w:fill="auto"/>
          </w:tcPr>
          <w:p w14:paraId="7E7F449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824" w:type="dxa"/>
            <w:shd w:val="clear" w:color="auto" w:fill="auto"/>
          </w:tcPr>
          <w:p w14:paraId="7376E57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824" w:type="dxa"/>
            <w:shd w:val="clear" w:color="auto" w:fill="auto"/>
          </w:tcPr>
          <w:p w14:paraId="334ED2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824" w:type="dxa"/>
            <w:shd w:val="clear" w:color="auto" w:fill="auto"/>
          </w:tcPr>
          <w:p w14:paraId="71FB414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4F03D2A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60B426F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824" w:type="dxa"/>
            <w:shd w:val="clear" w:color="auto" w:fill="auto"/>
          </w:tcPr>
          <w:p w14:paraId="7A474EE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824" w:type="dxa"/>
            <w:shd w:val="clear" w:color="auto" w:fill="auto"/>
          </w:tcPr>
          <w:p w14:paraId="1CAA11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1034</w:t>
            </w:r>
          </w:p>
        </w:tc>
        <w:tc>
          <w:tcPr>
            <w:tcW w:w="824" w:type="dxa"/>
            <w:shd w:val="clear" w:color="auto" w:fill="auto"/>
          </w:tcPr>
          <w:p w14:paraId="437561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335</w:t>
            </w:r>
          </w:p>
        </w:tc>
        <w:tc>
          <w:tcPr>
            <w:tcW w:w="824" w:type="dxa"/>
            <w:shd w:val="clear" w:color="auto" w:fill="auto"/>
          </w:tcPr>
          <w:p w14:paraId="0936FA8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5830</w:t>
            </w:r>
          </w:p>
        </w:tc>
      </w:tr>
      <w:tr w:rsidR="00246CC1" w:rsidRPr="00246CC1" w14:paraId="0B9526E7" w14:textId="77777777" w:rsidTr="00246CC1">
        <w:tc>
          <w:tcPr>
            <w:tcW w:w="823" w:type="dxa"/>
            <w:shd w:val="clear" w:color="auto" w:fill="auto"/>
          </w:tcPr>
          <w:p w14:paraId="101C081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2030.</w:t>
            </w:r>
          </w:p>
        </w:tc>
        <w:tc>
          <w:tcPr>
            <w:tcW w:w="823" w:type="dxa"/>
            <w:shd w:val="clear" w:color="auto" w:fill="auto"/>
          </w:tcPr>
          <w:p w14:paraId="1E6FC1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824" w:type="dxa"/>
            <w:shd w:val="clear" w:color="auto" w:fill="auto"/>
          </w:tcPr>
          <w:p w14:paraId="406AFF6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1048</w:t>
            </w:r>
          </w:p>
        </w:tc>
        <w:tc>
          <w:tcPr>
            <w:tcW w:w="824" w:type="dxa"/>
            <w:shd w:val="clear" w:color="auto" w:fill="auto"/>
          </w:tcPr>
          <w:p w14:paraId="63D5377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824" w:type="dxa"/>
            <w:shd w:val="clear" w:color="auto" w:fill="auto"/>
          </w:tcPr>
          <w:p w14:paraId="05BE6FC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824" w:type="dxa"/>
            <w:shd w:val="clear" w:color="auto" w:fill="auto"/>
          </w:tcPr>
          <w:p w14:paraId="75D410E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824" w:type="dxa"/>
            <w:shd w:val="clear" w:color="auto" w:fill="auto"/>
          </w:tcPr>
          <w:p w14:paraId="6399F47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148</w:t>
            </w:r>
          </w:p>
        </w:tc>
        <w:tc>
          <w:tcPr>
            <w:tcW w:w="824" w:type="dxa"/>
            <w:shd w:val="clear" w:color="auto" w:fill="auto"/>
          </w:tcPr>
          <w:p w14:paraId="2444650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824" w:type="dxa"/>
            <w:shd w:val="clear" w:color="auto" w:fill="auto"/>
          </w:tcPr>
          <w:p w14:paraId="6EE58C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1184</w:t>
            </w:r>
          </w:p>
        </w:tc>
        <w:tc>
          <w:tcPr>
            <w:tcW w:w="824" w:type="dxa"/>
            <w:shd w:val="clear" w:color="auto" w:fill="auto"/>
          </w:tcPr>
          <w:p w14:paraId="773F55C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507</w:t>
            </w:r>
          </w:p>
        </w:tc>
        <w:tc>
          <w:tcPr>
            <w:tcW w:w="824" w:type="dxa"/>
            <w:shd w:val="clear" w:color="auto" w:fill="auto"/>
          </w:tcPr>
          <w:p w14:paraId="53CA1B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5998</w:t>
            </w:r>
          </w:p>
        </w:tc>
      </w:tr>
    </w:tbl>
    <w:p w14:paraId="12DC18D6" w14:textId="77777777" w:rsidR="00246CC1" w:rsidRPr="00246CC1" w:rsidRDefault="00246CC1" w:rsidP="00246CC1"/>
    <w:p w14:paraId="34E2C05B" w14:textId="77777777" w:rsidR="005F3F29" w:rsidRDefault="005F3F29" w:rsidP="005F3F29">
      <w:pPr>
        <w:keepNext/>
        <w:jc w:val="center"/>
      </w:pPr>
      <w:r w:rsidRPr="00A5373D">
        <w:rPr>
          <w:noProof/>
        </w:rPr>
        <w:drawing>
          <wp:inline distT="0" distB="0" distL="0" distR="0" wp14:anchorId="78BC102A" wp14:editId="61C516AA">
            <wp:extent cx="5400000" cy="3139200"/>
            <wp:effectExtent l="0" t="0" r="0" b="444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139200"/>
                    </a:xfrm>
                    <a:prstGeom prst="rect">
                      <a:avLst/>
                    </a:prstGeom>
                    <a:noFill/>
                    <a:ln>
                      <a:noFill/>
                    </a:ln>
                  </pic:spPr>
                </pic:pic>
              </a:graphicData>
            </a:graphic>
          </wp:inline>
        </w:drawing>
      </w:r>
    </w:p>
    <w:p w14:paraId="79FA2CB6" w14:textId="3340C859" w:rsidR="005F3F29" w:rsidRDefault="005F3F29" w:rsidP="005F3F29">
      <w:pPr>
        <w:pStyle w:val="Caption"/>
      </w:pPr>
      <w:bookmarkStart w:id="399" w:name="_Ref531871305"/>
      <w:bookmarkStart w:id="400" w:name="_Toc531935301"/>
      <w:r>
        <w:t xml:space="preserve">Slika </w:t>
      </w:r>
      <w:fldSimple w:instr=" STYLEREF 1 \s ">
        <w:r w:rsidR="00856D97">
          <w:rPr>
            <w:noProof/>
          </w:rPr>
          <w:t>4</w:t>
        </w:r>
      </w:fldSimple>
      <w:r w:rsidR="00856D97">
        <w:noBreakHyphen/>
      </w:r>
      <w:fldSimple w:instr=" SEQ Slika \* ARABIC \s 1 ">
        <w:r w:rsidR="00856D97">
          <w:rPr>
            <w:noProof/>
          </w:rPr>
          <w:t>11</w:t>
        </w:r>
      </w:fldSimple>
      <w:bookmarkEnd w:id="399"/>
      <w:r>
        <w:t>.</w:t>
      </w:r>
      <w:r w:rsidRPr="00CE7E0F">
        <w:t xml:space="preserve"> </w:t>
      </w:r>
      <w:r>
        <w:t>Očekivana s</w:t>
      </w:r>
      <w:r w:rsidRPr="00CE7E0F">
        <w:t xml:space="preserve">naga elektrana u Scenariju </w:t>
      </w:r>
      <w:r>
        <w:t>s postojećim mjerama</w:t>
      </w:r>
      <w:bookmarkEnd w:id="400"/>
    </w:p>
    <w:p w14:paraId="6D24805D" w14:textId="10BD16F2" w:rsidR="00C21988" w:rsidRPr="00DB7DF8" w:rsidRDefault="00C21988" w:rsidP="00DB7DF8">
      <w:pPr>
        <w:suppressAutoHyphens w:val="0"/>
        <w:spacing w:after="160" w:line="259" w:lineRule="auto"/>
        <w:contextualSpacing/>
        <w:jc w:val="left"/>
        <w:rPr>
          <w:highlight w:val="yellow"/>
        </w:rPr>
      </w:pPr>
    </w:p>
    <w:p w14:paraId="2C5D7396" w14:textId="77777777" w:rsidR="00C21988" w:rsidRDefault="00C21988" w:rsidP="00C21988">
      <w:pPr>
        <w:pStyle w:val="Heading2"/>
      </w:pPr>
      <w:bookmarkStart w:id="401" w:name="_Toc531935261"/>
      <w:bookmarkStart w:id="402" w:name="_Toc531945123"/>
      <w:r>
        <w:t>Dimenzija: energetska učinkovitost</w:t>
      </w:r>
      <w:bookmarkEnd w:id="401"/>
      <w:bookmarkEnd w:id="402"/>
      <w:r>
        <w:t xml:space="preserve"> </w:t>
      </w:r>
    </w:p>
    <w:p w14:paraId="18280874" w14:textId="3B6AF822" w:rsidR="00C21988" w:rsidRPr="00C00718" w:rsidRDefault="00C21988" w:rsidP="00C00718">
      <w:pPr>
        <w:pStyle w:val="ListParagraph"/>
        <w:numPr>
          <w:ilvl w:val="0"/>
          <w:numId w:val="62"/>
        </w:numPr>
        <w:tabs>
          <w:tab w:val="clear" w:pos="431"/>
        </w:tabs>
        <w:suppressAutoHyphens w:val="0"/>
        <w:spacing w:after="160" w:line="259" w:lineRule="auto"/>
        <w:contextualSpacing/>
        <w:jc w:val="left"/>
        <w:rPr>
          <w:b/>
          <w:i/>
        </w:rPr>
      </w:pPr>
      <w:r w:rsidRPr="00C00718">
        <w:rPr>
          <w:b/>
          <w:i/>
        </w:rPr>
        <w:t xml:space="preserve">Trenutačna primarna i </w:t>
      </w:r>
      <w:r w:rsidR="00D97379" w:rsidRPr="00C00718">
        <w:rPr>
          <w:b/>
          <w:i/>
        </w:rPr>
        <w:t xml:space="preserve">neposredna </w:t>
      </w:r>
      <w:r w:rsidRPr="00C00718">
        <w:rPr>
          <w:b/>
          <w:i/>
        </w:rPr>
        <w:t>potrošnja energije</w:t>
      </w:r>
      <w:r w:rsidR="00EF17C9">
        <w:rPr>
          <w:b/>
          <w:i/>
        </w:rPr>
        <w:t xml:space="preserve"> </w:t>
      </w:r>
      <w:r w:rsidR="00EF17C9" w:rsidRPr="00EF17C9">
        <w:rPr>
          <w:b/>
          <w:i/>
        </w:rPr>
        <w:t>u gospodarstvu i po sektoru (uključujući industrijski, stambeni, uslužni i prometni)</w:t>
      </w:r>
      <w:r w:rsidRPr="00C00718">
        <w:rPr>
          <w:b/>
          <w:i/>
        </w:rPr>
        <w:t xml:space="preserve"> </w:t>
      </w:r>
    </w:p>
    <w:p w14:paraId="52D8FE24" w14:textId="47AB8D86" w:rsidR="00C21988" w:rsidRPr="00842F15" w:rsidRDefault="00C21988" w:rsidP="00C21988">
      <w:r w:rsidRPr="00842F15">
        <w:t xml:space="preserve">Posljednji podatci o potrošnji energije u Republici Hrvatskoj dostupni u trenutku izrade nacrta ovog Plana su za 2016. godinu te ih prikazuje </w:t>
      </w:r>
      <w:r w:rsidRPr="00842F15">
        <w:fldChar w:fldCharType="begin"/>
      </w:r>
      <w:r w:rsidRPr="00842F15">
        <w:instrText xml:space="preserve"> REF _Ref525300674 \h </w:instrText>
      </w:r>
      <w:r w:rsidRPr="00F67AB5">
        <w:instrText xml:space="preserve"> \* MERGEFORMAT </w:instrText>
      </w:r>
      <w:r w:rsidRPr="00842F15">
        <w:fldChar w:fldCharType="separate"/>
      </w:r>
      <w:r w:rsidR="00E5423A">
        <w:t>Tablica 4</w:t>
      </w:r>
      <w:r w:rsidR="00E5423A">
        <w:noBreakHyphen/>
        <w:t>11</w:t>
      </w:r>
      <w:r w:rsidRPr="00842F15">
        <w:fldChar w:fldCharType="end"/>
      </w:r>
      <w:r w:rsidRPr="00842F15">
        <w:t xml:space="preserve"> i </w:t>
      </w:r>
      <w:r w:rsidRPr="00842F15">
        <w:fldChar w:fldCharType="begin"/>
      </w:r>
      <w:r w:rsidRPr="00F67AB5">
        <w:instrText xml:space="preserve"> REF _Ref525300678 \h  \* MERGEFORMAT </w:instrText>
      </w:r>
      <w:r w:rsidRPr="00842F15">
        <w:fldChar w:fldCharType="separate"/>
      </w:r>
      <w:r w:rsidR="00E5423A">
        <w:t>Tablica 4</w:t>
      </w:r>
      <w:r w:rsidR="00E5423A">
        <w:noBreakHyphen/>
        <w:t>12</w:t>
      </w:r>
      <w:r w:rsidRPr="00842F15">
        <w:fldChar w:fldCharType="end"/>
      </w:r>
      <w:r w:rsidRPr="00842F15">
        <w:t xml:space="preserve">. </w:t>
      </w:r>
    </w:p>
    <w:p w14:paraId="699A872A" w14:textId="190170F9" w:rsidR="00C21988" w:rsidRPr="0031468F" w:rsidRDefault="00C21988" w:rsidP="00F149EB">
      <w:pPr>
        <w:pStyle w:val="Caption"/>
        <w:rPr>
          <w:rFonts w:cstheme="minorBidi"/>
          <w:sz w:val="24"/>
          <w:szCs w:val="24"/>
        </w:rPr>
      </w:pPr>
      <w:bookmarkStart w:id="403" w:name="_Ref525300674"/>
      <w:bookmarkStart w:id="404" w:name="_Toc531935360"/>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11</w:t>
      </w:r>
      <w:r w:rsidR="00B22048">
        <w:rPr>
          <w:noProof/>
        </w:rPr>
        <w:fldChar w:fldCharType="end"/>
      </w:r>
      <w:bookmarkEnd w:id="403"/>
      <w:r>
        <w:t>: Struktura primarne i neposredne potrošnje energije po sektorima u 2016. godini</w:t>
      </w:r>
      <w:bookmarkEnd w:id="404"/>
    </w:p>
    <w:tbl>
      <w:tblPr>
        <w:tblStyle w:val="GridTable1Light"/>
        <w:tblW w:w="0" w:type="auto"/>
        <w:tblLook w:val="04A0" w:firstRow="1" w:lastRow="0" w:firstColumn="1" w:lastColumn="0" w:noHBand="0" w:noVBand="1"/>
      </w:tblPr>
      <w:tblGrid>
        <w:gridCol w:w="6503"/>
        <w:gridCol w:w="1331"/>
        <w:gridCol w:w="1228"/>
      </w:tblGrid>
      <w:tr w:rsidR="00C21988" w14:paraId="64AE9CA0" w14:textId="77777777" w:rsidTr="00BB7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3" w:type="dxa"/>
          </w:tcPr>
          <w:p w14:paraId="68403929" w14:textId="77777777" w:rsidR="00C21988" w:rsidRPr="00A97F0C" w:rsidRDefault="00C21988" w:rsidP="00907258">
            <w:pPr>
              <w:spacing w:before="0" w:after="0" w:line="240" w:lineRule="auto"/>
              <w:rPr>
                <w:rFonts w:cstheme="minorHAnsi"/>
                <w:sz w:val="20"/>
                <w:szCs w:val="20"/>
              </w:rPr>
            </w:pPr>
            <w:r>
              <w:rPr>
                <w:rFonts w:cstheme="minorHAnsi"/>
                <w:sz w:val="20"/>
                <w:szCs w:val="20"/>
              </w:rPr>
              <w:t>2016. GODINA</w:t>
            </w:r>
          </w:p>
        </w:tc>
        <w:tc>
          <w:tcPr>
            <w:tcW w:w="1331" w:type="dxa"/>
          </w:tcPr>
          <w:p w14:paraId="02DDD11C" w14:textId="77777777" w:rsidR="00C21988" w:rsidRPr="00A97F0C" w:rsidRDefault="00C21988" w:rsidP="0090725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PJ</w:t>
            </w:r>
          </w:p>
        </w:tc>
        <w:tc>
          <w:tcPr>
            <w:tcW w:w="1228" w:type="dxa"/>
          </w:tcPr>
          <w:p w14:paraId="12ABD247" w14:textId="77777777" w:rsidR="00C21988" w:rsidRPr="00A97F0C" w:rsidRDefault="00C21988" w:rsidP="0090725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ktoe</w:t>
            </w:r>
          </w:p>
        </w:tc>
      </w:tr>
      <w:tr w:rsidR="00C21988" w14:paraId="3278C067" w14:textId="77777777" w:rsidTr="00BB735D">
        <w:tc>
          <w:tcPr>
            <w:cnfStyle w:val="001000000000" w:firstRow="0" w:lastRow="0" w:firstColumn="1" w:lastColumn="0" w:oddVBand="0" w:evenVBand="0" w:oddHBand="0" w:evenHBand="0" w:firstRowFirstColumn="0" w:firstRowLastColumn="0" w:lastRowFirstColumn="0" w:lastRowLastColumn="0"/>
            <w:tcW w:w="6503" w:type="dxa"/>
            <w:shd w:val="clear" w:color="auto" w:fill="D9D9D9" w:themeFill="background1" w:themeFillShade="D9"/>
          </w:tcPr>
          <w:p w14:paraId="19BB84C3" w14:textId="77777777" w:rsidR="00C21988" w:rsidRPr="00A97F0C" w:rsidRDefault="00C21988" w:rsidP="00907258">
            <w:pPr>
              <w:rPr>
                <w:rFonts w:cstheme="minorHAnsi"/>
                <w:sz w:val="20"/>
                <w:szCs w:val="20"/>
              </w:rPr>
            </w:pPr>
            <w:r w:rsidRPr="00A97F0C">
              <w:rPr>
                <w:rFonts w:cstheme="minorHAnsi"/>
                <w:sz w:val="20"/>
                <w:szCs w:val="20"/>
              </w:rPr>
              <w:t>PRIMARNA POTROŠNJA ENERGIJE</w:t>
            </w:r>
          </w:p>
        </w:tc>
        <w:tc>
          <w:tcPr>
            <w:tcW w:w="1331" w:type="dxa"/>
            <w:shd w:val="clear" w:color="auto" w:fill="D9D9D9" w:themeFill="background1" w:themeFillShade="D9"/>
          </w:tcPr>
          <w:p w14:paraId="49E0F020" w14:textId="77777777" w:rsidR="00C21988" w:rsidRPr="00A97F0C" w:rsidRDefault="00C21988" w:rsidP="00907258">
            <w:pPr>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rFonts w:cstheme="minorHAnsi"/>
                <w:b/>
                <w:sz w:val="20"/>
                <w:szCs w:val="20"/>
              </w:rPr>
              <w:t>405,34</w:t>
            </w:r>
          </w:p>
        </w:tc>
        <w:tc>
          <w:tcPr>
            <w:tcW w:w="1228" w:type="dxa"/>
            <w:shd w:val="clear" w:color="auto" w:fill="D9D9D9" w:themeFill="background1" w:themeFillShade="D9"/>
          </w:tcPr>
          <w:p w14:paraId="5568D9CF" w14:textId="77777777" w:rsidR="00C21988" w:rsidRPr="00A97F0C" w:rsidRDefault="00C21988" w:rsidP="00907258">
            <w:pPr>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b/>
                <w:sz w:val="20"/>
                <w:szCs w:val="20"/>
              </w:rPr>
              <w:t>9.681,38</w:t>
            </w:r>
          </w:p>
        </w:tc>
      </w:tr>
      <w:tr w:rsidR="00C21988" w14:paraId="213A20C0"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5D79FFF7"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Gubitci transformacija</w:t>
            </w:r>
          </w:p>
        </w:tc>
        <w:tc>
          <w:tcPr>
            <w:tcW w:w="1331" w:type="dxa"/>
          </w:tcPr>
          <w:p w14:paraId="2C5D8AB0"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74,56</w:t>
            </w:r>
          </w:p>
        </w:tc>
        <w:tc>
          <w:tcPr>
            <w:tcW w:w="1228" w:type="dxa"/>
          </w:tcPr>
          <w:p w14:paraId="1B9E4141"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1.780,84</w:t>
            </w:r>
          </w:p>
        </w:tc>
      </w:tr>
      <w:tr w:rsidR="00C21988" w14:paraId="05368B5C"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4E0719D3"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Pogonska potrošnja</w:t>
            </w:r>
          </w:p>
        </w:tc>
        <w:tc>
          <w:tcPr>
            <w:tcW w:w="1331" w:type="dxa"/>
          </w:tcPr>
          <w:p w14:paraId="017696B6"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22,88</w:t>
            </w:r>
          </w:p>
        </w:tc>
        <w:tc>
          <w:tcPr>
            <w:tcW w:w="1228" w:type="dxa"/>
          </w:tcPr>
          <w:p w14:paraId="3D807C8A"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546,48</w:t>
            </w:r>
          </w:p>
        </w:tc>
      </w:tr>
      <w:tr w:rsidR="00C21988" w14:paraId="29677BB9"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188D0378"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Gubitci transporta i distribucije</w:t>
            </w:r>
          </w:p>
        </w:tc>
        <w:tc>
          <w:tcPr>
            <w:tcW w:w="1331" w:type="dxa"/>
          </w:tcPr>
          <w:p w14:paraId="74CACB29"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9,20</w:t>
            </w:r>
          </w:p>
        </w:tc>
        <w:tc>
          <w:tcPr>
            <w:tcW w:w="1228" w:type="dxa"/>
          </w:tcPr>
          <w:p w14:paraId="22E0E96B"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219,74</w:t>
            </w:r>
          </w:p>
        </w:tc>
      </w:tr>
      <w:tr w:rsidR="00C21988" w14:paraId="52ADD03F"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0202377C"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Neenergetska potrošnja</w:t>
            </w:r>
          </w:p>
        </w:tc>
        <w:tc>
          <w:tcPr>
            <w:tcW w:w="1331" w:type="dxa"/>
          </w:tcPr>
          <w:p w14:paraId="2A174A45"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21,58</w:t>
            </w:r>
          </w:p>
        </w:tc>
        <w:tc>
          <w:tcPr>
            <w:tcW w:w="1228" w:type="dxa"/>
          </w:tcPr>
          <w:p w14:paraId="5A88F1B7"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515,43</w:t>
            </w:r>
          </w:p>
        </w:tc>
      </w:tr>
      <w:tr w:rsidR="00C21988" w14:paraId="43C15484" w14:textId="77777777" w:rsidTr="00BB735D">
        <w:tc>
          <w:tcPr>
            <w:cnfStyle w:val="001000000000" w:firstRow="0" w:lastRow="0" w:firstColumn="1" w:lastColumn="0" w:oddVBand="0" w:evenVBand="0" w:oddHBand="0" w:evenHBand="0" w:firstRowFirstColumn="0" w:firstRowLastColumn="0" w:lastRowFirstColumn="0" w:lastRowLastColumn="0"/>
            <w:tcW w:w="6503" w:type="dxa"/>
            <w:shd w:val="clear" w:color="auto" w:fill="D9D9D9" w:themeFill="background1" w:themeFillShade="D9"/>
          </w:tcPr>
          <w:p w14:paraId="711AE7C3" w14:textId="77777777" w:rsidR="00C21988" w:rsidRPr="00A97F0C" w:rsidRDefault="00C21988" w:rsidP="00907258">
            <w:pPr>
              <w:spacing w:before="0" w:after="0" w:line="240" w:lineRule="auto"/>
              <w:rPr>
                <w:rFonts w:cstheme="minorHAnsi"/>
                <w:sz w:val="20"/>
                <w:szCs w:val="20"/>
              </w:rPr>
            </w:pPr>
            <w:r w:rsidRPr="00A97F0C">
              <w:rPr>
                <w:rFonts w:cstheme="minorHAnsi"/>
                <w:sz w:val="20"/>
                <w:szCs w:val="20"/>
              </w:rPr>
              <w:t>NEPOSREDNA POTROŠNJA ENERGIJE</w:t>
            </w:r>
          </w:p>
        </w:tc>
        <w:tc>
          <w:tcPr>
            <w:tcW w:w="1331" w:type="dxa"/>
            <w:shd w:val="clear" w:color="auto" w:fill="D9D9D9" w:themeFill="background1" w:themeFillShade="D9"/>
          </w:tcPr>
          <w:p w14:paraId="303A0CBE"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rFonts w:cstheme="minorHAnsi"/>
                <w:b/>
                <w:sz w:val="20"/>
                <w:szCs w:val="20"/>
              </w:rPr>
              <w:t>277,12</w:t>
            </w:r>
          </w:p>
        </w:tc>
        <w:tc>
          <w:tcPr>
            <w:tcW w:w="1228" w:type="dxa"/>
            <w:shd w:val="clear" w:color="auto" w:fill="D9D9D9" w:themeFill="background1" w:themeFillShade="D9"/>
          </w:tcPr>
          <w:p w14:paraId="3E0793E4"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b/>
                <w:sz w:val="20"/>
                <w:szCs w:val="20"/>
              </w:rPr>
              <w:t>6.618,90</w:t>
            </w:r>
          </w:p>
        </w:tc>
      </w:tr>
      <w:tr w:rsidR="00C21988" w14:paraId="164B0D49"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6AD418C1"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Industrija</w:t>
            </w:r>
          </w:p>
        </w:tc>
        <w:tc>
          <w:tcPr>
            <w:tcW w:w="1331" w:type="dxa"/>
          </w:tcPr>
          <w:p w14:paraId="65C684EB"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40,30</w:t>
            </w:r>
          </w:p>
        </w:tc>
        <w:tc>
          <w:tcPr>
            <w:tcW w:w="1228" w:type="dxa"/>
          </w:tcPr>
          <w:p w14:paraId="0BE61F4A"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962,55</w:t>
            </w:r>
          </w:p>
        </w:tc>
      </w:tr>
      <w:tr w:rsidR="00C21988" w14:paraId="78D9636F"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58497439"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Promet</w:t>
            </w:r>
          </w:p>
        </w:tc>
        <w:tc>
          <w:tcPr>
            <w:tcW w:w="1331" w:type="dxa"/>
          </w:tcPr>
          <w:p w14:paraId="14FC8C38"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90,71</w:t>
            </w:r>
          </w:p>
        </w:tc>
        <w:tc>
          <w:tcPr>
            <w:tcW w:w="1228" w:type="dxa"/>
          </w:tcPr>
          <w:p w14:paraId="379C0E32"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2.166,57</w:t>
            </w:r>
          </w:p>
        </w:tc>
      </w:tr>
      <w:tr w:rsidR="00C21988" w14:paraId="65694F60"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46C8A045"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Kućanstva</w:t>
            </w:r>
          </w:p>
        </w:tc>
        <w:tc>
          <w:tcPr>
            <w:tcW w:w="1331" w:type="dxa"/>
          </w:tcPr>
          <w:p w14:paraId="19B95627"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100,70</w:t>
            </w:r>
          </w:p>
        </w:tc>
        <w:tc>
          <w:tcPr>
            <w:tcW w:w="1228" w:type="dxa"/>
          </w:tcPr>
          <w:p w14:paraId="762ADCE6"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2.405,18</w:t>
            </w:r>
          </w:p>
        </w:tc>
      </w:tr>
      <w:tr w:rsidR="00C21988" w14:paraId="542949EA"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1416FE67"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Usluge</w:t>
            </w:r>
          </w:p>
        </w:tc>
        <w:tc>
          <w:tcPr>
            <w:tcW w:w="1331" w:type="dxa"/>
          </w:tcPr>
          <w:p w14:paraId="512A77CE"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31,59</w:t>
            </w:r>
          </w:p>
        </w:tc>
        <w:tc>
          <w:tcPr>
            <w:tcW w:w="1228" w:type="dxa"/>
          </w:tcPr>
          <w:p w14:paraId="6542F120"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754,51</w:t>
            </w:r>
          </w:p>
        </w:tc>
      </w:tr>
      <w:tr w:rsidR="00C21988" w14:paraId="364BB559"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4F05886C"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Poljoprivreda</w:t>
            </w:r>
          </w:p>
        </w:tc>
        <w:tc>
          <w:tcPr>
            <w:tcW w:w="1331" w:type="dxa"/>
          </w:tcPr>
          <w:p w14:paraId="224F7F16"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9,78</w:t>
            </w:r>
          </w:p>
        </w:tc>
        <w:tc>
          <w:tcPr>
            <w:tcW w:w="1228" w:type="dxa"/>
          </w:tcPr>
          <w:p w14:paraId="5ECB3F64"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233,59</w:t>
            </w:r>
          </w:p>
        </w:tc>
      </w:tr>
      <w:tr w:rsidR="00C21988" w14:paraId="5C7BDFFC"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1178DEE4" w14:textId="77777777" w:rsidR="00C21988" w:rsidRPr="00A97F0C" w:rsidRDefault="00C21988" w:rsidP="00907258">
            <w:pPr>
              <w:spacing w:before="0" w:after="0" w:line="240" w:lineRule="auto"/>
              <w:ind w:left="306"/>
              <w:rPr>
                <w:rFonts w:cstheme="minorHAnsi"/>
                <w:b w:val="0"/>
                <w:sz w:val="20"/>
                <w:szCs w:val="20"/>
              </w:rPr>
            </w:pPr>
            <w:r w:rsidRPr="00A97F0C">
              <w:rPr>
                <w:rFonts w:cstheme="minorHAnsi"/>
                <w:b w:val="0"/>
                <w:sz w:val="20"/>
                <w:szCs w:val="20"/>
              </w:rPr>
              <w:t>Građevinarstvo</w:t>
            </w:r>
          </w:p>
        </w:tc>
        <w:tc>
          <w:tcPr>
            <w:tcW w:w="1331" w:type="dxa"/>
          </w:tcPr>
          <w:p w14:paraId="650B9636"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4,05</w:t>
            </w:r>
          </w:p>
        </w:tc>
        <w:tc>
          <w:tcPr>
            <w:tcW w:w="1228" w:type="dxa"/>
          </w:tcPr>
          <w:p w14:paraId="088E771A" w14:textId="77777777" w:rsidR="00C21988" w:rsidRPr="00A97F0C" w:rsidRDefault="00C21988"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sz w:val="20"/>
                <w:szCs w:val="20"/>
              </w:rPr>
              <w:t>96,73</w:t>
            </w:r>
          </w:p>
        </w:tc>
      </w:tr>
    </w:tbl>
    <w:p w14:paraId="174CA196" w14:textId="74903A6C" w:rsidR="00C21988" w:rsidRDefault="00C21988" w:rsidP="00F149EB">
      <w:pPr>
        <w:pStyle w:val="Caption"/>
        <w:rPr>
          <w:rFonts w:cstheme="minorHAnsi"/>
          <w:sz w:val="24"/>
        </w:rPr>
      </w:pPr>
      <w:bookmarkStart w:id="405" w:name="_Ref525300678"/>
      <w:bookmarkStart w:id="406" w:name="_Toc531935361"/>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12</w:t>
      </w:r>
      <w:r w:rsidR="00B22048">
        <w:rPr>
          <w:noProof/>
        </w:rPr>
        <w:fldChar w:fldCharType="end"/>
      </w:r>
      <w:bookmarkEnd w:id="405"/>
      <w:r>
        <w:t>: Struktura primarne i neposredne potrošnje energije po energentima</w:t>
      </w:r>
      <w:bookmarkEnd w:id="406"/>
    </w:p>
    <w:tbl>
      <w:tblPr>
        <w:tblStyle w:val="GridTable1Light"/>
        <w:tblW w:w="0" w:type="auto"/>
        <w:tblLook w:val="04A0" w:firstRow="1" w:lastRow="0" w:firstColumn="1" w:lastColumn="0" w:noHBand="0" w:noVBand="1"/>
      </w:tblPr>
      <w:tblGrid>
        <w:gridCol w:w="6503"/>
        <w:gridCol w:w="1331"/>
        <w:gridCol w:w="1228"/>
      </w:tblGrid>
      <w:tr w:rsidR="00C21988" w14:paraId="6A5B6A4B" w14:textId="77777777" w:rsidTr="00BB7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3" w:type="dxa"/>
          </w:tcPr>
          <w:p w14:paraId="71DFC591" w14:textId="77777777" w:rsidR="00C21988" w:rsidRPr="00A97F0C" w:rsidRDefault="00C21988" w:rsidP="003F204A">
            <w:pPr>
              <w:spacing w:before="0" w:after="0" w:line="240" w:lineRule="auto"/>
              <w:rPr>
                <w:rFonts w:cstheme="minorHAnsi"/>
                <w:sz w:val="20"/>
                <w:szCs w:val="20"/>
              </w:rPr>
            </w:pPr>
            <w:r>
              <w:rPr>
                <w:rFonts w:cstheme="minorHAnsi"/>
                <w:sz w:val="20"/>
                <w:szCs w:val="20"/>
              </w:rPr>
              <w:t>2016. GODINA</w:t>
            </w:r>
          </w:p>
        </w:tc>
        <w:tc>
          <w:tcPr>
            <w:tcW w:w="1331" w:type="dxa"/>
          </w:tcPr>
          <w:p w14:paraId="30AB2FDB" w14:textId="77777777" w:rsidR="00C21988" w:rsidRPr="00A97F0C" w:rsidRDefault="00C21988" w:rsidP="003F20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PJ</w:t>
            </w:r>
          </w:p>
        </w:tc>
        <w:tc>
          <w:tcPr>
            <w:tcW w:w="1228" w:type="dxa"/>
          </w:tcPr>
          <w:p w14:paraId="3257B8DB" w14:textId="1DB25897" w:rsidR="00C21988" w:rsidRPr="00A97F0C" w:rsidRDefault="00FD22C9" w:rsidP="003F20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K</w:t>
            </w:r>
            <w:r w:rsidR="00C21988" w:rsidRPr="00A97F0C">
              <w:rPr>
                <w:rFonts w:cstheme="minorHAnsi"/>
                <w:sz w:val="20"/>
                <w:szCs w:val="20"/>
              </w:rPr>
              <w:t>toe</w:t>
            </w:r>
          </w:p>
        </w:tc>
      </w:tr>
      <w:tr w:rsidR="00C21988" w14:paraId="4A2ECA5B" w14:textId="77777777" w:rsidTr="00BB735D">
        <w:tc>
          <w:tcPr>
            <w:cnfStyle w:val="001000000000" w:firstRow="0" w:lastRow="0" w:firstColumn="1" w:lastColumn="0" w:oddVBand="0" w:evenVBand="0" w:oddHBand="0" w:evenHBand="0" w:firstRowFirstColumn="0" w:firstRowLastColumn="0" w:lastRowFirstColumn="0" w:lastRowLastColumn="0"/>
            <w:tcW w:w="6503" w:type="dxa"/>
            <w:shd w:val="clear" w:color="auto" w:fill="D9D9D9" w:themeFill="background1" w:themeFillShade="D9"/>
          </w:tcPr>
          <w:p w14:paraId="5009BD0D" w14:textId="77777777" w:rsidR="00C21988" w:rsidRPr="00A97F0C" w:rsidRDefault="00C21988" w:rsidP="003F204A">
            <w:pPr>
              <w:spacing w:before="0" w:after="0" w:line="240" w:lineRule="auto"/>
              <w:rPr>
                <w:rFonts w:cstheme="minorHAnsi"/>
                <w:sz w:val="20"/>
                <w:szCs w:val="20"/>
              </w:rPr>
            </w:pPr>
            <w:r w:rsidRPr="00A97F0C">
              <w:rPr>
                <w:rFonts w:cstheme="minorHAnsi"/>
                <w:sz w:val="20"/>
                <w:szCs w:val="20"/>
              </w:rPr>
              <w:t>PRIMARNA POTROŠNJA ENERGIJE</w:t>
            </w:r>
          </w:p>
        </w:tc>
        <w:tc>
          <w:tcPr>
            <w:tcW w:w="1331" w:type="dxa"/>
            <w:shd w:val="clear" w:color="auto" w:fill="D9D9D9" w:themeFill="background1" w:themeFillShade="D9"/>
          </w:tcPr>
          <w:p w14:paraId="20A67497"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rFonts w:cstheme="minorHAnsi"/>
                <w:b/>
                <w:sz w:val="20"/>
                <w:szCs w:val="20"/>
              </w:rPr>
              <w:t>405,34</w:t>
            </w:r>
          </w:p>
        </w:tc>
        <w:tc>
          <w:tcPr>
            <w:tcW w:w="1228" w:type="dxa"/>
            <w:shd w:val="clear" w:color="auto" w:fill="D9D9D9" w:themeFill="background1" w:themeFillShade="D9"/>
          </w:tcPr>
          <w:p w14:paraId="2CD388AB"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b/>
                <w:sz w:val="20"/>
                <w:szCs w:val="20"/>
              </w:rPr>
              <w:t>9.681,38</w:t>
            </w:r>
          </w:p>
        </w:tc>
      </w:tr>
      <w:tr w:rsidR="00C21988" w14:paraId="2F5BCEF0"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0015F4C8"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Ugljen i koks</w:t>
            </w:r>
          </w:p>
        </w:tc>
        <w:tc>
          <w:tcPr>
            <w:tcW w:w="1331" w:type="dxa"/>
          </w:tcPr>
          <w:p w14:paraId="655C4976"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32,14</w:t>
            </w:r>
          </w:p>
        </w:tc>
        <w:tc>
          <w:tcPr>
            <w:tcW w:w="1228" w:type="dxa"/>
            <w:vAlign w:val="center"/>
          </w:tcPr>
          <w:p w14:paraId="207B2589"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767,65</w:t>
            </w:r>
          </w:p>
        </w:tc>
      </w:tr>
      <w:tr w:rsidR="00C21988" w14:paraId="38BECAFA"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701EA2AE"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Drvo i biomasa</w:t>
            </w:r>
          </w:p>
        </w:tc>
        <w:tc>
          <w:tcPr>
            <w:tcW w:w="1331" w:type="dxa"/>
          </w:tcPr>
          <w:p w14:paraId="6253D0B7"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52,47</w:t>
            </w:r>
          </w:p>
        </w:tc>
        <w:tc>
          <w:tcPr>
            <w:tcW w:w="1228" w:type="dxa"/>
            <w:vAlign w:val="center"/>
          </w:tcPr>
          <w:p w14:paraId="447ADEB6"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1.253,22</w:t>
            </w:r>
          </w:p>
        </w:tc>
      </w:tr>
      <w:tr w:rsidR="00C21988" w14:paraId="22F1DC71"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0A7DB104"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Tekuća goriva</w:t>
            </w:r>
          </w:p>
        </w:tc>
        <w:tc>
          <w:tcPr>
            <w:tcW w:w="1331" w:type="dxa"/>
          </w:tcPr>
          <w:p w14:paraId="12FC91EA"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130,78</w:t>
            </w:r>
          </w:p>
        </w:tc>
        <w:tc>
          <w:tcPr>
            <w:tcW w:w="1228" w:type="dxa"/>
            <w:vAlign w:val="center"/>
          </w:tcPr>
          <w:p w14:paraId="7E767EF8"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3.123,63</w:t>
            </w:r>
          </w:p>
        </w:tc>
      </w:tr>
      <w:tr w:rsidR="00C21988" w14:paraId="7921C05E"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33A2A7B4"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Prirodni plin</w:t>
            </w:r>
          </w:p>
        </w:tc>
        <w:tc>
          <w:tcPr>
            <w:tcW w:w="1331" w:type="dxa"/>
          </w:tcPr>
          <w:p w14:paraId="02087744"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91,08</w:t>
            </w:r>
          </w:p>
        </w:tc>
        <w:tc>
          <w:tcPr>
            <w:tcW w:w="1228" w:type="dxa"/>
            <w:vAlign w:val="center"/>
          </w:tcPr>
          <w:p w14:paraId="19D41B23"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2.175,41</w:t>
            </w:r>
          </w:p>
        </w:tc>
      </w:tr>
      <w:tr w:rsidR="00C21988" w14:paraId="78657FAC"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1EDDBEE7"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Vodne snage</w:t>
            </w:r>
          </w:p>
        </w:tc>
        <w:tc>
          <w:tcPr>
            <w:tcW w:w="1331" w:type="dxa"/>
          </w:tcPr>
          <w:p w14:paraId="3BF154FF"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65,63</w:t>
            </w:r>
          </w:p>
        </w:tc>
        <w:tc>
          <w:tcPr>
            <w:tcW w:w="1228" w:type="dxa"/>
            <w:vAlign w:val="center"/>
          </w:tcPr>
          <w:p w14:paraId="34569381"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1.567,55</w:t>
            </w:r>
          </w:p>
        </w:tc>
      </w:tr>
      <w:tr w:rsidR="00C21988" w14:paraId="1E479C52"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68DFD215"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Električna energija</w:t>
            </w:r>
          </w:p>
        </w:tc>
        <w:tc>
          <w:tcPr>
            <w:tcW w:w="1331" w:type="dxa"/>
          </w:tcPr>
          <w:p w14:paraId="6D8B5F58"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19,91</w:t>
            </w:r>
          </w:p>
        </w:tc>
        <w:tc>
          <w:tcPr>
            <w:tcW w:w="1228" w:type="dxa"/>
            <w:vAlign w:val="center"/>
          </w:tcPr>
          <w:p w14:paraId="16D5AC81"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475,54</w:t>
            </w:r>
          </w:p>
        </w:tc>
      </w:tr>
      <w:tr w:rsidR="00C21988" w14:paraId="466390CE"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3C44A5E5"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Toplinska energija</w:t>
            </w:r>
          </w:p>
        </w:tc>
        <w:tc>
          <w:tcPr>
            <w:tcW w:w="1331" w:type="dxa"/>
          </w:tcPr>
          <w:p w14:paraId="309D0D32"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0,66</w:t>
            </w:r>
          </w:p>
        </w:tc>
        <w:tc>
          <w:tcPr>
            <w:tcW w:w="1228" w:type="dxa"/>
            <w:vAlign w:val="center"/>
          </w:tcPr>
          <w:p w14:paraId="14100A30"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15,76</w:t>
            </w:r>
          </w:p>
        </w:tc>
      </w:tr>
      <w:tr w:rsidR="00C21988" w14:paraId="500F8650"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74B6FF9B"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Obnovljivi izvori</w:t>
            </w:r>
          </w:p>
        </w:tc>
        <w:tc>
          <w:tcPr>
            <w:tcW w:w="1331" w:type="dxa"/>
          </w:tcPr>
          <w:p w14:paraId="2B78D62B"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12,68</w:t>
            </w:r>
          </w:p>
        </w:tc>
        <w:tc>
          <w:tcPr>
            <w:tcW w:w="1228" w:type="dxa"/>
            <w:vAlign w:val="center"/>
          </w:tcPr>
          <w:p w14:paraId="55BD0902"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302,86</w:t>
            </w:r>
          </w:p>
        </w:tc>
      </w:tr>
      <w:tr w:rsidR="00C21988" w14:paraId="42248DA0" w14:textId="77777777" w:rsidTr="00BB735D">
        <w:tc>
          <w:tcPr>
            <w:cnfStyle w:val="001000000000" w:firstRow="0" w:lastRow="0" w:firstColumn="1" w:lastColumn="0" w:oddVBand="0" w:evenVBand="0" w:oddHBand="0" w:evenHBand="0" w:firstRowFirstColumn="0" w:firstRowLastColumn="0" w:lastRowFirstColumn="0" w:lastRowLastColumn="0"/>
            <w:tcW w:w="6503" w:type="dxa"/>
            <w:shd w:val="clear" w:color="auto" w:fill="D9D9D9" w:themeFill="background1" w:themeFillShade="D9"/>
          </w:tcPr>
          <w:p w14:paraId="7EA09D2D" w14:textId="77777777" w:rsidR="00C21988" w:rsidRPr="00A97F0C" w:rsidRDefault="00C21988" w:rsidP="003F204A">
            <w:pPr>
              <w:spacing w:before="0" w:after="0" w:line="240" w:lineRule="auto"/>
              <w:rPr>
                <w:rFonts w:cstheme="minorHAnsi"/>
                <w:sz w:val="20"/>
                <w:szCs w:val="20"/>
              </w:rPr>
            </w:pPr>
            <w:r w:rsidRPr="00A97F0C">
              <w:rPr>
                <w:rFonts w:cstheme="minorHAnsi"/>
                <w:sz w:val="20"/>
                <w:szCs w:val="20"/>
              </w:rPr>
              <w:t>NEPOSREDNA POTROŠNJA ENERGIJE</w:t>
            </w:r>
          </w:p>
        </w:tc>
        <w:tc>
          <w:tcPr>
            <w:tcW w:w="1331" w:type="dxa"/>
            <w:shd w:val="clear" w:color="auto" w:fill="D9D9D9" w:themeFill="background1" w:themeFillShade="D9"/>
          </w:tcPr>
          <w:p w14:paraId="72BAB9AF"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rFonts w:cstheme="minorHAnsi"/>
                <w:b/>
                <w:sz w:val="20"/>
                <w:szCs w:val="20"/>
              </w:rPr>
              <w:t>277,12</w:t>
            </w:r>
          </w:p>
        </w:tc>
        <w:tc>
          <w:tcPr>
            <w:tcW w:w="1228" w:type="dxa"/>
            <w:shd w:val="clear" w:color="auto" w:fill="D9D9D9" w:themeFill="background1" w:themeFillShade="D9"/>
          </w:tcPr>
          <w:p w14:paraId="007275F9"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7F0C">
              <w:rPr>
                <w:b/>
                <w:sz w:val="20"/>
                <w:szCs w:val="20"/>
              </w:rPr>
              <w:t>6.618,90</w:t>
            </w:r>
          </w:p>
        </w:tc>
      </w:tr>
      <w:tr w:rsidR="00C21988" w14:paraId="37F7DEE5"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0F5A0780"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Ugljen i koks</w:t>
            </w:r>
          </w:p>
        </w:tc>
        <w:tc>
          <w:tcPr>
            <w:tcW w:w="1331" w:type="dxa"/>
          </w:tcPr>
          <w:p w14:paraId="0BDE6650"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7,71</w:t>
            </w:r>
          </w:p>
        </w:tc>
        <w:tc>
          <w:tcPr>
            <w:tcW w:w="1228" w:type="dxa"/>
            <w:vAlign w:val="center"/>
          </w:tcPr>
          <w:p w14:paraId="6E07B000"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184,15</w:t>
            </w:r>
          </w:p>
        </w:tc>
      </w:tr>
      <w:tr w:rsidR="00C21988" w14:paraId="18C1FEEA"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3B2ECA70"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Drvo i biomasa</w:t>
            </w:r>
          </w:p>
        </w:tc>
        <w:tc>
          <w:tcPr>
            <w:tcW w:w="1331" w:type="dxa"/>
          </w:tcPr>
          <w:p w14:paraId="0D18FCF6"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48,52</w:t>
            </w:r>
          </w:p>
        </w:tc>
        <w:tc>
          <w:tcPr>
            <w:tcW w:w="1228" w:type="dxa"/>
            <w:vAlign w:val="center"/>
          </w:tcPr>
          <w:p w14:paraId="12AD2DC8"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1.158,88</w:t>
            </w:r>
          </w:p>
        </w:tc>
      </w:tr>
      <w:tr w:rsidR="00C21988" w14:paraId="25E559D5"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655D25C1"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Tekuća goriva</w:t>
            </w:r>
          </w:p>
        </w:tc>
        <w:tc>
          <w:tcPr>
            <w:tcW w:w="1331" w:type="dxa"/>
          </w:tcPr>
          <w:p w14:paraId="417E59A5"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111,95</w:t>
            </w:r>
          </w:p>
        </w:tc>
        <w:tc>
          <w:tcPr>
            <w:tcW w:w="1228" w:type="dxa"/>
            <w:vAlign w:val="center"/>
          </w:tcPr>
          <w:p w14:paraId="2741E470"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ascii="Calibri" w:hAnsi="Calibri" w:cs="Calibri"/>
                <w:color w:val="000000"/>
                <w:sz w:val="20"/>
                <w:szCs w:val="20"/>
              </w:rPr>
              <w:t>2.673,88</w:t>
            </w:r>
          </w:p>
        </w:tc>
      </w:tr>
      <w:tr w:rsidR="00C21988" w14:paraId="35182D97"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6AB3FC3F"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Prirodni plin</w:t>
            </w:r>
          </w:p>
        </w:tc>
        <w:tc>
          <w:tcPr>
            <w:tcW w:w="1331" w:type="dxa"/>
          </w:tcPr>
          <w:p w14:paraId="15E0DBC0"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35,06</w:t>
            </w:r>
          </w:p>
        </w:tc>
        <w:tc>
          <w:tcPr>
            <w:tcW w:w="1228" w:type="dxa"/>
            <w:vAlign w:val="center"/>
          </w:tcPr>
          <w:p w14:paraId="6E5B0693"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837,39</w:t>
            </w:r>
          </w:p>
        </w:tc>
      </w:tr>
      <w:tr w:rsidR="00C21988" w14:paraId="7A552A7F"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7B99BAD1"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Električna energija</w:t>
            </w:r>
          </w:p>
        </w:tc>
        <w:tc>
          <w:tcPr>
            <w:tcW w:w="1331" w:type="dxa"/>
          </w:tcPr>
          <w:p w14:paraId="53A0D045"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55,04</w:t>
            </w:r>
          </w:p>
        </w:tc>
        <w:tc>
          <w:tcPr>
            <w:tcW w:w="1228" w:type="dxa"/>
            <w:vAlign w:val="center"/>
          </w:tcPr>
          <w:p w14:paraId="5B62DA14"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1.314,61</w:t>
            </w:r>
          </w:p>
        </w:tc>
      </w:tr>
      <w:tr w:rsidR="00C21988" w14:paraId="77A1263D"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304C464B"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Toplinska energija</w:t>
            </w:r>
          </w:p>
        </w:tc>
        <w:tc>
          <w:tcPr>
            <w:tcW w:w="1331" w:type="dxa"/>
          </w:tcPr>
          <w:p w14:paraId="79318455"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18,20</w:t>
            </w:r>
          </w:p>
        </w:tc>
        <w:tc>
          <w:tcPr>
            <w:tcW w:w="1228" w:type="dxa"/>
            <w:vAlign w:val="center"/>
          </w:tcPr>
          <w:p w14:paraId="7BAEAFF4"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434,70</w:t>
            </w:r>
          </w:p>
        </w:tc>
      </w:tr>
      <w:tr w:rsidR="00C21988" w14:paraId="0CFEFFE4" w14:textId="77777777" w:rsidTr="00BB735D">
        <w:tc>
          <w:tcPr>
            <w:cnfStyle w:val="001000000000" w:firstRow="0" w:lastRow="0" w:firstColumn="1" w:lastColumn="0" w:oddVBand="0" w:evenVBand="0" w:oddHBand="0" w:evenHBand="0" w:firstRowFirstColumn="0" w:firstRowLastColumn="0" w:lastRowFirstColumn="0" w:lastRowLastColumn="0"/>
            <w:tcW w:w="6503" w:type="dxa"/>
          </w:tcPr>
          <w:p w14:paraId="7C44E313" w14:textId="77777777" w:rsidR="00C21988" w:rsidRPr="00A97F0C" w:rsidRDefault="00C21988" w:rsidP="003F204A">
            <w:pPr>
              <w:spacing w:before="0" w:after="0" w:line="240" w:lineRule="auto"/>
              <w:ind w:left="306"/>
              <w:rPr>
                <w:rFonts w:cstheme="minorHAnsi"/>
                <w:b w:val="0"/>
                <w:sz w:val="20"/>
                <w:szCs w:val="20"/>
              </w:rPr>
            </w:pPr>
            <w:r w:rsidRPr="00A97F0C">
              <w:rPr>
                <w:rFonts w:cstheme="minorHAnsi"/>
                <w:b w:val="0"/>
                <w:sz w:val="20"/>
                <w:szCs w:val="20"/>
              </w:rPr>
              <w:t>Obnovljivi izvori</w:t>
            </w:r>
          </w:p>
        </w:tc>
        <w:tc>
          <w:tcPr>
            <w:tcW w:w="1331" w:type="dxa"/>
          </w:tcPr>
          <w:p w14:paraId="79C845E9"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0,64</w:t>
            </w:r>
          </w:p>
        </w:tc>
        <w:tc>
          <w:tcPr>
            <w:tcW w:w="1228" w:type="dxa"/>
            <w:vAlign w:val="center"/>
          </w:tcPr>
          <w:p w14:paraId="132EFF26" w14:textId="77777777" w:rsidR="00C21988" w:rsidRPr="00A97F0C" w:rsidRDefault="00C21988" w:rsidP="003F20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97F0C">
              <w:rPr>
                <w:rFonts w:ascii="Calibri" w:hAnsi="Calibri" w:cs="Calibri"/>
                <w:color w:val="000000"/>
                <w:sz w:val="20"/>
                <w:szCs w:val="20"/>
              </w:rPr>
              <w:t>15,29</w:t>
            </w:r>
          </w:p>
        </w:tc>
      </w:tr>
    </w:tbl>
    <w:p w14:paraId="2DAB9250" w14:textId="77777777" w:rsidR="00C21988" w:rsidRPr="004002F3" w:rsidRDefault="00C21988" w:rsidP="00C21988">
      <w:pPr>
        <w:spacing w:before="120"/>
        <w:jc w:val="center"/>
        <w:rPr>
          <w:i/>
          <w:sz w:val="20"/>
        </w:rPr>
      </w:pPr>
      <w:r w:rsidRPr="001B295F">
        <w:rPr>
          <w:i/>
          <w:sz w:val="20"/>
        </w:rPr>
        <w:t>Izvor: Godišnji energetski pregled – Energija u Hrvatskoj 2016., Ministarstvo zaštite okoliša i energetike, prosinac 2017.</w:t>
      </w:r>
    </w:p>
    <w:p w14:paraId="2A18E1A7" w14:textId="77777777" w:rsidR="00C21988" w:rsidRPr="008138C4" w:rsidRDefault="00C21988" w:rsidP="008138C4">
      <w:pPr>
        <w:pStyle w:val="ListParagraph"/>
        <w:numPr>
          <w:ilvl w:val="0"/>
          <w:numId w:val="62"/>
        </w:numPr>
        <w:tabs>
          <w:tab w:val="clear" w:pos="431"/>
        </w:tabs>
        <w:suppressAutoHyphens w:val="0"/>
        <w:spacing w:after="160" w:line="259" w:lineRule="auto"/>
        <w:contextualSpacing/>
        <w:jc w:val="left"/>
        <w:rPr>
          <w:b/>
          <w:i/>
        </w:rPr>
      </w:pPr>
      <w:r w:rsidRPr="008138C4">
        <w:rPr>
          <w:b/>
          <w:i/>
        </w:rPr>
        <w:t xml:space="preserve">Trenutačni potencijal za primjenu visokoučinkovite kogeneracije i učinkovitog centraliziranog grijanja i hlađenja </w:t>
      </w:r>
    </w:p>
    <w:p w14:paraId="17958E4D" w14:textId="77777777" w:rsidR="00C21988" w:rsidRPr="001D15C4" w:rsidRDefault="00C21988" w:rsidP="00C21988">
      <w:pPr>
        <w:rPr>
          <w:rFonts w:cstheme="minorHAnsi"/>
        </w:rPr>
      </w:pPr>
      <w:r w:rsidRPr="001D15C4">
        <w:rPr>
          <w:rFonts w:cstheme="minorHAnsi"/>
        </w:rPr>
        <w:t>Pokazatelji potencijala za primjenu visokoučinkovite kogeneracije i učinkovitog centraliziranog grijanja i hlađenja su preuzeti iz dokumenta „Program korištenja potencijala za učinkovitost u grijanju i hlađenju za razdoblje 2016. – 2030.“, iz studenog 2015. godine, koji je izrađen za potrebe Ministarstva gospodarstva (danas u nadležnosti Ministarstva zaštite okoliša i energetike) sukladno članku 14. Direktive 2012/27/EZ.</w:t>
      </w:r>
    </w:p>
    <w:p w14:paraId="5F80D026" w14:textId="031270CD" w:rsidR="00C21988" w:rsidRPr="001D15C4" w:rsidRDefault="00C21988" w:rsidP="00C21988">
      <w:pPr>
        <w:rPr>
          <w:rFonts w:cstheme="minorHAnsi"/>
        </w:rPr>
      </w:pPr>
      <w:r w:rsidRPr="001D15C4">
        <w:rPr>
          <w:rFonts w:cstheme="minorHAnsi"/>
        </w:rPr>
        <w:t>Utvrđeni sveukupni (teorijski) potencijal za visokoučinkovita kogeneracijska postrojenja u Republici Hrvatskoj je sagledan kroz dva scenarija udjela budućih potrošača na centraliziranim toplinskim sustavima spregnutim s visokoučinkovitom kogeneracijom: konzervativnom i optimističnom. Scenariji su bazirani prema udjelu potrošača na centraliziranim toplinskim sustavima koji su pretpostavljeni na temelju utvrđenih postojećih trendova (konzervativni scenarij) odnosno optimistične pretpostavke pozitivnih pomaka u gospodarstvu RH (optimistični scenarij). Pokazatelje potencijala za primjenu visokoučinkovite kogeneracije i učinkovitog centraliziranog grijanja i hlađenja prikazuje</w:t>
      </w:r>
      <w:r w:rsidR="00D067E9">
        <w:rPr>
          <w:rFonts w:cstheme="minorHAnsi"/>
        </w:rPr>
        <w:t xml:space="preserve"> </w:t>
      </w:r>
      <w:r w:rsidR="00D067E9">
        <w:rPr>
          <w:rFonts w:cstheme="minorHAnsi"/>
        </w:rPr>
        <w:fldChar w:fldCharType="begin"/>
      </w:r>
      <w:r w:rsidR="00D067E9">
        <w:rPr>
          <w:rFonts w:cstheme="minorHAnsi"/>
        </w:rPr>
        <w:instrText xml:space="preserve"> REF _Ref531013427 \h </w:instrText>
      </w:r>
      <w:r w:rsidR="00D067E9">
        <w:rPr>
          <w:rFonts w:cstheme="minorHAnsi"/>
        </w:rPr>
      </w:r>
      <w:r w:rsidR="00D067E9">
        <w:rPr>
          <w:rFonts w:cstheme="minorHAnsi"/>
        </w:rPr>
        <w:fldChar w:fldCharType="separate"/>
      </w:r>
      <w:r w:rsidR="00E5423A">
        <w:t xml:space="preserve">Tablica </w:t>
      </w:r>
      <w:r w:rsidR="00E5423A">
        <w:rPr>
          <w:noProof/>
        </w:rPr>
        <w:t>4</w:t>
      </w:r>
      <w:r w:rsidR="00E5423A">
        <w:noBreakHyphen/>
      </w:r>
      <w:r w:rsidR="00E5423A">
        <w:rPr>
          <w:noProof/>
        </w:rPr>
        <w:t>13</w:t>
      </w:r>
      <w:r w:rsidR="00D067E9">
        <w:rPr>
          <w:rFonts w:cstheme="minorHAnsi"/>
        </w:rPr>
        <w:fldChar w:fldCharType="end"/>
      </w:r>
      <w:r w:rsidRPr="001D15C4">
        <w:rPr>
          <w:rFonts w:cstheme="minorHAnsi"/>
        </w:rPr>
        <w:t>.</w:t>
      </w:r>
    </w:p>
    <w:p w14:paraId="6BBE3A23" w14:textId="3305541C" w:rsidR="00C21988" w:rsidRPr="00A91300" w:rsidRDefault="00C21988" w:rsidP="00F149EB">
      <w:pPr>
        <w:pStyle w:val="Caption"/>
        <w:rPr>
          <w:rFonts w:asciiTheme="minorHAnsi" w:hAnsiTheme="minorHAnsi" w:cstheme="minorHAnsi"/>
          <w:sz w:val="24"/>
          <w:szCs w:val="22"/>
          <w:lang w:eastAsia="en-US"/>
        </w:rPr>
      </w:pPr>
      <w:bookmarkStart w:id="407" w:name="_Ref531013427"/>
      <w:bookmarkStart w:id="408" w:name="_Toc531935362"/>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13</w:t>
      </w:r>
      <w:r w:rsidR="00B22048">
        <w:rPr>
          <w:noProof/>
        </w:rPr>
        <w:fldChar w:fldCharType="end"/>
      </w:r>
      <w:bookmarkEnd w:id="407"/>
      <w:r>
        <w:t>: Potencijali za primjenu visokoučinkovite kogeneracije i učinkovitog centraliziranog grijanja i hlađenja</w:t>
      </w:r>
      <w:bookmarkEnd w:id="408"/>
    </w:p>
    <w:tbl>
      <w:tblPr>
        <w:tblStyle w:val="GridTable1Light"/>
        <w:tblW w:w="0" w:type="auto"/>
        <w:tblLook w:val="04A0" w:firstRow="1" w:lastRow="0" w:firstColumn="1" w:lastColumn="0" w:noHBand="0" w:noVBand="1"/>
      </w:tblPr>
      <w:tblGrid>
        <w:gridCol w:w="3683"/>
        <w:gridCol w:w="850"/>
        <w:gridCol w:w="2144"/>
        <w:gridCol w:w="2385"/>
      </w:tblGrid>
      <w:tr w:rsidR="00C21988" w:rsidRPr="001C78BF" w14:paraId="73F8B1A4" w14:textId="77777777" w:rsidTr="00BB735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3" w:type="dxa"/>
            <w:noWrap/>
            <w:hideMark/>
          </w:tcPr>
          <w:p w14:paraId="7BC945F9" w14:textId="77777777" w:rsidR="00C21988" w:rsidRPr="001C78BF" w:rsidRDefault="00C21988" w:rsidP="00DF22F6">
            <w:pPr>
              <w:spacing w:before="0" w:after="0" w:line="240" w:lineRule="auto"/>
              <w:jc w:val="center"/>
              <w:rPr>
                <w:rFonts w:cstheme="minorHAnsi"/>
                <w:b w:val="0"/>
                <w:bCs w:val="0"/>
                <w:color w:val="000000"/>
                <w:sz w:val="20"/>
                <w:szCs w:val="20"/>
              </w:rPr>
            </w:pPr>
            <w:r w:rsidRPr="001C78BF">
              <w:rPr>
                <w:rFonts w:cstheme="minorHAnsi"/>
                <w:color w:val="000000"/>
                <w:sz w:val="20"/>
                <w:szCs w:val="20"/>
              </w:rPr>
              <w:t>Pokazatelj</w:t>
            </w:r>
          </w:p>
        </w:tc>
        <w:tc>
          <w:tcPr>
            <w:tcW w:w="850" w:type="dxa"/>
            <w:noWrap/>
            <w:hideMark/>
          </w:tcPr>
          <w:p w14:paraId="738E6BFF" w14:textId="77777777" w:rsidR="00C21988" w:rsidRPr="001C78BF" w:rsidRDefault="00C21988" w:rsidP="00DF22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Jed.</w:t>
            </w:r>
          </w:p>
        </w:tc>
        <w:tc>
          <w:tcPr>
            <w:tcW w:w="2144" w:type="dxa"/>
            <w:noWrap/>
            <w:hideMark/>
          </w:tcPr>
          <w:p w14:paraId="39D2104C" w14:textId="77777777" w:rsidR="00C21988" w:rsidRPr="001C78BF" w:rsidRDefault="00C21988" w:rsidP="00DF22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Konzervativni scenarij u 2030. god.</w:t>
            </w:r>
          </w:p>
        </w:tc>
        <w:tc>
          <w:tcPr>
            <w:tcW w:w="2385" w:type="dxa"/>
            <w:noWrap/>
            <w:hideMark/>
          </w:tcPr>
          <w:p w14:paraId="4AC7F46C" w14:textId="77777777" w:rsidR="00C21988" w:rsidRPr="001C78BF" w:rsidRDefault="00C21988" w:rsidP="00DF22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Optimistični scenarij u 2030. god.</w:t>
            </w:r>
          </w:p>
        </w:tc>
      </w:tr>
      <w:tr w:rsidR="00C21988" w:rsidRPr="001C78BF" w14:paraId="13426518" w14:textId="77777777" w:rsidTr="00BB735D">
        <w:trPr>
          <w:trHeight w:val="50"/>
        </w:trPr>
        <w:tc>
          <w:tcPr>
            <w:cnfStyle w:val="001000000000" w:firstRow="0" w:lastRow="0" w:firstColumn="1" w:lastColumn="0" w:oddVBand="0" w:evenVBand="0" w:oddHBand="0" w:evenHBand="0" w:firstRowFirstColumn="0" w:firstRowLastColumn="0" w:lastRowFirstColumn="0" w:lastRowLastColumn="0"/>
            <w:tcW w:w="3683" w:type="dxa"/>
            <w:vMerge w:val="restart"/>
            <w:hideMark/>
          </w:tcPr>
          <w:p w14:paraId="26C3DBB0"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 xml:space="preserve">Ukupni toplinski konzum </w:t>
            </w:r>
            <w:r w:rsidRPr="001C78BF">
              <w:rPr>
                <w:rFonts w:cstheme="minorHAnsi"/>
                <w:color w:val="000000"/>
                <w:sz w:val="20"/>
                <w:szCs w:val="20"/>
              </w:rPr>
              <w:br/>
              <w:t>(teorijske toplinske potrebe u 2030. god.)</w:t>
            </w:r>
          </w:p>
        </w:tc>
        <w:tc>
          <w:tcPr>
            <w:tcW w:w="850" w:type="dxa"/>
            <w:noWrap/>
            <w:hideMark/>
          </w:tcPr>
          <w:p w14:paraId="42CFB333"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351A7136"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18.312.866</w:t>
            </w:r>
          </w:p>
        </w:tc>
        <w:tc>
          <w:tcPr>
            <w:tcW w:w="2385" w:type="dxa"/>
            <w:noWrap/>
            <w:hideMark/>
          </w:tcPr>
          <w:p w14:paraId="5275FB9C"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29.982.128</w:t>
            </w:r>
          </w:p>
        </w:tc>
      </w:tr>
      <w:tr w:rsidR="00C21988" w:rsidRPr="001C78BF" w14:paraId="1E593FBC"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752CFFE4" w14:textId="77777777" w:rsidR="00C21988" w:rsidRPr="001C78BF" w:rsidRDefault="00C21988" w:rsidP="00DF22F6">
            <w:pPr>
              <w:spacing w:before="0" w:after="0" w:line="240" w:lineRule="auto"/>
              <w:rPr>
                <w:rFonts w:cstheme="minorHAnsi"/>
                <w:bCs w:val="0"/>
                <w:color w:val="000000"/>
                <w:sz w:val="20"/>
                <w:szCs w:val="20"/>
              </w:rPr>
            </w:pPr>
          </w:p>
        </w:tc>
        <w:tc>
          <w:tcPr>
            <w:tcW w:w="850" w:type="dxa"/>
            <w:noWrap/>
            <w:hideMark/>
          </w:tcPr>
          <w:p w14:paraId="5A61B42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714A2758"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5.086.907</w:t>
            </w:r>
          </w:p>
        </w:tc>
        <w:tc>
          <w:tcPr>
            <w:tcW w:w="2385" w:type="dxa"/>
            <w:noWrap/>
            <w:hideMark/>
          </w:tcPr>
          <w:p w14:paraId="44D4449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8.328.369</w:t>
            </w:r>
          </w:p>
        </w:tc>
      </w:tr>
      <w:tr w:rsidR="00C21988" w:rsidRPr="001C78BF" w14:paraId="35E646DD"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60EEDD12"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Potrebni toplinski kapacitet (teorijski)</w:t>
            </w:r>
          </w:p>
        </w:tc>
        <w:tc>
          <w:tcPr>
            <w:tcW w:w="850" w:type="dxa"/>
            <w:noWrap/>
            <w:hideMark/>
          </w:tcPr>
          <w:p w14:paraId="46A3EA3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w:t>
            </w:r>
            <w:r w:rsidRPr="001C78BF">
              <w:rPr>
                <w:rFonts w:cstheme="minorHAnsi"/>
                <w:bCs/>
                <w:color w:val="000000"/>
                <w:sz w:val="20"/>
                <w:szCs w:val="20"/>
                <w:vertAlign w:val="subscript"/>
              </w:rPr>
              <w:t>t</w:t>
            </w:r>
          </w:p>
        </w:tc>
        <w:tc>
          <w:tcPr>
            <w:tcW w:w="2144" w:type="dxa"/>
            <w:noWrap/>
            <w:hideMark/>
          </w:tcPr>
          <w:p w14:paraId="195CD7F6"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3.178</w:t>
            </w:r>
          </w:p>
        </w:tc>
        <w:tc>
          <w:tcPr>
            <w:tcW w:w="2385" w:type="dxa"/>
            <w:noWrap/>
            <w:hideMark/>
          </w:tcPr>
          <w:p w14:paraId="19D5B0A4"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5.262</w:t>
            </w:r>
          </w:p>
        </w:tc>
      </w:tr>
      <w:tr w:rsidR="00C21988" w:rsidRPr="001C78BF" w14:paraId="79B85A5F"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5E396A78"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Udio potrošača na CTS</w:t>
            </w:r>
            <w:r w:rsidRPr="001C78BF">
              <w:rPr>
                <w:rFonts w:cstheme="minorHAnsi"/>
                <w:color w:val="000000"/>
                <w:sz w:val="20"/>
                <w:szCs w:val="20"/>
              </w:rPr>
              <w:noBreakHyphen/>
              <w:t>u</w:t>
            </w:r>
          </w:p>
        </w:tc>
        <w:tc>
          <w:tcPr>
            <w:tcW w:w="850" w:type="dxa"/>
            <w:noWrap/>
            <w:hideMark/>
          </w:tcPr>
          <w:p w14:paraId="5BB663C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w:t>
            </w:r>
          </w:p>
        </w:tc>
        <w:tc>
          <w:tcPr>
            <w:tcW w:w="2144" w:type="dxa"/>
            <w:noWrap/>
            <w:hideMark/>
          </w:tcPr>
          <w:p w14:paraId="7F1F59A7"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30,1</w:t>
            </w:r>
          </w:p>
        </w:tc>
        <w:tc>
          <w:tcPr>
            <w:tcW w:w="2385" w:type="dxa"/>
            <w:noWrap/>
            <w:hideMark/>
          </w:tcPr>
          <w:p w14:paraId="70BF65FC"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55,0</w:t>
            </w:r>
          </w:p>
        </w:tc>
      </w:tr>
      <w:tr w:rsidR="00C21988" w:rsidRPr="001C78BF" w14:paraId="1AAE3356"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val="restart"/>
            <w:noWrap/>
            <w:hideMark/>
          </w:tcPr>
          <w:p w14:paraId="306FE905"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Ekvivalentni toplinski konzum</w:t>
            </w:r>
          </w:p>
        </w:tc>
        <w:tc>
          <w:tcPr>
            <w:tcW w:w="850" w:type="dxa"/>
            <w:noWrap/>
            <w:hideMark/>
          </w:tcPr>
          <w:p w14:paraId="504B3E0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719885BC"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5.506.528</w:t>
            </w:r>
          </w:p>
        </w:tc>
        <w:tc>
          <w:tcPr>
            <w:tcW w:w="2385" w:type="dxa"/>
            <w:noWrap/>
            <w:hideMark/>
          </w:tcPr>
          <w:p w14:paraId="034F77A9"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16.625.599</w:t>
            </w:r>
          </w:p>
        </w:tc>
      </w:tr>
      <w:tr w:rsidR="00C21988" w:rsidRPr="001C78BF" w14:paraId="04A62EDC"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27F432C7" w14:textId="77777777" w:rsidR="00C21988" w:rsidRPr="001C78BF" w:rsidRDefault="00C21988" w:rsidP="00DF22F6">
            <w:pPr>
              <w:spacing w:before="0" w:after="0" w:line="240" w:lineRule="auto"/>
              <w:rPr>
                <w:rFonts w:cstheme="minorHAnsi"/>
                <w:bCs w:val="0"/>
                <w:color w:val="000000"/>
                <w:sz w:val="20"/>
                <w:szCs w:val="20"/>
              </w:rPr>
            </w:pPr>
          </w:p>
        </w:tc>
        <w:tc>
          <w:tcPr>
            <w:tcW w:w="850" w:type="dxa"/>
            <w:noWrap/>
            <w:hideMark/>
          </w:tcPr>
          <w:p w14:paraId="5E4CC02D"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41756DE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1.529.591</w:t>
            </w:r>
          </w:p>
        </w:tc>
        <w:tc>
          <w:tcPr>
            <w:tcW w:w="2385" w:type="dxa"/>
            <w:noWrap/>
            <w:hideMark/>
          </w:tcPr>
          <w:p w14:paraId="5106959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4.618.222</w:t>
            </w:r>
          </w:p>
        </w:tc>
      </w:tr>
      <w:tr w:rsidR="00C21988" w:rsidRPr="001C78BF" w14:paraId="2CCF86EF"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76604F56"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Ekvivalentni toplinski kapacitet</w:t>
            </w:r>
          </w:p>
        </w:tc>
        <w:tc>
          <w:tcPr>
            <w:tcW w:w="850" w:type="dxa"/>
            <w:noWrap/>
            <w:hideMark/>
          </w:tcPr>
          <w:p w14:paraId="67D096E4"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w:t>
            </w:r>
            <w:r w:rsidRPr="001C78BF">
              <w:rPr>
                <w:rFonts w:cstheme="minorHAnsi"/>
                <w:bCs/>
                <w:color w:val="000000"/>
                <w:sz w:val="20"/>
                <w:szCs w:val="20"/>
                <w:vertAlign w:val="subscript"/>
              </w:rPr>
              <w:t>t</w:t>
            </w:r>
          </w:p>
        </w:tc>
        <w:tc>
          <w:tcPr>
            <w:tcW w:w="2144" w:type="dxa"/>
            <w:noWrap/>
            <w:hideMark/>
          </w:tcPr>
          <w:p w14:paraId="4839A462"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956</w:t>
            </w:r>
          </w:p>
        </w:tc>
        <w:tc>
          <w:tcPr>
            <w:tcW w:w="2385" w:type="dxa"/>
            <w:noWrap/>
            <w:hideMark/>
          </w:tcPr>
          <w:p w14:paraId="66643198"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2.903</w:t>
            </w:r>
          </w:p>
        </w:tc>
      </w:tr>
      <w:tr w:rsidR="00C21988" w:rsidRPr="001C78BF" w14:paraId="3008A1E8"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val="restart"/>
            <w:noWrap/>
            <w:hideMark/>
          </w:tcPr>
          <w:p w14:paraId="30785C30"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Potencijalno proizvedena električna energija</w:t>
            </w:r>
          </w:p>
        </w:tc>
        <w:tc>
          <w:tcPr>
            <w:tcW w:w="850" w:type="dxa"/>
            <w:noWrap/>
            <w:hideMark/>
          </w:tcPr>
          <w:p w14:paraId="14755D5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758B1D3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8.653.115</w:t>
            </w:r>
          </w:p>
        </w:tc>
        <w:tc>
          <w:tcPr>
            <w:tcW w:w="2385" w:type="dxa"/>
            <w:noWrap/>
            <w:hideMark/>
          </w:tcPr>
          <w:p w14:paraId="74EC8073"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26.125.941</w:t>
            </w:r>
          </w:p>
        </w:tc>
      </w:tr>
      <w:tr w:rsidR="00C21988" w:rsidRPr="001C78BF" w14:paraId="5AB6344D"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56380AEF" w14:textId="77777777" w:rsidR="00C21988" w:rsidRPr="001C78BF" w:rsidRDefault="00C21988" w:rsidP="00DF22F6">
            <w:pPr>
              <w:spacing w:before="0" w:after="0" w:line="240" w:lineRule="auto"/>
              <w:rPr>
                <w:rFonts w:cstheme="minorHAnsi"/>
                <w:bCs w:val="0"/>
                <w:color w:val="000000"/>
                <w:sz w:val="20"/>
                <w:szCs w:val="20"/>
              </w:rPr>
            </w:pPr>
          </w:p>
        </w:tc>
        <w:tc>
          <w:tcPr>
            <w:tcW w:w="850" w:type="dxa"/>
            <w:noWrap/>
            <w:hideMark/>
          </w:tcPr>
          <w:p w14:paraId="3F0861D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3F9F62D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2.403.643</w:t>
            </w:r>
          </w:p>
        </w:tc>
        <w:tc>
          <w:tcPr>
            <w:tcW w:w="2385" w:type="dxa"/>
            <w:noWrap/>
            <w:hideMark/>
          </w:tcPr>
          <w:p w14:paraId="609F4F68"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7.257.206</w:t>
            </w:r>
          </w:p>
        </w:tc>
      </w:tr>
    </w:tbl>
    <w:p w14:paraId="1B0160EA" w14:textId="77777777" w:rsidR="00C21988" w:rsidRPr="0032353C" w:rsidRDefault="00C21988" w:rsidP="00C21988">
      <w:pPr>
        <w:spacing w:before="120"/>
        <w:ind w:left="360"/>
        <w:jc w:val="center"/>
        <w:rPr>
          <w:i/>
          <w:sz w:val="20"/>
        </w:rPr>
      </w:pPr>
      <w:r w:rsidRPr="0032353C">
        <w:rPr>
          <w:i/>
          <w:sz w:val="20"/>
        </w:rPr>
        <w:t>Izvor:</w:t>
      </w:r>
      <w:r w:rsidRPr="008A09AC">
        <w:t xml:space="preserve"> </w:t>
      </w:r>
      <w:r w:rsidRPr="0032353C">
        <w:rPr>
          <w:i/>
          <w:sz w:val="20"/>
        </w:rPr>
        <w:t xml:space="preserve">Program korištenja potencijala za učinkovitost u grijanju i hlađenju za razdoblje 2016. – 2030.“, Ministarstvo gospodarstva, studeni 2015. </w:t>
      </w:r>
    </w:p>
    <w:p w14:paraId="6E2F108E" w14:textId="2C8E3F27" w:rsidR="00C21988" w:rsidRPr="008138C4" w:rsidRDefault="00C21988" w:rsidP="008138C4">
      <w:pPr>
        <w:pStyle w:val="ListParagraph"/>
        <w:numPr>
          <w:ilvl w:val="0"/>
          <w:numId w:val="62"/>
        </w:numPr>
        <w:tabs>
          <w:tab w:val="clear" w:pos="431"/>
        </w:tabs>
        <w:suppressAutoHyphens w:val="0"/>
        <w:spacing w:after="160" w:line="259" w:lineRule="auto"/>
        <w:contextualSpacing/>
        <w:jc w:val="left"/>
        <w:rPr>
          <w:b/>
          <w:i/>
        </w:rPr>
      </w:pPr>
      <w:r w:rsidRPr="008138C4">
        <w:rPr>
          <w:b/>
          <w:i/>
        </w:rPr>
        <w:t xml:space="preserve">Projekcije koje u obzir uzimaju postojeće politike, mjere i programe energetske učinkovitosti, kako su opisani pod točkom 1.2. podtočkom ii., za potrošnju primarne energije i krajnju potrošnju energije za svaki sektor barem do 2040. (uključujući projekcije za 2030.) </w:t>
      </w:r>
    </w:p>
    <w:p w14:paraId="3EBE7433" w14:textId="4A464D7D" w:rsidR="00C21988" w:rsidRPr="00BB198B" w:rsidRDefault="00581242" w:rsidP="00C21988">
      <w:r w:rsidRPr="00BB198B">
        <w:t>Projekcije primarne i neposredne potrošnje energije u razdoblju od 2020. do 2040. godine</w:t>
      </w:r>
      <w:r w:rsidR="00A26973" w:rsidRPr="00BB198B">
        <w:t xml:space="preserve"> koje uzimaju u obzir samo postojeće politike, mjere i programe energetske učinkovitosti prikazuje</w:t>
      </w:r>
      <w:r w:rsidR="00BB198B" w:rsidRPr="00BB198B">
        <w:t xml:space="preserve"> </w:t>
      </w:r>
      <w:r w:rsidR="00BB198B" w:rsidRPr="00BB198B">
        <w:fldChar w:fldCharType="begin"/>
      </w:r>
      <w:r w:rsidR="00BB198B" w:rsidRPr="00BB198B">
        <w:instrText xml:space="preserve"> REF _Ref531266751 \h </w:instrText>
      </w:r>
      <w:r w:rsidR="00BB198B">
        <w:instrText xml:space="preserve"> \* MERGEFORMAT </w:instrText>
      </w:r>
      <w:r w:rsidR="00BB198B" w:rsidRPr="00BB198B">
        <w:fldChar w:fldCharType="separate"/>
      </w:r>
      <w:r w:rsidR="00E5423A">
        <w:t xml:space="preserve">Slika </w:t>
      </w:r>
      <w:r w:rsidR="00E5423A">
        <w:rPr>
          <w:noProof/>
        </w:rPr>
        <w:t>4</w:t>
      </w:r>
      <w:r w:rsidR="00E5423A">
        <w:rPr>
          <w:noProof/>
        </w:rPr>
        <w:noBreakHyphen/>
        <w:t>12</w:t>
      </w:r>
      <w:r w:rsidR="00BB198B" w:rsidRPr="00BB198B">
        <w:fldChar w:fldCharType="end"/>
      </w:r>
      <w:r w:rsidR="00BB198B" w:rsidRPr="00BB198B">
        <w:t>.</w:t>
      </w:r>
      <w:r w:rsidR="00A26973" w:rsidRPr="00BB198B">
        <w:t xml:space="preserve"> </w:t>
      </w:r>
    </w:p>
    <w:p w14:paraId="423BD1BA" w14:textId="5B74A56C" w:rsidR="00765296" w:rsidRDefault="00765296" w:rsidP="00A26973">
      <w:pPr>
        <w:pStyle w:val="Caption"/>
      </w:pPr>
      <w:r>
        <w:rPr>
          <w:noProof/>
        </w:rPr>
        <w:drawing>
          <wp:inline distT="0" distB="0" distL="0" distR="0" wp14:anchorId="24FAFBE0" wp14:editId="05E0426A">
            <wp:extent cx="5760085" cy="4067175"/>
            <wp:effectExtent l="0" t="0" r="12065" b="9525"/>
            <wp:docPr id="9" name="Chart 2">
              <a:extLst xmlns:a="http://schemas.openxmlformats.org/drawingml/2006/main">
                <a:ext uri="{FF2B5EF4-FFF2-40B4-BE49-F238E27FC236}">
                  <a16:creationId xmlns:a16="http://schemas.microsoft.com/office/drawing/2014/main" id="{3BFAD88B-5D79-426C-8EFF-451E67B67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CEDC85" w14:textId="425D0A50" w:rsidR="00A26973" w:rsidRDefault="00A26973" w:rsidP="00A26973">
      <w:pPr>
        <w:pStyle w:val="Caption"/>
      </w:pPr>
      <w:bookmarkStart w:id="409" w:name="_Ref531266751"/>
      <w:bookmarkStart w:id="410" w:name="_Toc531935302"/>
      <w:r w:rsidRPr="00976062">
        <w:t xml:space="preserve">Slika </w:t>
      </w:r>
      <w:fldSimple w:instr=" STYLEREF 1 \s ">
        <w:r w:rsidR="00856D97" w:rsidRPr="00976062">
          <w:rPr>
            <w:noProof/>
          </w:rPr>
          <w:t>4</w:t>
        </w:r>
      </w:fldSimple>
      <w:r w:rsidR="00856D97" w:rsidRPr="00976062">
        <w:noBreakHyphen/>
      </w:r>
      <w:fldSimple w:instr=" SEQ Slika \* ARABIC \s 1 ">
        <w:r w:rsidR="00856D97" w:rsidRPr="00976062">
          <w:rPr>
            <w:noProof/>
          </w:rPr>
          <w:t>12</w:t>
        </w:r>
      </w:fldSimple>
      <w:bookmarkEnd w:id="409"/>
      <w:r w:rsidRPr="00976062">
        <w:t xml:space="preserve">: </w:t>
      </w:r>
      <w:r w:rsidR="00976071" w:rsidRPr="00976062">
        <w:t>Projekcija potrošnje energije do 2040. godine uz postojeće politike, mjere i programe energetske učinkovitosti</w:t>
      </w:r>
      <w:bookmarkEnd w:id="410"/>
    </w:p>
    <w:p w14:paraId="32D4CD6C" w14:textId="3303B1C4" w:rsidR="00B35C56" w:rsidRDefault="00B35C56" w:rsidP="00FE6FC9">
      <w:pPr>
        <w:pStyle w:val="Caption"/>
      </w:pPr>
      <w:bookmarkStart w:id="411" w:name="_Ref531267020"/>
    </w:p>
    <w:bookmarkEnd w:id="411"/>
    <w:p w14:paraId="200C0502" w14:textId="4AE6459E" w:rsidR="001D6899" w:rsidRPr="008138C4" w:rsidRDefault="00C21988" w:rsidP="008138C4">
      <w:pPr>
        <w:pStyle w:val="ListParagraph"/>
        <w:numPr>
          <w:ilvl w:val="0"/>
          <w:numId w:val="62"/>
        </w:numPr>
        <w:tabs>
          <w:tab w:val="clear" w:pos="431"/>
        </w:tabs>
        <w:suppressAutoHyphens w:val="0"/>
        <w:spacing w:after="160" w:line="259" w:lineRule="auto"/>
        <w:contextualSpacing/>
        <w:jc w:val="left"/>
        <w:rPr>
          <w:b/>
          <w:i/>
        </w:rPr>
      </w:pPr>
      <w:r w:rsidRPr="008138C4">
        <w:rPr>
          <w:b/>
          <w:i/>
        </w:rPr>
        <w:t>Troškovno učinkovite razine minimalnih zahtjeva u pogledu energetske učinkovitosti proizašle iz nacionalnih izračuna, u skladu s člankom 5. Direktive 2010/31/</w:t>
      </w:r>
      <w:r w:rsidRPr="008138C4">
        <w:rPr>
          <w:rFonts w:cstheme="minorHAnsi"/>
          <w:b/>
          <w:i/>
          <w:sz w:val="24"/>
        </w:rPr>
        <w:t>EU</w:t>
      </w:r>
    </w:p>
    <w:p w14:paraId="0DF1FBE2" w14:textId="5594C48F" w:rsidR="00C21988" w:rsidRPr="000B2010" w:rsidRDefault="001D6899" w:rsidP="000B2010">
      <w:pPr>
        <w:rPr>
          <w:rFonts w:cstheme="minorHAnsi"/>
        </w:rPr>
      </w:pPr>
      <w:r w:rsidRPr="001D6899">
        <w:rPr>
          <w:rFonts w:cstheme="minorHAnsi"/>
        </w:rPr>
        <w:t>Minimalni zahtjevi za energetsko svojstvo zgrada određeni su troškovno optimalnom metodom prema članku 5. Direktive 2010/31/EU o ene</w:t>
      </w:r>
      <w:r w:rsidR="00994719">
        <w:rPr>
          <w:rFonts w:cstheme="minorHAnsi"/>
        </w:rPr>
        <w:t>r</w:t>
      </w:r>
      <w:r w:rsidRPr="001D6899">
        <w:rPr>
          <w:rFonts w:cstheme="minorHAnsi"/>
        </w:rPr>
        <w:t>getskim svojstvima zgrada u 2013. i 2014. godini, za stambene zgrade (jednoobiteljske i višestambene) te nestambene zgrade (uredske zgrade, zgrade za obrazovanje, zgrade za maloprodaju i veleprodaju</w:t>
      </w:r>
      <w:r w:rsidR="00994719">
        <w:rPr>
          <w:rFonts w:cstheme="minorHAnsi"/>
        </w:rPr>
        <w:t>,</w:t>
      </w:r>
      <w:r w:rsidRPr="001D6899">
        <w:rPr>
          <w:rFonts w:cstheme="minorHAnsi"/>
        </w:rPr>
        <w:t xml:space="preserve"> bolnice, hotele i restorane te dvorane)</w:t>
      </w:r>
      <w:r w:rsidR="00E94170">
        <w:rPr>
          <w:rStyle w:val="FootnoteReference"/>
          <w:rFonts w:cstheme="minorHAnsi"/>
        </w:rPr>
        <w:footnoteReference w:id="5"/>
      </w:r>
      <w:r w:rsidRPr="001D6899">
        <w:rPr>
          <w:rFonts w:cstheme="minorHAnsi"/>
        </w:rPr>
        <w:t>. Energetsko svojstvo je određeno kroz maksimalnu dozvoljenu primarnu energiju za zgrade, uz korištenje niza dodatnih p</w:t>
      </w:r>
      <w:r w:rsidR="00994719">
        <w:rPr>
          <w:rFonts w:cstheme="minorHAnsi"/>
        </w:rPr>
        <w:t>a</w:t>
      </w:r>
      <w:r w:rsidRPr="001D6899">
        <w:rPr>
          <w:rFonts w:cstheme="minorHAnsi"/>
        </w:rPr>
        <w:t>rametara kojima se preciznije uređuje ponašanje zgrade (potrebna energija, koeficij</w:t>
      </w:r>
      <w:r w:rsidR="00015E53">
        <w:rPr>
          <w:rFonts w:cstheme="minorHAnsi"/>
        </w:rPr>
        <w:t>e</w:t>
      </w:r>
      <w:r w:rsidRPr="001D6899">
        <w:rPr>
          <w:rFonts w:cstheme="minorHAnsi"/>
        </w:rPr>
        <w:t xml:space="preserve">nti prolaska topline vanjske ovojnice, udio obnovljivih izvora energije, stupanj djelovanja tehničkih sustava zgrada i drugi). </w:t>
      </w:r>
      <w:r w:rsidR="00DD1DDC">
        <w:rPr>
          <w:rFonts w:cstheme="minorHAnsi"/>
        </w:rPr>
        <w:t>Tijekom</w:t>
      </w:r>
      <w:r w:rsidRPr="001D6899">
        <w:rPr>
          <w:rFonts w:cstheme="minorHAnsi"/>
        </w:rPr>
        <w:t xml:space="preserve"> 2018. godine započet je novi ciklus troškovne optimizacije minimalnih zahtjeva na energetsko svojstvo zgrada korištenjem dinamičke metode proračuna energetskog svojstva zgrada, te usporedbom vrijednosti s nacionalnim algoritmom za proračun energetskog svojstva zgrada kako bi se zahtjevi uskladili s promjenama na tržištu i novim dostupnim tehnologijama, te doradila metoda proračuna i utvrđivanja energetskog svojstva zgrada. Rezultati ovog ciklusa optimizacije bi trebali biti dostupni i implementirani u regulativu do kraja 2019. godine, uključujući i određivanje jaza u odnosu na trenutne zahtjeve i mjere za premošćenje tog jaza.</w:t>
      </w:r>
      <w:r w:rsidRPr="000B2010">
        <w:rPr>
          <w:rFonts w:cstheme="minorHAnsi"/>
        </w:rPr>
        <w:t xml:space="preserve"> </w:t>
      </w:r>
    </w:p>
    <w:p w14:paraId="1758BB7C" w14:textId="77777777" w:rsidR="00C21988" w:rsidRDefault="00C21988" w:rsidP="00C21988">
      <w:pPr>
        <w:pStyle w:val="Heading2"/>
      </w:pPr>
      <w:bookmarkStart w:id="412" w:name="_Toc531935262"/>
      <w:bookmarkStart w:id="413" w:name="_Toc531945124"/>
      <w:r>
        <w:t>Dimenzija: energetska sigurnost</w:t>
      </w:r>
      <w:bookmarkEnd w:id="412"/>
      <w:bookmarkEnd w:id="413"/>
      <w:r>
        <w:t xml:space="preserve"> </w:t>
      </w:r>
    </w:p>
    <w:p w14:paraId="22250EFA" w14:textId="633CBF43" w:rsidR="0047554F" w:rsidRDefault="0047554F" w:rsidP="0047554F">
      <w:r>
        <w:t>Sadašnja struktura (2016. godina) i očekivana proizvodnja primarne energije za Scenarij s postojećim mjerama prikazana je u sljedećoj tablici i na slici.</w:t>
      </w:r>
    </w:p>
    <w:p w14:paraId="02BC4CD0" w14:textId="4CF96AE0" w:rsidR="0047554F" w:rsidRDefault="0047554F" w:rsidP="0047554F">
      <w:pPr>
        <w:pStyle w:val="Caption"/>
        <w:keepNext/>
        <w:spacing w:after="0"/>
        <w:jc w:val="both"/>
      </w:pPr>
      <w:bookmarkStart w:id="414" w:name="_Toc531935363"/>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14</w:t>
      </w:r>
      <w:r w:rsidR="00B22048">
        <w:rPr>
          <w:noProof/>
        </w:rPr>
        <w:fldChar w:fldCharType="end"/>
      </w:r>
      <w:r>
        <w:t>. Očekivana proizvodnja primarne energije – Scenarij s postojećim mjerama</w:t>
      </w:r>
      <w:bookmarkEnd w:id="414"/>
    </w:p>
    <w:p w14:paraId="0CDB7FB0" w14:textId="77777777" w:rsidR="0047554F" w:rsidRDefault="0047554F" w:rsidP="0047554F">
      <w:pPr>
        <w:spacing w:before="0"/>
      </w:pPr>
      <w:r w:rsidRPr="00846F1E">
        <w:rPr>
          <w:noProof/>
        </w:rPr>
        <w:drawing>
          <wp:inline distT="0" distB="0" distL="0" distR="0" wp14:anchorId="20768CCF" wp14:editId="7F04B5DD">
            <wp:extent cx="5029200" cy="927100"/>
            <wp:effectExtent l="0" t="0" r="0" b="6350"/>
            <wp:docPr id="2187908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927100"/>
                    </a:xfrm>
                    <a:prstGeom prst="rect">
                      <a:avLst/>
                    </a:prstGeom>
                    <a:noFill/>
                    <a:ln>
                      <a:noFill/>
                    </a:ln>
                  </pic:spPr>
                </pic:pic>
              </a:graphicData>
            </a:graphic>
          </wp:inline>
        </w:drawing>
      </w:r>
    </w:p>
    <w:p w14:paraId="5BBE384A" w14:textId="77777777" w:rsidR="0047554F" w:rsidRDefault="0047554F" w:rsidP="0047554F">
      <w:pPr>
        <w:keepNext/>
        <w:jc w:val="center"/>
      </w:pPr>
      <w:r w:rsidRPr="00846F1E">
        <w:rPr>
          <w:noProof/>
        </w:rPr>
        <w:drawing>
          <wp:inline distT="0" distB="0" distL="0" distR="0" wp14:anchorId="72C1E93A" wp14:editId="141D3F59">
            <wp:extent cx="5400000" cy="2642400"/>
            <wp:effectExtent l="0" t="0" r="0" b="5715"/>
            <wp:docPr id="218790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2642400"/>
                    </a:xfrm>
                    <a:prstGeom prst="rect">
                      <a:avLst/>
                    </a:prstGeom>
                    <a:noFill/>
                    <a:ln>
                      <a:noFill/>
                    </a:ln>
                  </pic:spPr>
                </pic:pic>
              </a:graphicData>
            </a:graphic>
          </wp:inline>
        </w:drawing>
      </w:r>
    </w:p>
    <w:p w14:paraId="2B8245F1" w14:textId="60334D77" w:rsidR="0047554F" w:rsidRDefault="0047554F" w:rsidP="0047554F">
      <w:pPr>
        <w:pStyle w:val="Caption"/>
      </w:pPr>
      <w:bookmarkStart w:id="415" w:name="_Toc531935304"/>
      <w:r>
        <w:t xml:space="preserve">Slika </w:t>
      </w:r>
      <w:fldSimple w:instr=" STYLEREF 1 \s ">
        <w:r w:rsidR="00856D97">
          <w:rPr>
            <w:noProof/>
          </w:rPr>
          <w:t>4</w:t>
        </w:r>
      </w:fldSimple>
      <w:r w:rsidR="00856D97">
        <w:noBreakHyphen/>
      </w:r>
      <w:fldSimple w:instr=" SEQ Slika \* ARABIC \s 1 ">
        <w:r w:rsidR="00856D97">
          <w:rPr>
            <w:noProof/>
          </w:rPr>
          <w:t>14</w:t>
        </w:r>
      </w:fldSimple>
      <w:r>
        <w:t>. Očekivana proizvodnja primarne energije – Scenarij s postojećim mjerama</w:t>
      </w:r>
      <w:bookmarkEnd w:id="415"/>
    </w:p>
    <w:p w14:paraId="3FC1FBA7" w14:textId="77777777" w:rsidR="0047554F" w:rsidRDefault="0047554F" w:rsidP="0047554F">
      <w:r>
        <w:t>Buduća domaća proizvodnja fosilnih oblika energije (sirova nafta i prirodni plin) ovisit će o otvaranju i razvoju novih polja. Bez dodatne proizvodnje sva današnja polja prestat će s radom do 2030./2035. godine.</w:t>
      </w:r>
    </w:p>
    <w:p w14:paraId="0FE00BFD" w14:textId="77777777" w:rsidR="0047554F" w:rsidRDefault="0047554F" w:rsidP="0047554F">
      <w:r>
        <w:t>Sadašnja struktura (2016. godina) i očekivana ukupna potrošnja energije (proizvodnja + uvoz – izvoz) za Scenarij s postojećim mjerama prikazana je u sljedećoj tablici i na slici.</w:t>
      </w:r>
    </w:p>
    <w:p w14:paraId="2138A5FB" w14:textId="5D0B44CB" w:rsidR="0047554F" w:rsidRDefault="0047554F" w:rsidP="0047554F">
      <w:pPr>
        <w:pStyle w:val="Caption"/>
        <w:keepNext/>
        <w:spacing w:after="0"/>
        <w:jc w:val="both"/>
      </w:pPr>
      <w:bookmarkStart w:id="416" w:name="_Toc531935364"/>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15</w:t>
      </w:r>
      <w:r w:rsidR="00B22048">
        <w:rPr>
          <w:noProof/>
        </w:rPr>
        <w:fldChar w:fldCharType="end"/>
      </w:r>
      <w:r>
        <w:t>. Očekivana ukupna potrošnja energije – Scenarij s postojećim mjerama</w:t>
      </w:r>
      <w:bookmarkEnd w:id="416"/>
    </w:p>
    <w:p w14:paraId="15444316" w14:textId="77777777" w:rsidR="0047554F" w:rsidRDefault="0047554F" w:rsidP="0047554F">
      <w:pPr>
        <w:spacing w:before="0"/>
      </w:pPr>
      <w:r w:rsidRPr="00A42972">
        <w:rPr>
          <w:noProof/>
        </w:rPr>
        <w:drawing>
          <wp:inline distT="0" distB="0" distL="0" distR="0" wp14:anchorId="4113F4C0" wp14:editId="35A1452A">
            <wp:extent cx="5760085" cy="593090"/>
            <wp:effectExtent l="0" t="0" r="0" b="0"/>
            <wp:docPr id="218790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593090"/>
                    </a:xfrm>
                    <a:prstGeom prst="rect">
                      <a:avLst/>
                    </a:prstGeom>
                    <a:noFill/>
                    <a:ln>
                      <a:noFill/>
                    </a:ln>
                  </pic:spPr>
                </pic:pic>
              </a:graphicData>
            </a:graphic>
          </wp:inline>
        </w:drawing>
      </w:r>
    </w:p>
    <w:p w14:paraId="76CE5F9B" w14:textId="77777777" w:rsidR="0047554F" w:rsidRDefault="0047554F" w:rsidP="0047554F">
      <w:pPr>
        <w:keepNext/>
        <w:jc w:val="center"/>
      </w:pPr>
      <w:r w:rsidRPr="00677C83">
        <w:rPr>
          <w:noProof/>
        </w:rPr>
        <w:drawing>
          <wp:inline distT="0" distB="0" distL="0" distR="0" wp14:anchorId="06E726D1" wp14:editId="6CC8C922">
            <wp:extent cx="5400000" cy="2642400"/>
            <wp:effectExtent l="0" t="0" r="0" b="5715"/>
            <wp:docPr id="218790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2642400"/>
                    </a:xfrm>
                    <a:prstGeom prst="rect">
                      <a:avLst/>
                    </a:prstGeom>
                    <a:noFill/>
                    <a:ln>
                      <a:noFill/>
                    </a:ln>
                  </pic:spPr>
                </pic:pic>
              </a:graphicData>
            </a:graphic>
          </wp:inline>
        </w:drawing>
      </w:r>
    </w:p>
    <w:p w14:paraId="6636BB7C" w14:textId="77805155" w:rsidR="0047554F" w:rsidRDefault="0047554F" w:rsidP="0047554F">
      <w:pPr>
        <w:pStyle w:val="Caption"/>
      </w:pPr>
      <w:bookmarkStart w:id="417" w:name="_Toc531935305"/>
      <w:r>
        <w:t xml:space="preserve">Slika </w:t>
      </w:r>
      <w:fldSimple w:instr=" STYLEREF 1 \s ">
        <w:r w:rsidR="00856D97">
          <w:rPr>
            <w:noProof/>
          </w:rPr>
          <w:t>4</w:t>
        </w:r>
      </w:fldSimple>
      <w:r w:rsidR="00856D97">
        <w:noBreakHyphen/>
      </w:r>
      <w:fldSimple w:instr=" SEQ Slika \* ARABIC \s 1 ">
        <w:r w:rsidR="00856D97">
          <w:rPr>
            <w:noProof/>
          </w:rPr>
          <w:t>15</w:t>
        </w:r>
      </w:fldSimple>
      <w:r>
        <w:t>. Očekivana ukupna potrošnja energije – Scenarij s postojećim mjerama</w:t>
      </w:r>
      <w:bookmarkEnd w:id="417"/>
    </w:p>
    <w:p w14:paraId="5CC37FC1" w14:textId="77777777" w:rsidR="0047554F" w:rsidRDefault="0047554F" w:rsidP="0047554F">
      <w:r>
        <w:t>Vlastita opskrbljenost prema Scenariju s postojećim mjerama se povećava, ali ovo povećanje najviše ovisi o otvaranju novih proizvodnih polja za sirovu naftu i prirodni plin.</w:t>
      </w:r>
    </w:p>
    <w:p w14:paraId="5308E4AE" w14:textId="77777777" w:rsidR="0047554F" w:rsidRDefault="0047554F" w:rsidP="0047554F">
      <w:pPr>
        <w:jc w:val="center"/>
      </w:pPr>
      <w:r w:rsidRPr="00003471">
        <w:rPr>
          <w:noProof/>
        </w:rPr>
        <w:drawing>
          <wp:inline distT="0" distB="0" distL="0" distR="0" wp14:anchorId="6DD919CE" wp14:editId="3CBFE8CD">
            <wp:extent cx="5400000" cy="2876400"/>
            <wp:effectExtent l="0" t="0" r="0" b="635"/>
            <wp:docPr id="21879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2876400"/>
                    </a:xfrm>
                    <a:prstGeom prst="rect">
                      <a:avLst/>
                    </a:prstGeom>
                    <a:noFill/>
                    <a:ln>
                      <a:noFill/>
                    </a:ln>
                  </pic:spPr>
                </pic:pic>
              </a:graphicData>
            </a:graphic>
          </wp:inline>
        </w:drawing>
      </w:r>
    </w:p>
    <w:p w14:paraId="1739D1B0" w14:textId="654F0B47" w:rsidR="0047554F" w:rsidRDefault="0047554F" w:rsidP="0047554F">
      <w:pPr>
        <w:pStyle w:val="Caption"/>
      </w:pPr>
      <w:bookmarkStart w:id="418" w:name="_Toc531935306"/>
      <w:r>
        <w:t xml:space="preserve">Slika </w:t>
      </w:r>
      <w:fldSimple w:instr=" STYLEREF 1 \s ">
        <w:r w:rsidR="00856D97">
          <w:rPr>
            <w:noProof/>
          </w:rPr>
          <w:t>4</w:t>
        </w:r>
      </w:fldSimple>
      <w:r w:rsidR="00856D97">
        <w:noBreakHyphen/>
      </w:r>
      <w:fldSimple w:instr=" SEQ Slika \* ARABIC \s 1 ">
        <w:r w:rsidR="00856D97">
          <w:rPr>
            <w:noProof/>
          </w:rPr>
          <w:t>16</w:t>
        </w:r>
      </w:fldSimple>
      <w:r>
        <w:t>. Očekivana proizvodnja energije, uvoz energije i vlastita opskrbljenost svim oblicima energije – Scenarij s postojećim mjerama</w:t>
      </w:r>
      <w:bookmarkEnd w:id="418"/>
    </w:p>
    <w:p w14:paraId="202E04B0" w14:textId="77777777" w:rsidR="0047554F" w:rsidRDefault="0047554F" w:rsidP="0047554F">
      <w:pPr>
        <w:jc w:val="center"/>
      </w:pPr>
    </w:p>
    <w:p w14:paraId="7FB5B864" w14:textId="77777777" w:rsidR="0047554F" w:rsidRPr="00276CE9" w:rsidRDefault="0047554F" w:rsidP="00DB7DF8">
      <w:pPr>
        <w:suppressAutoHyphens w:val="0"/>
        <w:spacing w:after="160" w:line="259" w:lineRule="auto"/>
        <w:contextualSpacing/>
        <w:jc w:val="left"/>
        <w:rPr>
          <w:highlight w:val="yellow"/>
        </w:rPr>
      </w:pPr>
    </w:p>
    <w:p w14:paraId="6B1350B3" w14:textId="77777777" w:rsidR="00C21988" w:rsidRDefault="00C21988" w:rsidP="00C21988">
      <w:pPr>
        <w:pStyle w:val="Heading2"/>
      </w:pPr>
      <w:bookmarkStart w:id="419" w:name="_Toc531935263"/>
      <w:bookmarkStart w:id="420" w:name="_Toc531945125"/>
      <w:r>
        <w:t>Dimenzija: unutarnje energetsko tržište</w:t>
      </w:r>
      <w:bookmarkEnd w:id="419"/>
      <w:bookmarkEnd w:id="420"/>
    </w:p>
    <w:p w14:paraId="5F0BDE6F" w14:textId="77777777" w:rsidR="00C21988" w:rsidRDefault="00C21988" w:rsidP="00302043">
      <w:pPr>
        <w:pStyle w:val="Heading3"/>
      </w:pPr>
      <w:bookmarkStart w:id="421" w:name="_Toc531935264"/>
      <w:bookmarkStart w:id="422" w:name="_Toc531945126"/>
      <w:r>
        <w:t>Elektroenergetska povezanost</w:t>
      </w:r>
      <w:bookmarkEnd w:id="421"/>
      <w:bookmarkEnd w:id="422"/>
      <w:r>
        <w:t xml:space="preserve"> </w:t>
      </w:r>
    </w:p>
    <w:p w14:paraId="662F6FC6" w14:textId="77777777" w:rsidR="0050611F" w:rsidRDefault="0050611F" w:rsidP="0050611F">
      <w:pPr>
        <w:pStyle w:val="ListParagraph"/>
        <w:numPr>
          <w:ilvl w:val="0"/>
          <w:numId w:val="48"/>
        </w:numPr>
        <w:tabs>
          <w:tab w:val="clear" w:pos="431"/>
        </w:tabs>
        <w:suppressAutoHyphens w:val="0"/>
        <w:spacing w:after="160" w:line="259" w:lineRule="auto"/>
        <w:contextualSpacing/>
        <w:jc w:val="left"/>
      </w:pPr>
      <w:r>
        <w:t xml:space="preserve">Trenutačna razina povezanosti i glavni spojni vodovi </w:t>
      </w:r>
    </w:p>
    <w:p w14:paraId="44DFFBC3" w14:textId="77777777" w:rsidR="0050611F" w:rsidRDefault="0050611F" w:rsidP="0050611F">
      <w:r>
        <w:t xml:space="preserve">Hrvatski elektroenergetski sustav </w:t>
      </w:r>
      <w:r w:rsidRPr="004E2DB7">
        <w:t>povezan je naponskim razinama 400 kV,</w:t>
      </w:r>
      <w:r>
        <w:t xml:space="preserve"> </w:t>
      </w:r>
      <w:r w:rsidRPr="004E2DB7">
        <w:t>220 kV i 110 kV sa sustavima susjednih zemalja</w:t>
      </w:r>
      <w:r>
        <w:t>. Dalekovodima 400 kV naponske razine (ukupno sedam DV od čega su tri dvostruka, a četiri jednostruka) povezan je elektroenergetski sustav RH sa sustavima:</w:t>
      </w:r>
    </w:p>
    <w:p w14:paraId="5FCA32D7" w14:textId="77777777" w:rsidR="0050611F" w:rsidRDefault="0050611F" w:rsidP="0050611F">
      <w:pPr>
        <w:numPr>
          <w:ilvl w:val="0"/>
          <w:numId w:val="84"/>
        </w:numPr>
        <w:suppressAutoHyphens w:val="0"/>
        <w:spacing w:before="60" w:after="0" w:line="240" w:lineRule="auto"/>
      </w:pPr>
      <w:r>
        <w:t xml:space="preserve">Bosne i Hercegovine (DV 400 kV Ernestinovo - Ugljevik i DV 400 kV Konjsko - Mostar), </w:t>
      </w:r>
    </w:p>
    <w:p w14:paraId="6B0D5B7D" w14:textId="77777777" w:rsidR="0050611F" w:rsidRDefault="0050611F" w:rsidP="0050611F">
      <w:pPr>
        <w:numPr>
          <w:ilvl w:val="0"/>
          <w:numId w:val="84"/>
        </w:numPr>
        <w:suppressAutoHyphens w:val="0"/>
        <w:spacing w:before="60" w:after="0" w:line="240" w:lineRule="auto"/>
      </w:pPr>
      <w:r>
        <w:t xml:space="preserve">Srbije (DV 400 kV Ernestinovo – Sremska Mitrovica 2), </w:t>
      </w:r>
    </w:p>
    <w:p w14:paraId="7A7BAE23" w14:textId="77777777" w:rsidR="0050611F" w:rsidRDefault="0050611F" w:rsidP="0050611F">
      <w:pPr>
        <w:numPr>
          <w:ilvl w:val="0"/>
          <w:numId w:val="84"/>
        </w:numPr>
        <w:suppressAutoHyphens w:val="0"/>
        <w:spacing w:before="60" w:after="0" w:line="240" w:lineRule="auto"/>
      </w:pPr>
      <w:r>
        <w:t xml:space="preserve">Mađarske (DV 2x400 kV Žerjavinec – Heviz, DV 2x400 kV Ernestinovo – Pecs) i </w:t>
      </w:r>
    </w:p>
    <w:p w14:paraId="75D46BEC" w14:textId="77777777" w:rsidR="0050611F" w:rsidRDefault="0050611F" w:rsidP="0050611F">
      <w:pPr>
        <w:numPr>
          <w:ilvl w:val="0"/>
          <w:numId w:val="84"/>
        </w:numPr>
        <w:suppressAutoHyphens w:val="0"/>
        <w:spacing w:before="60" w:after="0" w:line="240" w:lineRule="auto"/>
      </w:pPr>
      <w:r>
        <w:t>Slovenije (DV 2x400 kV Tumbri – Krško, DV 400 kV Melina – Divača).</w:t>
      </w:r>
    </w:p>
    <w:p w14:paraId="713D3CA2" w14:textId="77777777" w:rsidR="0050611F" w:rsidRDefault="0050611F" w:rsidP="0050611F">
      <w:r>
        <w:t>Interkonekcijska povezanost hrvatskog sustava sa susjednim članicama ENTSO-E ostvarena je i s 8 dalekovoda 220 kV. Također, hrvatski sustav je umrežen s okruženjem i na 110 kV razini (ukupno 18 dalekovoda u trajnom ili povremenom pogonu). Dobra povezanost sa susjednim sustavima omogućava značajnije izvoze, uvoze i tranzite električne energije preko prijenosne mreže, te svrstava RH u važnu poveznicu elektroenergetskih sustava srednje i jugoistočne Europe.</w:t>
      </w:r>
    </w:p>
    <w:p w14:paraId="634025D4" w14:textId="77777777" w:rsidR="000444F7" w:rsidRPr="00CF2D4C" w:rsidRDefault="000444F7" w:rsidP="000444F7">
      <w:pPr>
        <w:pStyle w:val="ListParagraph"/>
        <w:numPr>
          <w:ilvl w:val="0"/>
          <w:numId w:val="48"/>
        </w:numPr>
        <w:tabs>
          <w:tab w:val="clear" w:pos="431"/>
        </w:tabs>
        <w:suppressAutoHyphens w:val="0"/>
        <w:spacing w:after="160" w:line="259" w:lineRule="auto"/>
        <w:contextualSpacing/>
        <w:jc w:val="left"/>
      </w:pPr>
      <w:r w:rsidRPr="00CF2D4C">
        <w:t>Projekcije zahtjeva za povećanjem broja spojnih vodova najmanje do 2040. (uključujući projekcije za 2030.)</w:t>
      </w:r>
    </w:p>
    <w:p w14:paraId="2EF817E0" w14:textId="77777777" w:rsidR="000444F7" w:rsidRDefault="000444F7" w:rsidP="000444F7">
      <w:r w:rsidRPr="008B7F81">
        <w:t xml:space="preserve">Do </w:t>
      </w:r>
      <w:r>
        <w:t>2030. godine moguća je izgradnja novog interkonekcijskog voda 400 kV Lika – Banja Luka koji bi dodatno povezao EES RH i EES BiH. Trenutno su u izradi tehno-ekonomske ocjene isplativosti njegove izgradnje.</w:t>
      </w:r>
    </w:p>
    <w:p w14:paraId="7EB8A864" w14:textId="77777777" w:rsidR="000444F7" w:rsidRDefault="000444F7" w:rsidP="000444F7">
      <w:r>
        <w:t>Od dodatnih novih interkonekcijskih dalekovoda trenutno se na razini ENTSO-E analizira mogućnost i opravdanost izgradnje sljedećih vodova:</w:t>
      </w:r>
    </w:p>
    <w:p w14:paraId="0D20F121" w14:textId="77777777" w:rsidR="000444F7" w:rsidRDefault="000444F7" w:rsidP="00CF2D4C">
      <w:pPr>
        <w:pStyle w:val="ListParagraph"/>
        <w:numPr>
          <w:ilvl w:val="0"/>
          <w:numId w:val="48"/>
        </w:numPr>
      </w:pPr>
      <w:r>
        <w:t>DV 400 kV Đakovo (RH) – Tuzla (BiH);</w:t>
      </w:r>
    </w:p>
    <w:p w14:paraId="43CF2893" w14:textId="77777777" w:rsidR="000444F7" w:rsidRDefault="000444F7" w:rsidP="00CF2D4C">
      <w:pPr>
        <w:pStyle w:val="ListParagraph"/>
        <w:numPr>
          <w:ilvl w:val="0"/>
          <w:numId w:val="48"/>
        </w:numPr>
      </w:pPr>
      <w:r>
        <w:t>DV 400 kV Đakovo (RH) – Gradačac (BiH);</w:t>
      </w:r>
    </w:p>
    <w:p w14:paraId="7D5461F8" w14:textId="77777777" w:rsidR="000444F7" w:rsidRDefault="000444F7" w:rsidP="00CF2D4C">
      <w:pPr>
        <w:pStyle w:val="ListParagraph"/>
        <w:numPr>
          <w:ilvl w:val="0"/>
          <w:numId w:val="48"/>
        </w:numPr>
      </w:pPr>
      <w:r>
        <w:t>DV 400 kV Žerjavinec/Drava (RH) – Heviz 2 (Mađarska);</w:t>
      </w:r>
    </w:p>
    <w:p w14:paraId="293F6DBE" w14:textId="77777777" w:rsidR="000444F7" w:rsidRDefault="000444F7" w:rsidP="00CF2D4C">
      <w:pPr>
        <w:pStyle w:val="ListParagraph"/>
        <w:numPr>
          <w:ilvl w:val="0"/>
          <w:numId w:val="48"/>
        </w:numPr>
      </w:pPr>
      <w:r>
        <w:t>DV 400 kV Ernestinovo (RH) – Sombor (RS).</w:t>
      </w:r>
    </w:p>
    <w:p w14:paraId="0161D53D" w14:textId="77777777" w:rsidR="000444F7" w:rsidRDefault="000444F7" w:rsidP="000444F7">
      <w:r>
        <w:t>Ovisno o razvoju budućeg tržišta električnom energijom i integraciji OiE u EES RH dugoročno je moguća izgradnja sljedećih novih interkonekcija:</w:t>
      </w:r>
    </w:p>
    <w:p w14:paraId="213E3604" w14:textId="77777777" w:rsidR="000444F7" w:rsidRDefault="000444F7" w:rsidP="00CF2D4C">
      <w:pPr>
        <w:pStyle w:val="ListParagraph"/>
        <w:numPr>
          <w:ilvl w:val="0"/>
          <w:numId w:val="95"/>
        </w:numPr>
      </w:pPr>
      <w:r>
        <w:t xml:space="preserve">HVDC Hrvatska (Konjsko) – Italija; </w:t>
      </w:r>
    </w:p>
    <w:p w14:paraId="6AAAFB69" w14:textId="77777777" w:rsidR="000444F7" w:rsidRDefault="000444F7" w:rsidP="00CF2D4C">
      <w:pPr>
        <w:pStyle w:val="ListParagraph"/>
        <w:numPr>
          <w:ilvl w:val="0"/>
          <w:numId w:val="95"/>
        </w:numPr>
      </w:pPr>
      <w:r>
        <w:t>DV 400 kV Konjsko (RH) – Mostar 2 (BiH);</w:t>
      </w:r>
    </w:p>
    <w:p w14:paraId="3C7BED2F" w14:textId="77777777" w:rsidR="000444F7" w:rsidRDefault="000444F7" w:rsidP="00CF2D4C">
      <w:pPr>
        <w:pStyle w:val="ListParagraph"/>
        <w:numPr>
          <w:ilvl w:val="0"/>
          <w:numId w:val="95"/>
        </w:numPr>
      </w:pPr>
      <w:r>
        <w:t>DV 400 kV Melina (RH) – Divača 2 (SI).</w:t>
      </w:r>
    </w:p>
    <w:p w14:paraId="702A3A25" w14:textId="77777777" w:rsidR="00393F2A" w:rsidRPr="00393F2A" w:rsidRDefault="00393F2A" w:rsidP="00DB7DF8">
      <w:pPr>
        <w:suppressAutoHyphens w:val="0"/>
        <w:spacing w:after="160" w:line="259" w:lineRule="auto"/>
        <w:contextualSpacing/>
        <w:jc w:val="left"/>
        <w:rPr>
          <w:highlight w:val="yellow"/>
        </w:rPr>
      </w:pPr>
    </w:p>
    <w:p w14:paraId="23C220AB" w14:textId="39A39C5C" w:rsidR="00C21988" w:rsidRDefault="00C21988" w:rsidP="00302043">
      <w:pPr>
        <w:pStyle w:val="Heading3"/>
      </w:pPr>
      <w:bookmarkStart w:id="423" w:name="_Toc531935265"/>
      <w:bookmarkStart w:id="424" w:name="_Toc531945127"/>
      <w:r>
        <w:t>Infrastruktura za prijenos energije</w:t>
      </w:r>
      <w:bookmarkEnd w:id="423"/>
      <w:bookmarkEnd w:id="424"/>
      <w:r>
        <w:t xml:space="preserve"> </w:t>
      </w:r>
    </w:p>
    <w:p w14:paraId="1A29B08B" w14:textId="77777777" w:rsidR="005B4729" w:rsidRDefault="005B4729" w:rsidP="005B4729">
      <w:pPr>
        <w:pStyle w:val="ListParagraph"/>
        <w:numPr>
          <w:ilvl w:val="0"/>
          <w:numId w:val="49"/>
        </w:numPr>
        <w:tabs>
          <w:tab w:val="clear" w:pos="431"/>
        </w:tabs>
        <w:suppressAutoHyphens w:val="0"/>
        <w:spacing w:after="160" w:line="259" w:lineRule="auto"/>
        <w:contextualSpacing/>
        <w:jc w:val="left"/>
      </w:pPr>
      <w:r>
        <w:t xml:space="preserve">Ključne osobine postojeće infrastrukture za prijenos električne energije i plina </w:t>
      </w:r>
    </w:p>
    <w:p w14:paraId="4C669771" w14:textId="77777777" w:rsidR="005B4729" w:rsidRPr="00462AD9" w:rsidRDefault="005B4729" w:rsidP="005B4729">
      <w:r w:rsidRPr="00DB7DF8">
        <w:rPr>
          <w:b/>
        </w:rPr>
        <w:t>Prijenosna elektroenergetska mreža na području Republike Hrvatske</w:t>
      </w:r>
      <w:r w:rsidRPr="00462AD9">
        <w:t xml:space="preserve"> sastoji se od nadzemnih vodova i kabela, transformatorskih stanica i ostale visokonaponske opreme/postrojenja koji su u pogonu pod naponskim razinama 400 kV, 220 kV i 110 kV. Prijenosna mreža povezuje elektrane i veća potrošačka središta, odnosno distribucijsku mrežu, preko više mogućih pravaca u cilju postizanja zadovoljavajuće sigurnosti opskrbe kupaca električnom energijom propisane kvalitete. </w:t>
      </w:r>
    </w:p>
    <w:p w14:paraId="16CCA6D1" w14:textId="77777777" w:rsidR="005B4729" w:rsidRPr="00462AD9" w:rsidRDefault="005B4729" w:rsidP="005B4729">
      <w:r w:rsidRPr="00462AD9">
        <w:t xml:space="preserve">Ukupna duljina visokonaponskih nadzemnih vodova i kabela prethodno navedenih naponskih razina trenutno iznosi oko 7 600 km, a u mreži se nalazi oko 200 transformatorskih stanica 400/220/110 kV, 400/110 kV, 220/110 kV i 110/x kV. Okosnica prijenosne mreže je 400 kV mreža koja povezuje šire osječko, zagrebačko, riječko i splitsko područje, na 220 kV mrežu koja povezuje pojedine regije unutar zemlje priključen je značajan broj većih proizvodnih postrojenja, dok 110 kV mreža povezuje lokalna područja i služi za napajanje distribucijske mreže ili velikih kupaca izravno priključenih na ovu naponsku razinu, pri čemu je dio elektrana/generatora priključen i na mrežu 110 kV. </w:t>
      </w:r>
    </w:p>
    <w:p w14:paraId="44284E75" w14:textId="77777777" w:rsidR="005B4729" w:rsidRPr="00462AD9" w:rsidRDefault="005B4729" w:rsidP="005B4729">
      <w:r w:rsidRPr="00462AD9">
        <w:t xml:space="preserve">Prijenosnom mrežom upravlja tvrtka HOPS d.o.o., a ujedno je ista odgovorna i za razvoj prijenosne mreže kao i za upravljanje i vođenje čitavog elektroenergetskog sustava, koje provodi iz Nacionalnog dispečerskog centra (NDC), te četiri regionalna centra upravljanja. Pod ingerencijom HOPS-a je i uravnoteženje sustava, te nabava pomoćnih usluga sustavu koje omogućavaju postizanje jednakosti proizvodnje i potrošnje električne energije u određenom razdoblju, odnosno održavanje frekvencije na propisanoj razini kao i međugraničnih razmjena snage/energije prema pravilima rada organizacije europskih operatora prijenosnih sustava (ENTSO-E), održavanje propisanih naponskih prilika u svim dijelovima mreže odnosno kompenzaciju jalove energije unutar sustava, ponovnu uspostavu napajanja nakon velikih poremećaja ili raspada sustava, odnosno otočni rad elektrana unutar električki izoliranih područja nakon većih poremećaja. </w:t>
      </w:r>
    </w:p>
    <w:p w14:paraId="5956B0A0" w14:textId="77777777" w:rsidR="005B4729" w:rsidRPr="00462AD9" w:rsidRDefault="005B4729" w:rsidP="005B4729">
      <w:pPr>
        <w:keepNext/>
        <w:jc w:val="center"/>
      </w:pPr>
      <w:bookmarkStart w:id="425" w:name="_Toc528672898"/>
      <w:r>
        <w:rPr>
          <w:noProof/>
        </w:rPr>
        <w:drawing>
          <wp:anchor distT="0" distB="0" distL="114300" distR="114300" simplePos="0" relativeHeight="251658240" behindDoc="0" locked="0" layoutInCell="1" allowOverlap="1" wp14:anchorId="0EE39049" wp14:editId="4B230467">
            <wp:simplePos x="0" y="0"/>
            <wp:positionH relativeFrom="column">
              <wp:posOffset>233045</wp:posOffset>
            </wp:positionH>
            <wp:positionV relativeFrom="paragraph">
              <wp:posOffset>3952875</wp:posOffset>
            </wp:positionV>
            <wp:extent cx="2200275" cy="1270804"/>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27253" r="30713" b="8714"/>
                    <a:stretch/>
                  </pic:blipFill>
                  <pic:spPr bwMode="auto">
                    <a:xfrm>
                      <a:off x="0" y="0"/>
                      <a:ext cx="2200275" cy="1270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898">
        <w:rPr>
          <w:noProof/>
        </w:rPr>
        <w:drawing>
          <wp:inline distT="0" distB="0" distL="0" distR="0" wp14:anchorId="196CD2FD" wp14:editId="7EE6F924">
            <wp:extent cx="5861190" cy="52673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0758" t="22755" r="31705" b="23267"/>
                    <a:stretch/>
                  </pic:blipFill>
                  <pic:spPr bwMode="auto">
                    <a:xfrm>
                      <a:off x="0" y="0"/>
                      <a:ext cx="5861190" cy="5267325"/>
                    </a:xfrm>
                    <a:prstGeom prst="rect">
                      <a:avLst/>
                    </a:prstGeom>
                    <a:ln>
                      <a:noFill/>
                    </a:ln>
                    <a:extLst>
                      <a:ext uri="{53640926-AAD7-44D8-BBD7-CCE9431645EC}">
                        <a14:shadowObscured xmlns:a14="http://schemas.microsoft.com/office/drawing/2010/main"/>
                      </a:ext>
                    </a:extLst>
                  </pic:spPr>
                </pic:pic>
              </a:graphicData>
            </a:graphic>
          </wp:inline>
        </w:drawing>
      </w:r>
    </w:p>
    <w:p w14:paraId="6DC2C6F5" w14:textId="77777777" w:rsidR="005B4729" w:rsidRDefault="005B4729" w:rsidP="005B4729">
      <w:pPr>
        <w:pStyle w:val="Caption"/>
      </w:pPr>
    </w:p>
    <w:p w14:paraId="6457A73A" w14:textId="739FE41D" w:rsidR="005B4729" w:rsidRPr="00462AD9" w:rsidRDefault="005B4729" w:rsidP="005B4729">
      <w:pPr>
        <w:pStyle w:val="Caption"/>
      </w:pPr>
      <w:bookmarkStart w:id="426" w:name="_Toc531935307"/>
      <w:r w:rsidRPr="00462AD9">
        <w:t xml:space="preserve">Slika </w:t>
      </w:r>
      <w:fldSimple w:instr=" STYLEREF 1 \s ">
        <w:r w:rsidR="00856D97">
          <w:rPr>
            <w:noProof/>
          </w:rPr>
          <w:t>4</w:t>
        </w:r>
      </w:fldSimple>
      <w:r w:rsidR="00856D97">
        <w:noBreakHyphen/>
      </w:r>
      <w:fldSimple w:instr=" SEQ Slika \* ARABIC \s 1 ">
        <w:r w:rsidR="00856D97">
          <w:rPr>
            <w:noProof/>
          </w:rPr>
          <w:t>17</w:t>
        </w:r>
      </w:fldSimple>
      <w:r w:rsidRPr="00462AD9">
        <w:t>. Hrvatska prijenosna elektroenergetska mreža</w:t>
      </w:r>
      <w:bookmarkEnd w:id="425"/>
      <w:bookmarkEnd w:id="426"/>
    </w:p>
    <w:p w14:paraId="11B75096" w14:textId="77777777" w:rsidR="005B4729" w:rsidRPr="00462AD9" w:rsidRDefault="005B4729" w:rsidP="005B4729">
      <w:pPr>
        <w:pStyle w:val="Slike"/>
        <w:keepNext w:val="0"/>
      </w:pPr>
      <w:r w:rsidRPr="00462AD9">
        <w:t>Izvor: HOPS</w:t>
      </w:r>
    </w:p>
    <w:p w14:paraId="409B4F47" w14:textId="0440775E" w:rsidR="005B4729" w:rsidRPr="00462AD9" w:rsidRDefault="005B4729" w:rsidP="005B4729">
      <w:pPr>
        <w:widowControl w:val="0"/>
      </w:pPr>
      <w:r w:rsidRPr="00462AD9">
        <w:t xml:space="preserve">Topologija (oblik) prijenosne mreže trenutno je određen u skladu s aktualnom prostornom raspodjelom potrošnje električne energije, lokacijama postojećih elektrana, tržišnim prilikama u Hrvatskoj i njenom okruženju, te propisanim kriterijima planiranja mreže i operativnog vođenja pogona. Prijenosna je mreža dimenzionirana </w:t>
      </w:r>
      <w:r w:rsidR="004E16BA">
        <w:t>tako</w:t>
      </w:r>
      <w:r w:rsidRPr="00462AD9">
        <w:t xml:space="preserve"> da u slučaju nastanka pojedinačnog ispada voda, transformatora ili generatora prijenos električne energije propisane kvalitete ne bude onemogućen na bilo kojem dijelu zemlje. Uz postojeće iznose osnovnih ulaznih parametara važnih za planiranje i pogon prijenosne mreže u iznosu od oko 3 100 MW vršnog opterećenja, 17 TWh godišnje potrošnje električne energije, uvoza energije na godišnjoj razini od oko 7 TWh, tranzita za potrebe trećih strana u iznosu do 7 TWh te priključka na prijenosnu mrežu elektrana ukupne snage od oko 4 600 MW, izgrađenost prijenosne mreže možemo smatrati zadovoljavajućom što se očituje u vrlo rijetkim raspadima sustava (u prošlosti su se rijetko događali samo lokalni raspadi pojedinih dijelova sustava) te niskim godišnjim iznosima neisporučene električne energije iz prijenosne mreže (reda veličine do 1 GWh). Kvaliteta električne energije iz prijenosne mreže trenutno je djelomično narušena radi dugotrajnih pojava visokih napona na sve tri visokonaponske razine ali trenutno je u izvedbi projekt ugradnje kompenzacijskih postrojenja koja će riješiti taj problem. Frekvencija je stabilna, a njena uobičajena i izvanredna odstupanja se kreću unutar propisanih granica.</w:t>
      </w:r>
    </w:p>
    <w:p w14:paraId="213D26E5" w14:textId="77777777" w:rsidR="005B4729" w:rsidRPr="00462AD9" w:rsidRDefault="005B4729" w:rsidP="005B4729">
      <w:pPr>
        <w:widowControl w:val="0"/>
      </w:pPr>
      <w:r w:rsidRPr="00462AD9">
        <w:t xml:space="preserve">Nepovoljna karakteristika prijenosne mreže je relativno visoki udio starih postrojenja i jedinica mreže, posebno naponske razine 110 kV i 220 kV, koje u idućem razdoblju HOPS planira sistematski obnavljati i revitalizirati. Usprkos tomu, postojeći su pokazatelji pouzdanosti na vrlo visokoj razini uz relativno nizak iznos godišnjih gubitaka električne energije (ispod 500 GWh) imajući u vidu visoke tranzite kojima je mreža izložena. </w:t>
      </w:r>
    </w:p>
    <w:p w14:paraId="4209D956" w14:textId="77777777" w:rsidR="005B4729" w:rsidRPr="00462AD9" w:rsidRDefault="005B4729" w:rsidP="005B4729">
      <w:pPr>
        <w:widowControl w:val="0"/>
      </w:pPr>
      <w:r w:rsidRPr="00462AD9">
        <w:t>Posljednjih godina HOPS je registrirao nepovoljan trend u procjenama sigurnosti opskrbe kupaca električnom energijom radi nedostatnih proizvodnih postrojenja na području RH, uzrokovanih tržišnim razlozima (nekonkurentnost domaćih elektrana poput TE Rijeka, TE Sisak A i B), odnosno velikim kvarovima i/ili ekološkim razlozima (poput TE Plomin 1 i TE</w:t>
      </w:r>
      <w:r w:rsidRPr="00462AD9">
        <w:noBreakHyphen/>
        <w:t>TO Zagreb blok C). Zbog toga dostatnost/sigurnost opskrbe kupaca sve više ovisi o uvozu električne energije čije su mogućnosti uvjetovane raspoloživošću prekograničnih prijenosnih kapaciteta i iznosima tih kapaciteta koji se daju na korištenje tržišnim sudionicima, a na čije vrijednosti HOPS ne može samostalno utjecati.</w:t>
      </w:r>
    </w:p>
    <w:p w14:paraId="2E706061" w14:textId="77777777" w:rsidR="00A626AB" w:rsidRDefault="00A626AB" w:rsidP="00A626AB">
      <w:r w:rsidRPr="00DB7DF8">
        <w:rPr>
          <w:b/>
        </w:rPr>
        <w:t>Plinski transportni sustav RH</w:t>
      </w:r>
      <w:r>
        <w:t xml:space="preserve"> sastoji se od ukupno 2 693 km plinovoda kojima raspolaže operator transportnog sustava (PLINACRO). Plin su u transportni plinski sustav preuzima preko devet priključaka na ulaznim mjernim stanicama, od čega je šest priključaka u funkciji prihvata iz proizvodnih polja na teritoriju Republike Hrvatske, dva priključka za prihvat plina iz uvoznih dobavnih pravaca te jedan priključak u funkciji povlačenja plina iz podzemnog skladišta plina Okoli.</w:t>
      </w:r>
    </w:p>
    <w:p w14:paraId="282E3E22" w14:textId="77777777" w:rsidR="00A626AB" w:rsidRDefault="00A626AB" w:rsidP="00A626AB">
      <w:r>
        <w:t>Predaja plina iz transportnog sustava odvija se preko 194 priključka na 157 izlaznih mjerno-redukcijskih stanica. T</w:t>
      </w:r>
      <w:r w:rsidRPr="005F77A6">
        <w:t xml:space="preserve">ransportni plinski sustav RH dosegao </w:t>
      </w:r>
      <w:r>
        <w:t xml:space="preserve">je </w:t>
      </w:r>
      <w:r w:rsidRPr="005F77A6">
        <w:t>značajnu razinu razvijenosti, kako prema kapacitetima i prema rasprostranjenosti na gotovo 95 % teritorija RH, tako i u povezanosti s plinskim sustavima susjednih zemalja, te u tehnološkoj pouzdanosti i operativnoj sigurnosti</w:t>
      </w:r>
      <w:r>
        <w:t>. Transportni plinski sustav omogućuje predaju plina na području 19 županija.</w:t>
      </w:r>
    </w:p>
    <w:p w14:paraId="1112707A" w14:textId="77777777" w:rsidR="00A626AB" w:rsidRDefault="00A626AB" w:rsidP="00A626AB">
      <w:r>
        <w:t>Plinski transportni sustav RH prikazan je na slici u nastavku.</w:t>
      </w:r>
    </w:p>
    <w:p w14:paraId="0B71AECC" w14:textId="77777777" w:rsidR="00A626AB" w:rsidRDefault="00A626AB" w:rsidP="00A626AB">
      <w:r w:rsidRPr="00BA49CB">
        <w:rPr>
          <w:rFonts w:eastAsia="Calibri"/>
          <w:noProof/>
        </w:rPr>
        <w:drawing>
          <wp:inline distT="0" distB="0" distL="0" distR="0" wp14:anchorId="3CE24B01" wp14:editId="5064451F">
            <wp:extent cx="5760720" cy="3666863"/>
            <wp:effectExtent l="0" t="0" r="0" b="0"/>
            <wp:docPr id="21" name="Picture 12" descr="Description: Y:\INSTITUCIJE\Hrvatska energetska regulatorna agencija\Godišnja izvješća\Podaci za izradu GI o radu HERA\2013\Plinski transportni sustav-31.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Y:\INSTITUCIJE\Hrvatska energetska regulatorna agencija\Godišnja izvješća\Podaci za izradu GI o radu HERA\2013\Plinski transportni sustav-31.12.20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666863"/>
                    </a:xfrm>
                    <a:prstGeom prst="rect">
                      <a:avLst/>
                    </a:prstGeom>
                    <a:noFill/>
                    <a:ln>
                      <a:noFill/>
                    </a:ln>
                  </pic:spPr>
                </pic:pic>
              </a:graphicData>
            </a:graphic>
          </wp:inline>
        </w:drawing>
      </w:r>
    </w:p>
    <w:p w14:paraId="0ABF1A11" w14:textId="24DA10C3" w:rsidR="00C95155" w:rsidRPr="00462AD9" w:rsidRDefault="00C95155" w:rsidP="00C95155">
      <w:pPr>
        <w:pStyle w:val="Caption"/>
      </w:pPr>
      <w:bookmarkStart w:id="427" w:name="_Toc531935308"/>
      <w:r w:rsidRPr="00462AD9">
        <w:t xml:space="preserve">Slika </w:t>
      </w:r>
      <w:fldSimple w:instr=" STYLEREF 1 \s ">
        <w:r w:rsidR="00856D97">
          <w:rPr>
            <w:noProof/>
          </w:rPr>
          <w:t>4</w:t>
        </w:r>
      </w:fldSimple>
      <w:r w:rsidR="00856D97">
        <w:noBreakHyphen/>
      </w:r>
      <w:fldSimple w:instr=" SEQ Slika \* ARABIC \s 1 ">
        <w:r w:rsidR="00856D97">
          <w:rPr>
            <w:noProof/>
          </w:rPr>
          <w:t>18</w:t>
        </w:r>
      </w:fldSimple>
      <w:r w:rsidRPr="00462AD9">
        <w:t xml:space="preserve">. </w:t>
      </w:r>
      <w:r w:rsidRPr="00C95155">
        <w:t>Plinski transportni sustav u Republici Hrvatskoj</w:t>
      </w:r>
      <w:bookmarkEnd w:id="427"/>
    </w:p>
    <w:p w14:paraId="221E97AD" w14:textId="77777777" w:rsidR="00A626AB" w:rsidRPr="00BA49CB" w:rsidRDefault="00A626AB" w:rsidP="00A626AB">
      <w:pPr>
        <w:jc w:val="center"/>
        <w:rPr>
          <w:i/>
          <w:sz w:val="20"/>
          <w:szCs w:val="20"/>
        </w:rPr>
      </w:pPr>
      <w:r w:rsidRPr="00BA49CB">
        <w:rPr>
          <w:i/>
          <w:sz w:val="20"/>
          <w:szCs w:val="20"/>
        </w:rPr>
        <w:t>Izvor: PLINACRO</w:t>
      </w:r>
    </w:p>
    <w:p w14:paraId="0AAD7EB3" w14:textId="77777777" w:rsidR="00A626AB" w:rsidRDefault="00A626AB" w:rsidP="00A626AB">
      <w:r w:rsidRPr="005D443B">
        <w:t>U 2017. godini sustavom je transportirano 32,348 TWh prirodnog plina od čega 29,149 TWh od ulaza u transportni sustav do izlaznih mjerno-redukcijskih stanica te ostatak od 3,199 TWh do podzemnog skladišta plina Okoli. Tijekom 2017. godine na razini sustava ostvaren je najveći transport u iznosu od 158 GWh/dan.</w:t>
      </w:r>
    </w:p>
    <w:p w14:paraId="7403678F" w14:textId="77777777" w:rsidR="00A626AB" w:rsidRPr="00462AD9" w:rsidRDefault="00A626AB" w:rsidP="005B4729">
      <w:pPr>
        <w:widowControl w:val="0"/>
      </w:pPr>
    </w:p>
    <w:p w14:paraId="07D76434" w14:textId="6D1CB2BA" w:rsidR="00B8686F" w:rsidRPr="00DB7DF8" w:rsidRDefault="00B8686F" w:rsidP="00B8686F">
      <w:pPr>
        <w:pStyle w:val="ListParagraph"/>
        <w:numPr>
          <w:ilvl w:val="0"/>
          <w:numId w:val="49"/>
        </w:numPr>
        <w:tabs>
          <w:tab w:val="clear" w:pos="431"/>
        </w:tabs>
        <w:suppressAutoHyphens w:val="0"/>
        <w:spacing w:after="160" w:line="259" w:lineRule="auto"/>
        <w:contextualSpacing/>
        <w:jc w:val="left"/>
      </w:pPr>
      <w:r w:rsidRPr="00DB7DF8">
        <w:t>Projekcije u pogledu zahtjeva za širenjem mreže barem do 2040. (uključujući projekcije za 2030.)</w:t>
      </w:r>
      <w:r w:rsidR="0086329E">
        <w:t xml:space="preserve"> </w:t>
      </w:r>
    </w:p>
    <w:p w14:paraId="6D2BCFE4" w14:textId="73B7EC8B" w:rsidR="00B8686F" w:rsidRPr="00462AD9" w:rsidRDefault="00B8686F" w:rsidP="00B8686F">
      <w:pPr>
        <w:rPr>
          <w:rFonts w:cs="Arial"/>
        </w:rPr>
      </w:pPr>
      <w:r w:rsidRPr="00462AD9">
        <w:rPr>
          <w:rFonts w:cs="Arial"/>
        </w:rPr>
        <w:t xml:space="preserve">Imajući u vidu </w:t>
      </w:r>
      <w:r>
        <w:rPr>
          <w:rFonts w:cs="Arial"/>
        </w:rPr>
        <w:t xml:space="preserve">očekivanu ubrzanu integraciju OiE i predviđenu energetsku tranziciju u cilju smanjenja emisija stakleničkih plinova, </w:t>
      </w:r>
      <w:r w:rsidRPr="00DB7DF8">
        <w:rPr>
          <w:rFonts w:cs="Arial"/>
          <w:b/>
        </w:rPr>
        <w:t xml:space="preserve">razvoj prijenosne </w:t>
      </w:r>
      <w:r w:rsidR="005742C0" w:rsidRPr="00DB7DF8">
        <w:rPr>
          <w:rFonts w:cs="Arial"/>
          <w:b/>
        </w:rPr>
        <w:t>elektroenergetske</w:t>
      </w:r>
      <w:r w:rsidRPr="00DB7DF8">
        <w:rPr>
          <w:rFonts w:cs="Arial"/>
          <w:b/>
        </w:rPr>
        <w:t xml:space="preserve"> mreže</w:t>
      </w:r>
      <w:r>
        <w:rPr>
          <w:rFonts w:cs="Arial"/>
        </w:rPr>
        <w:t xml:space="preserve"> treba odrediti uzimajući u obzir sljedeće</w:t>
      </w:r>
      <w:r w:rsidRPr="00462AD9">
        <w:rPr>
          <w:rFonts w:cs="Arial"/>
        </w:rPr>
        <w:t>:</w:t>
      </w:r>
    </w:p>
    <w:p w14:paraId="44D35617" w14:textId="77777777" w:rsidR="00B8686F" w:rsidRPr="00462AD9" w:rsidRDefault="00B8686F" w:rsidP="00B8686F">
      <w:pPr>
        <w:pStyle w:val="ListParagraph"/>
        <w:numPr>
          <w:ilvl w:val="0"/>
          <w:numId w:val="85"/>
        </w:numPr>
        <w:suppressAutoHyphens w:val="0"/>
        <w:contextualSpacing/>
        <w:rPr>
          <w:rFonts w:cs="Arial"/>
        </w:rPr>
      </w:pPr>
      <w:r w:rsidRPr="00462AD9">
        <w:rPr>
          <w:rFonts w:cs="Arial"/>
        </w:rPr>
        <w:t xml:space="preserve">planirano je vršno opterećenje na razini prijenosne mreže u iznosima od </w:t>
      </w:r>
      <w:r>
        <w:rPr>
          <w:rFonts w:cs="Arial"/>
        </w:rPr>
        <w:t xml:space="preserve">oko </w:t>
      </w:r>
      <w:r w:rsidRPr="00462AD9">
        <w:rPr>
          <w:rFonts w:cs="Arial"/>
        </w:rPr>
        <w:t>29</w:t>
      </w:r>
      <w:r>
        <w:rPr>
          <w:rFonts w:cs="Arial"/>
        </w:rPr>
        <w:t>00</w:t>
      </w:r>
      <w:r w:rsidRPr="00462AD9">
        <w:rPr>
          <w:rFonts w:cs="Arial"/>
        </w:rPr>
        <w:t xml:space="preserve"> MW u 2020. godini, te </w:t>
      </w:r>
      <w:r>
        <w:rPr>
          <w:rFonts w:cs="Arial"/>
        </w:rPr>
        <w:t>oko 3200</w:t>
      </w:r>
      <w:r w:rsidRPr="00462AD9">
        <w:rPr>
          <w:rFonts w:cs="Arial"/>
        </w:rPr>
        <w:t xml:space="preserve"> MW u 2030. godini,</w:t>
      </w:r>
    </w:p>
    <w:p w14:paraId="7A9A785C" w14:textId="77777777" w:rsidR="00B8686F" w:rsidRPr="00462AD9" w:rsidRDefault="00B8686F" w:rsidP="00B8686F">
      <w:pPr>
        <w:pStyle w:val="ListParagraph"/>
        <w:numPr>
          <w:ilvl w:val="0"/>
          <w:numId w:val="85"/>
        </w:numPr>
        <w:suppressAutoHyphens w:val="0"/>
        <w:contextualSpacing/>
        <w:rPr>
          <w:rFonts w:cs="Arial"/>
        </w:rPr>
      </w:pPr>
      <w:r w:rsidRPr="00462AD9">
        <w:rPr>
          <w:rFonts w:cs="Arial"/>
        </w:rPr>
        <w:t xml:space="preserve">za </w:t>
      </w:r>
      <w:r>
        <w:rPr>
          <w:rFonts w:cs="Arial"/>
        </w:rPr>
        <w:t>moguće</w:t>
      </w:r>
      <w:r w:rsidRPr="00462AD9">
        <w:rPr>
          <w:rFonts w:cs="Arial"/>
        </w:rPr>
        <w:t xml:space="preserve"> scenarij</w:t>
      </w:r>
      <w:r>
        <w:rPr>
          <w:rFonts w:cs="Arial"/>
        </w:rPr>
        <w:t>e razvoja</w:t>
      </w:r>
      <w:r w:rsidRPr="00462AD9">
        <w:rPr>
          <w:rFonts w:cs="Arial"/>
        </w:rPr>
        <w:t xml:space="preserve"> planirana je izgradnja i priključak na 110 kV mrežu </w:t>
      </w:r>
      <w:r>
        <w:rPr>
          <w:rFonts w:cs="Arial"/>
        </w:rPr>
        <w:t xml:space="preserve">jedne nove </w:t>
      </w:r>
      <w:r w:rsidRPr="00462AD9">
        <w:rPr>
          <w:rFonts w:cs="Arial"/>
        </w:rPr>
        <w:t xml:space="preserve">HE (snage </w:t>
      </w:r>
      <w:r>
        <w:rPr>
          <w:rFonts w:cs="Arial"/>
        </w:rPr>
        <w:t>~</w:t>
      </w:r>
      <w:r w:rsidRPr="00462AD9">
        <w:rPr>
          <w:rFonts w:cs="Arial"/>
        </w:rPr>
        <w:t xml:space="preserve">36 MW) u 2024. godini, priključak na mrežu 220 kV (400 kV) </w:t>
      </w:r>
      <w:r>
        <w:rPr>
          <w:rFonts w:cs="Arial"/>
        </w:rPr>
        <w:t xml:space="preserve">druge </w:t>
      </w:r>
      <w:r w:rsidRPr="00462AD9">
        <w:rPr>
          <w:rFonts w:cs="Arial"/>
        </w:rPr>
        <w:t xml:space="preserve">HE (snage </w:t>
      </w:r>
      <w:r>
        <w:rPr>
          <w:rFonts w:cs="Arial"/>
        </w:rPr>
        <w:t>~</w:t>
      </w:r>
      <w:r w:rsidRPr="00462AD9">
        <w:rPr>
          <w:rFonts w:cs="Arial"/>
        </w:rPr>
        <w:t xml:space="preserve">380 MW) u 2026. godini, te izgradnja i priključak na mrežu 110 kV nove CHE (snage </w:t>
      </w:r>
      <w:r>
        <w:rPr>
          <w:rFonts w:cs="Arial"/>
        </w:rPr>
        <w:t>~</w:t>
      </w:r>
      <w:r w:rsidRPr="00462AD9">
        <w:rPr>
          <w:rFonts w:cs="Arial"/>
        </w:rPr>
        <w:t>150 MW) u 2028. godini,</w:t>
      </w:r>
    </w:p>
    <w:p w14:paraId="1308509E" w14:textId="77777777" w:rsidR="00B8686F" w:rsidRPr="00462AD9" w:rsidRDefault="00B8686F" w:rsidP="00B8686F">
      <w:pPr>
        <w:pStyle w:val="ListParagraph"/>
        <w:numPr>
          <w:ilvl w:val="0"/>
          <w:numId w:val="85"/>
        </w:numPr>
        <w:suppressAutoHyphens w:val="0"/>
        <w:contextualSpacing/>
        <w:rPr>
          <w:rFonts w:cs="Arial"/>
        </w:rPr>
      </w:pPr>
      <w:r w:rsidRPr="00462AD9">
        <w:rPr>
          <w:rFonts w:cs="Arial"/>
        </w:rPr>
        <w:t xml:space="preserve">za </w:t>
      </w:r>
      <w:r>
        <w:rPr>
          <w:rFonts w:cs="Arial"/>
        </w:rPr>
        <w:t>moguće</w:t>
      </w:r>
      <w:r w:rsidRPr="00462AD9">
        <w:rPr>
          <w:rFonts w:cs="Arial"/>
        </w:rPr>
        <w:t xml:space="preserve"> scenarij</w:t>
      </w:r>
      <w:r>
        <w:rPr>
          <w:rFonts w:cs="Arial"/>
        </w:rPr>
        <w:t>e razvoja</w:t>
      </w:r>
      <w:r w:rsidRPr="00462AD9">
        <w:rPr>
          <w:rFonts w:cs="Arial"/>
        </w:rPr>
        <w:t xml:space="preserve"> predviđen je ulazak u pogon novog CCGT bloka snage 150 MW na </w:t>
      </w:r>
      <w:r>
        <w:rPr>
          <w:rFonts w:cs="Arial"/>
        </w:rPr>
        <w:t>području</w:t>
      </w:r>
      <w:r w:rsidRPr="00462AD9">
        <w:rPr>
          <w:rFonts w:cs="Arial"/>
        </w:rPr>
        <w:t xml:space="preserve"> Zagreb</w:t>
      </w:r>
      <w:r>
        <w:rPr>
          <w:rFonts w:cs="Arial"/>
        </w:rPr>
        <w:t>a</w:t>
      </w:r>
      <w:r w:rsidRPr="00462AD9">
        <w:rPr>
          <w:rFonts w:cs="Arial"/>
        </w:rPr>
        <w:t xml:space="preserve"> u 2023. godini, te izgradnja novih plinskih blokova/bloka ukupne snage 300 MW u 2028. godini,</w:t>
      </w:r>
    </w:p>
    <w:p w14:paraId="41098627" w14:textId="77777777" w:rsidR="00B8686F" w:rsidRPr="00462AD9" w:rsidRDefault="00B8686F" w:rsidP="00B8686F">
      <w:pPr>
        <w:pStyle w:val="ListParagraph"/>
        <w:numPr>
          <w:ilvl w:val="0"/>
          <w:numId w:val="85"/>
        </w:numPr>
        <w:suppressAutoHyphens w:val="0"/>
        <w:contextualSpacing/>
        <w:rPr>
          <w:rFonts w:cs="Arial"/>
        </w:rPr>
      </w:pPr>
      <w:r w:rsidRPr="00462AD9">
        <w:rPr>
          <w:rFonts w:cs="Arial"/>
        </w:rPr>
        <w:t xml:space="preserve">izgradnja ukupno </w:t>
      </w:r>
      <w:r>
        <w:rPr>
          <w:rFonts w:cs="Arial"/>
        </w:rPr>
        <w:t xml:space="preserve">1364 MW - </w:t>
      </w:r>
      <w:r w:rsidRPr="00462AD9">
        <w:rPr>
          <w:rFonts w:cs="Arial"/>
        </w:rPr>
        <w:t>1634 MW</w:t>
      </w:r>
      <w:r>
        <w:rPr>
          <w:rFonts w:cs="Arial"/>
        </w:rPr>
        <w:t xml:space="preserve"> </w:t>
      </w:r>
      <w:r w:rsidRPr="00462AD9">
        <w:rPr>
          <w:rFonts w:cs="Arial"/>
        </w:rPr>
        <w:t>u vjetroelektranama, što je povećanje u odnosu na postojeću izgrađenost VE od</w:t>
      </w:r>
      <w:r>
        <w:rPr>
          <w:rFonts w:cs="Arial"/>
        </w:rPr>
        <w:t xml:space="preserve"> 788 MW do</w:t>
      </w:r>
      <w:r w:rsidRPr="00462AD9">
        <w:rPr>
          <w:rFonts w:cs="Arial"/>
        </w:rPr>
        <w:t xml:space="preserve"> 1</w:t>
      </w:r>
      <w:r>
        <w:rPr>
          <w:rFonts w:cs="Arial"/>
        </w:rPr>
        <w:t xml:space="preserve"> </w:t>
      </w:r>
      <w:r w:rsidRPr="00462AD9">
        <w:rPr>
          <w:rFonts w:cs="Arial"/>
        </w:rPr>
        <w:t>058 MW,</w:t>
      </w:r>
    </w:p>
    <w:p w14:paraId="256C6E52" w14:textId="77777777" w:rsidR="00B8686F" w:rsidRPr="00462AD9" w:rsidRDefault="00B8686F" w:rsidP="00B8686F">
      <w:pPr>
        <w:pStyle w:val="ListParagraph"/>
        <w:numPr>
          <w:ilvl w:val="0"/>
          <w:numId w:val="85"/>
        </w:numPr>
        <w:suppressAutoHyphens w:val="0"/>
        <w:contextualSpacing/>
        <w:rPr>
          <w:rFonts w:cs="Arial"/>
        </w:rPr>
      </w:pPr>
      <w:r w:rsidRPr="00462AD9">
        <w:rPr>
          <w:rFonts w:cs="Arial"/>
        </w:rPr>
        <w:t xml:space="preserve">izgradnja ukupno </w:t>
      </w:r>
      <w:r>
        <w:rPr>
          <w:rFonts w:cs="Arial"/>
        </w:rPr>
        <w:t xml:space="preserve">144 MW do </w:t>
      </w:r>
      <w:r w:rsidRPr="00462AD9">
        <w:rPr>
          <w:rFonts w:cs="Arial"/>
        </w:rPr>
        <w:t>387 MW u sunčanim elektranama priključenim na prijenosnu mrežu,</w:t>
      </w:r>
    </w:p>
    <w:p w14:paraId="4BD105B2" w14:textId="01016A4F" w:rsidR="00B8686F" w:rsidRPr="00462AD9" w:rsidRDefault="00B8686F" w:rsidP="00B8686F">
      <w:pPr>
        <w:pStyle w:val="ListParagraph"/>
        <w:numPr>
          <w:ilvl w:val="0"/>
          <w:numId w:val="85"/>
        </w:numPr>
        <w:suppressAutoHyphens w:val="0"/>
        <w:contextualSpacing/>
        <w:rPr>
          <w:rFonts w:cs="Arial"/>
        </w:rPr>
      </w:pPr>
      <w:r w:rsidRPr="00462AD9">
        <w:rPr>
          <w:rFonts w:cs="Arial"/>
        </w:rPr>
        <w:t>ostanak u pogonu TE Plomin 2 do promatranog vremenskog presjeka, te nastavak preuzimanja polovice proizvodnje NE Krško.</w:t>
      </w:r>
      <w:r w:rsidR="0086329E">
        <w:rPr>
          <w:rFonts w:cs="Arial"/>
        </w:rPr>
        <w:t xml:space="preserve"> </w:t>
      </w:r>
    </w:p>
    <w:p w14:paraId="2CD46990" w14:textId="77777777" w:rsidR="00B8686F" w:rsidRPr="00462AD9" w:rsidRDefault="00B8686F" w:rsidP="00B8686F">
      <w:pPr>
        <w:rPr>
          <w:rFonts w:cs="Arial"/>
        </w:rPr>
      </w:pPr>
      <w:r w:rsidRPr="00462AD9">
        <w:rPr>
          <w:rFonts w:cs="Arial"/>
        </w:rPr>
        <w:t xml:space="preserve">Preliminarna je procjena da bi ukupna ulaganja u prijenosnu mrežu (uključujući priključke novih konvencionalnih elektrana, vjetroelektrana i sunčanih elektrana, te razne ostale troškove identificirane u desetogodišnjem planu razvoja prijenosne mreže 2018.-2027.), imajući u vidu prethodno opisane ulazne pretpostavke, u razdoblju do 2030. godine iznosila oko </w:t>
      </w:r>
      <w:r>
        <w:rPr>
          <w:rFonts w:cs="Arial"/>
        </w:rPr>
        <w:t xml:space="preserve">7,9 do </w:t>
      </w:r>
      <w:r w:rsidRPr="00462AD9">
        <w:rPr>
          <w:rFonts w:cs="Arial"/>
        </w:rPr>
        <w:t xml:space="preserve">8,2 milijardi kuna, a uz pretpostavku jednakih godišnjih ulaganja to bi značilo investicijski trošak od </w:t>
      </w:r>
      <w:r>
        <w:rPr>
          <w:rFonts w:cs="Arial"/>
        </w:rPr>
        <w:t xml:space="preserve">666 do </w:t>
      </w:r>
      <w:r w:rsidRPr="00462AD9">
        <w:rPr>
          <w:rFonts w:cs="Arial"/>
        </w:rPr>
        <w:t xml:space="preserve">686 milijuna kuna/godišnje. </w:t>
      </w:r>
    </w:p>
    <w:p w14:paraId="6BE2825D" w14:textId="77777777" w:rsidR="00B8686F" w:rsidRPr="00462AD9" w:rsidRDefault="00B8686F" w:rsidP="00B8686F">
      <w:pPr>
        <w:rPr>
          <w:rFonts w:cs="Arial"/>
        </w:rPr>
      </w:pPr>
      <w:r>
        <w:rPr>
          <w:noProof/>
        </w:rPr>
        <w:drawing>
          <wp:inline distT="0" distB="0" distL="0" distR="0" wp14:anchorId="72ED863A" wp14:editId="1D4341FA">
            <wp:extent cx="5760084" cy="5391152"/>
            <wp:effectExtent l="0" t="0" r="0" b="0"/>
            <wp:docPr id="9037974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760084" cy="5391152"/>
                    </a:xfrm>
                    <a:prstGeom prst="rect">
                      <a:avLst/>
                    </a:prstGeom>
                  </pic:spPr>
                </pic:pic>
              </a:graphicData>
            </a:graphic>
          </wp:inline>
        </w:drawing>
      </w:r>
    </w:p>
    <w:p w14:paraId="6BB02DCE" w14:textId="79FDDD3D" w:rsidR="00B8686F" w:rsidRPr="00462AD9" w:rsidRDefault="00B8686F" w:rsidP="00B8686F">
      <w:pPr>
        <w:pStyle w:val="Caption"/>
      </w:pPr>
      <w:bookmarkStart w:id="428" w:name="_Toc528672976"/>
      <w:bookmarkStart w:id="429" w:name="_Toc531935309"/>
      <w:r w:rsidRPr="00462AD9">
        <w:t xml:space="preserve">Slika </w:t>
      </w:r>
      <w:fldSimple w:instr=" STYLEREF 1 \s ">
        <w:r w:rsidR="00856D97">
          <w:rPr>
            <w:noProof/>
          </w:rPr>
          <w:t>4</w:t>
        </w:r>
      </w:fldSimple>
      <w:r w:rsidR="00856D97">
        <w:noBreakHyphen/>
      </w:r>
      <w:fldSimple w:instr=" SEQ Slika \* ARABIC \s 1 ">
        <w:r w:rsidR="00856D97">
          <w:rPr>
            <w:noProof/>
          </w:rPr>
          <w:t>19</w:t>
        </w:r>
      </w:fldSimple>
      <w:r w:rsidRPr="00462AD9">
        <w:t xml:space="preserve">. </w:t>
      </w:r>
      <w:r w:rsidRPr="00462AD9">
        <w:rPr>
          <w:rFonts w:cs="Arial"/>
          <w:szCs w:val="20"/>
        </w:rPr>
        <w:t>Predvidiva topologija 400 kV i 220 kV mreže na području RH 2030. godine</w:t>
      </w:r>
      <w:bookmarkEnd w:id="428"/>
      <w:bookmarkEnd w:id="429"/>
      <w:r w:rsidRPr="00462AD9">
        <w:t xml:space="preserve"> </w:t>
      </w:r>
    </w:p>
    <w:p w14:paraId="60DA3A22" w14:textId="77777777" w:rsidR="00B8686F" w:rsidRPr="00462AD9" w:rsidRDefault="00B8686F" w:rsidP="00B8686F">
      <w:pPr>
        <w:rPr>
          <w:rFonts w:cs="Arial"/>
        </w:rPr>
      </w:pPr>
      <w:r w:rsidRPr="00462AD9">
        <w:rPr>
          <w:rFonts w:cs="Arial"/>
        </w:rPr>
        <w:t>Osim većeg dijela investicija već sadržanih u službenom desetogodišnjem planu razvoja prijenosne mreže u razdoblju 2018.-2027. godine, investicijski zahtjevnij</w:t>
      </w:r>
      <w:r>
        <w:rPr>
          <w:rFonts w:cs="Arial"/>
        </w:rPr>
        <w:t>a</w:t>
      </w:r>
      <w:r w:rsidRPr="00462AD9">
        <w:rPr>
          <w:rFonts w:cs="Arial"/>
        </w:rPr>
        <w:t xml:space="preserve"> dodatn</w:t>
      </w:r>
      <w:r>
        <w:rPr>
          <w:rFonts w:cs="Arial"/>
        </w:rPr>
        <w:t>a</w:t>
      </w:r>
      <w:r w:rsidRPr="00462AD9">
        <w:rPr>
          <w:rFonts w:cs="Arial"/>
        </w:rPr>
        <w:t xml:space="preserve"> </w:t>
      </w:r>
      <w:r>
        <w:rPr>
          <w:rFonts w:cs="Arial"/>
        </w:rPr>
        <w:t>pojačanja</w:t>
      </w:r>
      <w:r w:rsidRPr="00462AD9">
        <w:rPr>
          <w:rFonts w:cs="Arial"/>
        </w:rPr>
        <w:t xml:space="preserve"> mreže </w:t>
      </w:r>
      <w:r>
        <w:rPr>
          <w:rFonts w:cs="Arial"/>
        </w:rPr>
        <w:t>su</w:t>
      </w:r>
      <w:r w:rsidRPr="00462AD9">
        <w:rPr>
          <w:rFonts w:cs="Arial"/>
        </w:rPr>
        <w:t xml:space="preserve"> sljedeće:</w:t>
      </w:r>
    </w:p>
    <w:p w14:paraId="2EF525C3" w14:textId="77777777" w:rsidR="00B8686F" w:rsidRPr="00462AD9" w:rsidRDefault="00B8686F" w:rsidP="00B8686F">
      <w:pPr>
        <w:pStyle w:val="ListParagraph"/>
        <w:numPr>
          <w:ilvl w:val="0"/>
          <w:numId w:val="86"/>
        </w:numPr>
        <w:suppressAutoHyphens w:val="0"/>
        <w:contextualSpacing/>
        <w:rPr>
          <w:rFonts w:cs="Arial"/>
        </w:rPr>
      </w:pPr>
      <w:r w:rsidRPr="00462AD9">
        <w:rPr>
          <w:rFonts w:cs="Arial"/>
        </w:rPr>
        <w:t>povećanje prijenosne moći DV 220 kV Konjsko – Krš Pađene – Brinje u srednjoročnom razdoblju (okvirno do 2023. godine) zamjenom alučelnih vodiča HTLS vodičima, u cilju prihvata proizvodnje VE i SE na području Dalmacije,</w:t>
      </w:r>
    </w:p>
    <w:p w14:paraId="0DB6638A" w14:textId="77777777" w:rsidR="00B8686F" w:rsidRPr="00462AD9" w:rsidRDefault="00B8686F" w:rsidP="00B8686F">
      <w:pPr>
        <w:pStyle w:val="ListParagraph"/>
        <w:numPr>
          <w:ilvl w:val="0"/>
          <w:numId w:val="86"/>
        </w:numPr>
        <w:suppressAutoHyphens w:val="0"/>
        <w:contextualSpacing/>
        <w:rPr>
          <w:rFonts w:cs="Arial"/>
        </w:rPr>
      </w:pPr>
      <w:r w:rsidRPr="00462AD9">
        <w:rPr>
          <w:rFonts w:cs="Arial"/>
        </w:rPr>
        <w:t>izgradnja novog DV 400 kV Konjsko – Lika u dugoročnom razdoblju (okvirno do 2030. godine) radi nastavka izgradnje VE i SE, te proširenje RP 400 kV Lika predviđenog za izgradnju u sklopu priključka na mrežu HE Senj 2 predvidivo 2026. godine,</w:t>
      </w:r>
    </w:p>
    <w:p w14:paraId="2915535E" w14:textId="77777777" w:rsidR="00B8686F" w:rsidRPr="00462AD9" w:rsidRDefault="00B8686F" w:rsidP="00B8686F">
      <w:pPr>
        <w:pStyle w:val="ListParagraph"/>
        <w:numPr>
          <w:ilvl w:val="0"/>
          <w:numId w:val="86"/>
        </w:numPr>
        <w:suppressAutoHyphens w:val="0"/>
        <w:contextualSpacing/>
        <w:rPr>
          <w:rFonts w:cs="Arial"/>
        </w:rPr>
      </w:pPr>
      <w:r w:rsidRPr="00462AD9">
        <w:rPr>
          <w:rFonts w:cs="Arial"/>
        </w:rPr>
        <w:t>izgradnja DV (2x)400 kV Lika – Melina radi otklanjanja mogućih ograničenja u prijenosu proizvodnje HE, VE i SE na području Dalmacije i Like prema širem riječkom području,</w:t>
      </w:r>
    </w:p>
    <w:p w14:paraId="322BF366" w14:textId="383010B0" w:rsidR="00B8686F" w:rsidRPr="00462AD9" w:rsidRDefault="00B8686F" w:rsidP="00B8686F">
      <w:pPr>
        <w:pStyle w:val="ListParagraph"/>
        <w:numPr>
          <w:ilvl w:val="0"/>
          <w:numId w:val="86"/>
        </w:numPr>
        <w:suppressAutoHyphens w:val="0"/>
        <w:contextualSpacing/>
        <w:rPr>
          <w:rFonts w:cs="Arial"/>
        </w:rPr>
      </w:pPr>
      <w:r w:rsidRPr="00462AD9">
        <w:rPr>
          <w:rFonts w:cs="Arial"/>
        </w:rPr>
        <w:t>formiranje barem dva</w:t>
      </w:r>
      <w:r>
        <w:rPr>
          <w:rFonts w:cs="Arial"/>
        </w:rPr>
        <w:t xml:space="preserve"> do tri</w:t>
      </w:r>
      <w:r w:rsidRPr="00462AD9">
        <w:rPr>
          <w:rFonts w:cs="Arial"/>
        </w:rPr>
        <w:t xml:space="preserve"> „zonska priključka“ odnosno TS 400/110 kV, na odgovarajući način spojene sa 400 kV i 110 kV mrežom, preko kojih bi se energija proizvedena u VE i SE prenosila 400 kV mrežom u udaljenija područja, u slučaju da lokalna 110 kV mreža više ne može preuzeti cjelokupnu proizvodnju tih elektrana (predvidive lokacije za „zonske priključke“ su šire područje Drniša/Knina i Sinja, no konačne lokacije ovisit će o lokacijama i snagama novih VE i SE predviđenih za priključak na prijenosnu mrežu),</w:t>
      </w:r>
    </w:p>
    <w:p w14:paraId="5B255703" w14:textId="608BE7BB" w:rsidR="00B8686F" w:rsidRPr="00462AD9" w:rsidRDefault="00B8686F" w:rsidP="00B8686F">
      <w:pPr>
        <w:pStyle w:val="ListParagraph"/>
        <w:numPr>
          <w:ilvl w:val="0"/>
          <w:numId w:val="86"/>
        </w:numPr>
        <w:suppressAutoHyphens w:val="0"/>
        <w:contextualSpacing/>
        <w:rPr>
          <w:rFonts w:cs="Arial"/>
        </w:rPr>
      </w:pPr>
      <w:r w:rsidRPr="00462AD9">
        <w:rPr>
          <w:rFonts w:cs="Arial"/>
        </w:rPr>
        <w:t xml:space="preserve">od novih međudržavnih/interkonekcijskih vodova u razdoblju do 2030. godine moguća je izgradnja novog DV 400 kV Lika – Banja Luka </w:t>
      </w:r>
      <w:r w:rsidR="004E16BA">
        <w:rPr>
          <w:rFonts w:cs="Arial"/>
        </w:rPr>
        <w:t>ako</w:t>
      </w:r>
      <w:r w:rsidRPr="00462AD9">
        <w:rPr>
          <w:rFonts w:cs="Arial"/>
        </w:rPr>
        <w:t xml:space="preserve"> tehno-ekonomske analize pokažu opravdanost njegove izgradnje. </w:t>
      </w:r>
    </w:p>
    <w:p w14:paraId="4287E874" w14:textId="54FAE311" w:rsidR="00B8686F" w:rsidRDefault="004E16BA" w:rsidP="00B8686F">
      <w:pPr>
        <w:rPr>
          <w:highlight w:val="yellow"/>
        </w:rPr>
      </w:pPr>
      <w:r>
        <w:t>Kako</w:t>
      </w:r>
      <w:r w:rsidR="00B8686F">
        <w:t xml:space="preserve"> je HOPS odgovoran za pouzdanost i raspoloživost sustava opskrbe električnom energijom te ispravnu koordinaciju sustava proizvodnje, prijenosa i distribucije uz odgovornost za vođenje elektroenergetskog sustava na način kojim se postiže sigurnost isporuke električne energije, u budućem će razdoblju trebati pratiti funkcioniranje elektroenergetskog sustava s povećanom razinom integracije varijabilnih izvora električne energije, te pravovremeno obavijestiti nadležne institucije u slučaju bilo kakvog ugrožavanja sigurnosti isporuke električne energije, uključujući i prijedlog eventualne primjene dozvoljenih mehanizama za razvoj proizvodnih kapaciteta.</w:t>
      </w:r>
    </w:p>
    <w:p w14:paraId="213FDBF9" w14:textId="77777777" w:rsidR="005742C0" w:rsidRDefault="005742C0" w:rsidP="005742C0">
      <w:r w:rsidRPr="00DB7DF8">
        <w:rPr>
          <w:b/>
        </w:rPr>
        <w:t>Potreba realizacije razvojnih projekata za širenje mreže plinovoda</w:t>
      </w:r>
      <w:r>
        <w:t xml:space="preserve"> vezana je uz ostvarenje projekata novih dobavnih pravaca plina, prije svega uz ostvarenje projekta terminala za UPP na otoku Krku. Ostvarenje projekata novih dobavnih pravaca plina zahtijeva i značajna ulaganja u plinovodnu infrastrukturu. Svrha je tih projekata osigurati dostatan kapacitet na glavnim transportno-tranzitnim pravcima plinskog transportnog sustava, osigurati dvosmjerni protok na interkonekcijama sa slovenskim i mađarskim transportnim sustavima te dovoljne kapacitete na tim interkonekcijama kako bi se omogućio transport odnosno otprema plina iz novih dobavnih projekata na tržišta susjednih zemalja i na domaće tržište. Razmatranje potrebe novih kapaciteta transportnog sustava i hidrauličke simulacije transporta plina za karakteristične godine planskog razdoblja provedene su za tri scenarija:</w:t>
      </w:r>
    </w:p>
    <w:p w14:paraId="29E6B434" w14:textId="77777777" w:rsidR="005742C0" w:rsidRDefault="005742C0" w:rsidP="005742C0">
      <w:r>
        <w:t>1 - bez ostvarenja novih dobavnih projekata terminala za UPP i Jonsko-jadranskog plinovoda (IAP),</w:t>
      </w:r>
    </w:p>
    <w:p w14:paraId="129BF314" w14:textId="77777777" w:rsidR="005742C0" w:rsidRDefault="005742C0" w:rsidP="005742C0">
      <w:r>
        <w:t>2 - uz ostvarenje projekta terminala za UPP na otoku Krku,</w:t>
      </w:r>
    </w:p>
    <w:p w14:paraId="03C904FC" w14:textId="77777777" w:rsidR="005742C0" w:rsidRDefault="005742C0" w:rsidP="005742C0">
      <w:r>
        <w:t>3 - uz ostvarenje projekta terminala za UPP i projekta Jonsko-jadranskog plinovoda (IAP).</w:t>
      </w:r>
    </w:p>
    <w:p w14:paraId="51D0EC4C" w14:textId="77777777" w:rsidR="005742C0" w:rsidRDefault="005742C0" w:rsidP="005742C0">
      <w:r>
        <w:t>U nastavku je tablični prikaz potrebne realizacije i stavljanja u uporabu planiranih projekata.</w:t>
      </w:r>
    </w:p>
    <w:p w14:paraId="5705F4A7" w14:textId="1451FDE6" w:rsidR="005742C0" w:rsidRPr="009305C0" w:rsidRDefault="00C95155" w:rsidP="00CF2D4C">
      <w:pPr>
        <w:pStyle w:val="Caption"/>
        <w:rPr>
          <w:szCs w:val="20"/>
        </w:rPr>
      </w:pPr>
      <w:bookmarkStart w:id="430" w:name="_Toc531935365"/>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4</w:t>
      </w:r>
      <w:r w:rsidR="00B22048">
        <w:rPr>
          <w:noProof/>
        </w:rPr>
        <w:fldChar w:fldCharType="end"/>
      </w:r>
      <w:r>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16</w:t>
      </w:r>
      <w:r w:rsidR="00B22048">
        <w:rPr>
          <w:noProof/>
        </w:rPr>
        <w:fldChar w:fldCharType="end"/>
      </w:r>
      <w:r>
        <w:tab/>
      </w:r>
      <w:r w:rsidRPr="009305C0">
        <w:rPr>
          <w:szCs w:val="20"/>
        </w:rPr>
        <w:t>Potrebna realizacija i godina stavljanja u uporabu planiranih projekata</w:t>
      </w:r>
      <w:bookmarkEnd w:id="430"/>
    </w:p>
    <w:tbl>
      <w:tblPr>
        <w:tblW w:w="8380" w:type="dxa"/>
        <w:tblLook w:val="04A0" w:firstRow="1" w:lastRow="0" w:firstColumn="1" w:lastColumn="0" w:noHBand="0" w:noVBand="1"/>
      </w:tblPr>
      <w:tblGrid>
        <w:gridCol w:w="1180"/>
        <w:gridCol w:w="1800"/>
        <w:gridCol w:w="1800"/>
        <w:gridCol w:w="1800"/>
        <w:gridCol w:w="1800"/>
      </w:tblGrid>
      <w:tr w:rsidR="005742C0" w:rsidRPr="002907BB" w14:paraId="5EE1E5DE" w14:textId="77777777" w:rsidTr="005742C0">
        <w:trPr>
          <w:trHeight w:val="660"/>
        </w:trPr>
        <w:tc>
          <w:tcPr>
            <w:tcW w:w="1180" w:type="dxa"/>
            <w:tcBorders>
              <w:top w:val="nil"/>
              <w:left w:val="nil"/>
              <w:bottom w:val="nil"/>
              <w:right w:val="nil"/>
            </w:tcBorders>
            <w:shd w:val="clear" w:color="000000" w:fill="FFFFFF"/>
            <w:noWrap/>
            <w:vAlign w:val="bottom"/>
            <w:hideMark/>
          </w:tcPr>
          <w:p w14:paraId="1A878ABB" w14:textId="77777777" w:rsidR="005742C0" w:rsidRPr="002907BB" w:rsidRDefault="005742C0" w:rsidP="005742C0">
            <w:pPr>
              <w:spacing w:after="0" w:line="240" w:lineRule="auto"/>
              <w:rPr>
                <w:rFonts w:ascii="Calibri" w:hAnsi="Calibri" w:cs="Calibri"/>
                <w:color w:val="000000"/>
              </w:rPr>
            </w:pPr>
            <w:r w:rsidRPr="002907BB">
              <w:rPr>
                <w:rFonts w:ascii="Calibri" w:hAnsi="Calibri" w:cs="Calibri"/>
                <w:color w:val="000000"/>
              </w:rPr>
              <w:t> </w:t>
            </w:r>
          </w:p>
        </w:tc>
        <w:tc>
          <w:tcPr>
            <w:tcW w:w="72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E1D62A" w14:textId="3E1ADC45" w:rsidR="005742C0" w:rsidRPr="002907BB" w:rsidRDefault="0086329E" w:rsidP="005742C0">
            <w:pPr>
              <w:spacing w:after="0" w:line="240" w:lineRule="auto"/>
              <w:jc w:val="center"/>
              <w:rPr>
                <w:rFonts w:ascii="Calibri" w:hAnsi="Calibri" w:cs="Calibri"/>
                <w:b/>
                <w:bCs/>
                <w:color w:val="000000"/>
              </w:rPr>
            </w:pPr>
            <w:r>
              <w:rPr>
                <w:rFonts w:ascii="Calibri" w:hAnsi="Calibri" w:cs="Calibri"/>
                <w:b/>
                <w:bCs/>
                <w:color w:val="000000"/>
              </w:rPr>
              <w:t xml:space="preserve"> </w:t>
            </w:r>
            <w:r w:rsidR="00461782">
              <w:rPr>
                <w:rFonts w:ascii="Calibri" w:hAnsi="Calibri" w:cs="Calibri"/>
                <w:b/>
                <w:bCs/>
                <w:color w:val="000000"/>
              </w:rPr>
              <w:t xml:space="preserve"> </w:t>
            </w:r>
            <w:r w:rsidR="005742C0" w:rsidRPr="002907BB">
              <w:rPr>
                <w:rFonts w:ascii="Calibri" w:hAnsi="Calibri" w:cs="Calibri"/>
                <w:b/>
                <w:bCs/>
                <w:color w:val="000000"/>
              </w:rPr>
              <w:t>Potrebna izgradnja i stavljanje u pogon u uporabu novih</w:t>
            </w:r>
            <w:r>
              <w:rPr>
                <w:rFonts w:ascii="Calibri" w:hAnsi="Calibri" w:cs="Calibri"/>
                <w:b/>
                <w:bCs/>
                <w:color w:val="000000"/>
              </w:rPr>
              <w:t xml:space="preserve">        </w:t>
            </w:r>
            <w:r w:rsidR="00461782">
              <w:rPr>
                <w:rFonts w:ascii="Calibri" w:hAnsi="Calibri" w:cs="Calibri"/>
                <w:b/>
                <w:bCs/>
                <w:color w:val="000000"/>
              </w:rPr>
              <w:t xml:space="preserve"> </w:t>
            </w:r>
            <w:r w:rsidR="005742C0" w:rsidRPr="002907BB">
              <w:rPr>
                <w:rFonts w:ascii="Calibri" w:hAnsi="Calibri" w:cs="Calibri"/>
                <w:b/>
                <w:bCs/>
                <w:color w:val="000000"/>
              </w:rPr>
              <w:t>kapaciteta plinskog transportnog sustava</w:t>
            </w:r>
          </w:p>
        </w:tc>
      </w:tr>
      <w:tr w:rsidR="005742C0" w:rsidRPr="002907BB" w14:paraId="18AC952A" w14:textId="77777777" w:rsidTr="005742C0">
        <w:trPr>
          <w:trHeight w:val="300"/>
        </w:trPr>
        <w:tc>
          <w:tcPr>
            <w:tcW w:w="1180" w:type="dxa"/>
            <w:tcBorders>
              <w:top w:val="nil"/>
              <w:left w:val="nil"/>
              <w:bottom w:val="nil"/>
              <w:right w:val="nil"/>
            </w:tcBorders>
            <w:shd w:val="clear" w:color="000000" w:fill="FFFFFF"/>
            <w:noWrap/>
            <w:vAlign w:val="bottom"/>
            <w:hideMark/>
          </w:tcPr>
          <w:p w14:paraId="1B3C62F9" w14:textId="77777777" w:rsidR="005742C0" w:rsidRPr="002907BB" w:rsidRDefault="005742C0" w:rsidP="005742C0">
            <w:pPr>
              <w:spacing w:after="0" w:line="240" w:lineRule="auto"/>
              <w:rPr>
                <w:rFonts w:ascii="Calibri" w:hAnsi="Calibri" w:cs="Calibri"/>
                <w:color w:val="000000"/>
              </w:rPr>
            </w:pPr>
            <w:r w:rsidRPr="002907BB">
              <w:rPr>
                <w:rFonts w:ascii="Calibri" w:hAnsi="Calibri" w:cs="Calibri"/>
                <w:color w:val="000000"/>
              </w:rPr>
              <w:t> </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76AD9E74" w14:textId="77777777" w:rsidR="005742C0" w:rsidRPr="002907BB" w:rsidRDefault="005742C0" w:rsidP="005742C0">
            <w:pPr>
              <w:spacing w:after="0" w:line="240" w:lineRule="auto"/>
              <w:jc w:val="center"/>
              <w:rPr>
                <w:rFonts w:ascii="Calibri" w:hAnsi="Calibri" w:cs="Calibri"/>
                <w:b/>
                <w:bCs/>
                <w:color w:val="000000"/>
              </w:rPr>
            </w:pPr>
            <w:r w:rsidRPr="002907BB">
              <w:rPr>
                <w:rFonts w:ascii="Calibri" w:hAnsi="Calibri" w:cs="Calibri"/>
                <w:b/>
                <w:bCs/>
                <w:color w:val="000000"/>
              </w:rPr>
              <w:t>2020.</w:t>
            </w:r>
          </w:p>
        </w:tc>
        <w:tc>
          <w:tcPr>
            <w:tcW w:w="1800" w:type="dxa"/>
            <w:tcBorders>
              <w:top w:val="nil"/>
              <w:left w:val="nil"/>
              <w:bottom w:val="single" w:sz="4" w:space="0" w:color="auto"/>
              <w:right w:val="single" w:sz="4" w:space="0" w:color="auto"/>
            </w:tcBorders>
            <w:shd w:val="clear" w:color="auto" w:fill="auto"/>
            <w:vAlign w:val="center"/>
            <w:hideMark/>
          </w:tcPr>
          <w:p w14:paraId="7DA4CA96" w14:textId="77777777" w:rsidR="005742C0" w:rsidRPr="002907BB" w:rsidRDefault="005742C0" w:rsidP="005742C0">
            <w:pPr>
              <w:spacing w:after="0" w:line="240" w:lineRule="auto"/>
              <w:jc w:val="center"/>
              <w:rPr>
                <w:rFonts w:ascii="Calibri" w:hAnsi="Calibri" w:cs="Calibri"/>
                <w:b/>
                <w:bCs/>
                <w:color w:val="000000"/>
              </w:rPr>
            </w:pPr>
            <w:r w:rsidRPr="002907BB">
              <w:rPr>
                <w:rFonts w:ascii="Calibri" w:hAnsi="Calibri" w:cs="Calibri"/>
                <w:b/>
                <w:bCs/>
                <w:color w:val="000000"/>
              </w:rPr>
              <w:t>2021.</w:t>
            </w:r>
          </w:p>
        </w:tc>
        <w:tc>
          <w:tcPr>
            <w:tcW w:w="1800" w:type="dxa"/>
            <w:tcBorders>
              <w:top w:val="nil"/>
              <w:left w:val="nil"/>
              <w:bottom w:val="single" w:sz="4" w:space="0" w:color="auto"/>
              <w:right w:val="single" w:sz="4" w:space="0" w:color="auto"/>
            </w:tcBorders>
            <w:shd w:val="clear" w:color="auto" w:fill="auto"/>
            <w:vAlign w:val="center"/>
            <w:hideMark/>
          </w:tcPr>
          <w:p w14:paraId="35FCE5D6" w14:textId="77777777" w:rsidR="005742C0" w:rsidRPr="002907BB" w:rsidRDefault="005742C0" w:rsidP="005742C0">
            <w:pPr>
              <w:spacing w:after="0" w:line="240" w:lineRule="auto"/>
              <w:jc w:val="center"/>
              <w:rPr>
                <w:rFonts w:ascii="Calibri" w:hAnsi="Calibri" w:cs="Calibri"/>
                <w:b/>
                <w:bCs/>
                <w:color w:val="000000"/>
              </w:rPr>
            </w:pPr>
            <w:r w:rsidRPr="002907BB">
              <w:rPr>
                <w:rFonts w:ascii="Calibri" w:hAnsi="Calibri" w:cs="Calibri"/>
                <w:b/>
                <w:bCs/>
                <w:color w:val="000000"/>
              </w:rPr>
              <w:t>2023.</w:t>
            </w:r>
          </w:p>
        </w:tc>
        <w:tc>
          <w:tcPr>
            <w:tcW w:w="1800" w:type="dxa"/>
            <w:tcBorders>
              <w:top w:val="nil"/>
              <w:left w:val="nil"/>
              <w:bottom w:val="single" w:sz="4" w:space="0" w:color="auto"/>
              <w:right w:val="single" w:sz="4" w:space="0" w:color="auto"/>
            </w:tcBorders>
            <w:shd w:val="clear" w:color="auto" w:fill="auto"/>
            <w:vAlign w:val="center"/>
            <w:hideMark/>
          </w:tcPr>
          <w:p w14:paraId="420A1AA2" w14:textId="77777777" w:rsidR="005742C0" w:rsidRPr="002907BB" w:rsidRDefault="005742C0" w:rsidP="005742C0">
            <w:pPr>
              <w:spacing w:after="0" w:line="240" w:lineRule="auto"/>
              <w:jc w:val="center"/>
              <w:rPr>
                <w:rFonts w:ascii="Calibri" w:hAnsi="Calibri" w:cs="Calibri"/>
                <w:b/>
                <w:bCs/>
                <w:color w:val="000000"/>
              </w:rPr>
            </w:pPr>
            <w:r w:rsidRPr="002907BB">
              <w:rPr>
                <w:rFonts w:ascii="Calibri" w:hAnsi="Calibri" w:cs="Calibri"/>
                <w:b/>
                <w:bCs/>
                <w:color w:val="000000"/>
              </w:rPr>
              <w:t>2027.</w:t>
            </w:r>
          </w:p>
        </w:tc>
      </w:tr>
      <w:tr w:rsidR="005742C0" w:rsidRPr="002907BB" w14:paraId="6B7EF0A0" w14:textId="77777777" w:rsidTr="005742C0">
        <w:trPr>
          <w:trHeight w:val="51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33DB5" w14:textId="77777777" w:rsidR="005742C0" w:rsidRPr="002907BB" w:rsidRDefault="005742C0" w:rsidP="005742C0">
            <w:pPr>
              <w:spacing w:after="0" w:line="240" w:lineRule="auto"/>
              <w:rPr>
                <w:rFonts w:ascii="Calibri" w:hAnsi="Calibri" w:cs="Calibri"/>
                <w:b/>
                <w:bCs/>
                <w:color w:val="000000"/>
              </w:rPr>
            </w:pPr>
            <w:r w:rsidRPr="002907BB">
              <w:rPr>
                <w:rFonts w:ascii="Calibri" w:hAnsi="Calibri" w:cs="Calibri"/>
                <w:b/>
                <w:bCs/>
                <w:color w:val="000000"/>
              </w:rPr>
              <w:t xml:space="preserve">Scenarij 1 </w:t>
            </w:r>
          </w:p>
        </w:tc>
        <w:tc>
          <w:tcPr>
            <w:tcW w:w="1800" w:type="dxa"/>
            <w:tcBorders>
              <w:top w:val="nil"/>
              <w:left w:val="nil"/>
              <w:bottom w:val="single" w:sz="4" w:space="0" w:color="auto"/>
              <w:right w:val="single" w:sz="4" w:space="0" w:color="auto"/>
            </w:tcBorders>
            <w:shd w:val="clear" w:color="auto" w:fill="auto"/>
            <w:vAlign w:val="center"/>
            <w:hideMark/>
          </w:tcPr>
          <w:p w14:paraId="3BC30D3D"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 xml:space="preserve">KS1 Velika Ludina </w:t>
            </w:r>
          </w:p>
        </w:tc>
        <w:tc>
          <w:tcPr>
            <w:tcW w:w="1800" w:type="dxa"/>
            <w:tcBorders>
              <w:top w:val="nil"/>
              <w:left w:val="nil"/>
              <w:bottom w:val="single" w:sz="4" w:space="0" w:color="auto"/>
              <w:right w:val="single" w:sz="4" w:space="0" w:color="auto"/>
            </w:tcBorders>
            <w:shd w:val="clear" w:color="auto" w:fill="auto"/>
            <w:vAlign w:val="center"/>
            <w:hideMark/>
          </w:tcPr>
          <w:p w14:paraId="44DFB7C0"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Nisu potrebni novi</w:t>
            </w:r>
            <w:r w:rsidRPr="002907BB">
              <w:rPr>
                <w:rFonts w:ascii="Calibri" w:hAnsi="Calibri" w:cs="Calibri"/>
                <w:color w:val="000000"/>
                <w:sz w:val="20"/>
                <w:szCs w:val="20"/>
              </w:rPr>
              <w:br/>
              <w:t>kapaciteti</w:t>
            </w:r>
          </w:p>
        </w:tc>
        <w:tc>
          <w:tcPr>
            <w:tcW w:w="1800" w:type="dxa"/>
            <w:tcBorders>
              <w:top w:val="nil"/>
              <w:left w:val="nil"/>
              <w:bottom w:val="single" w:sz="4" w:space="0" w:color="auto"/>
              <w:right w:val="single" w:sz="4" w:space="0" w:color="auto"/>
            </w:tcBorders>
            <w:shd w:val="clear" w:color="auto" w:fill="auto"/>
            <w:vAlign w:val="center"/>
            <w:hideMark/>
          </w:tcPr>
          <w:p w14:paraId="55990B61"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Nisu potrebni novi</w:t>
            </w:r>
            <w:r w:rsidRPr="002907BB">
              <w:rPr>
                <w:rFonts w:ascii="Calibri" w:hAnsi="Calibri" w:cs="Calibri"/>
                <w:color w:val="000000"/>
                <w:sz w:val="20"/>
                <w:szCs w:val="20"/>
              </w:rPr>
              <w:br/>
              <w:t>kapaciteti</w:t>
            </w:r>
          </w:p>
        </w:tc>
        <w:tc>
          <w:tcPr>
            <w:tcW w:w="1800" w:type="dxa"/>
            <w:tcBorders>
              <w:top w:val="nil"/>
              <w:left w:val="nil"/>
              <w:bottom w:val="single" w:sz="4" w:space="0" w:color="auto"/>
              <w:right w:val="single" w:sz="4" w:space="0" w:color="auto"/>
            </w:tcBorders>
            <w:shd w:val="clear" w:color="auto" w:fill="auto"/>
            <w:vAlign w:val="center"/>
            <w:hideMark/>
          </w:tcPr>
          <w:p w14:paraId="6B565EC7"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Nisu potrebni novi</w:t>
            </w:r>
            <w:r w:rsidRPr="002907BB">
              <w:rPr>
                <w:rFonts w:ascii="Calibri" w:hAnsi="Calibri" w:cs="Calibri"/>
                <w:color w:val="000000"/>
                <w:sz w:val="20"/>
                <w:szCs w:val="20"/>
              </w:rPr>
              <w:br/>
              <w:t>kapaciteti</w:t>
            </w:r>
          </w:p>
        </w:tc>
      </w:tr>
      <w:tr w:rsidR="005742C0" w:rsidRPr="002907BB" w14:paraId="425259E4" w14:textId="77777777" w:rsidTr="005742C0">
        <w:trPr>
          <w:trHeight w:val="76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FE21F89" w14:textId="77777777" w:rsidR="005742C0" w:rsidRPr="002907BB" w:rsidRDefault="005742C0" w:rsidP="005742C0">
            <w:pPr>
              <w:spacing w:after="0" w:line="240" w:lineRule="auto"/>
              <w:rPr>
                <w:rFonts w:ascii="Calibri" w:hAnsi="Calibri" w:cs="Calibri"/>
                <w:b/>
                <w:bCs/>
                <w:color w:val="000000"/>
              </w:rPr>
            </w:pPr>
            <w:r w:rsidRPr="002907BB">
              <w:rPr>
                <w:rFonts w:ascii="Calibri" w:hAnsi="Calibri" w:cs="Calibri"/>
                <w:b/>
                <w:bCs/>
                <w:color w:val="000000"/>
              </w:rPr>
              <w:t>Scenarij 2</w:t>
            </w:r>
          </w:p>
        </w:tc>
        <w:tc>
          <w:tcPr>
            <w:tcW w:w="1800" w:type="dxa"/>
            <w:tcBorders>
              <w:top w:val="nil"/>
              <w:left w:val="nil"/>
              <w:bottom w:val="single" w:sz="4" w:space="0" w:color="auto"/>
              <w:right w:val="single" w:sz="4" w:space="0" w:color="auto"/>
            </w:tcBorders>
            <w:shd w:val="clear" w:color="auto" w:fill="auto"/>
            <w:vAlign w:val="center"/>
            <w:hideMark/>
          </w:tcPr>
          <w:p w14:paraId="20E0BCE3"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Zlobin - Omišalj;</w:t>
            </w:r>
            <w:r w:rsidRPr="002907BB">
              <w:rPr>
                <w:rFonts w:ascii="Calibri" w:hAnsi="Calibri" w:cs="Calibri"/>
                <w:color w:val="000000"/>
                <w:sz w:val="20"/>
                <w:szCs w:val="20"/>
              </w:rPr>
              <w:br/>
              <w:t>KS1 Velika Ludina</w:t>
            </w:r>
          </w:p>
        </w:tc>
        <w:tc>
          <w:tcPr>
            <w:tcW w:w="1800" w:type="dxa"/>
            <w:tcBorders>
              <w:top w:val="nil"/>
              <w:left w:val="nil"/>
              <w:bottom w:val="single" w:sz="4" w:space="0" w:color="auto"/>
              <w:right w:val="single" w:sz="4" w:space="0" w:color="auto"/>
            </w:tcBorders>
            <w:shd w:val="clear" w:color="auto" w:fill="auto"/>
            <w:vAlign w:val="center"/>
            <w:hideMark/>
          </w:tcPr>
          <w:p w14:paraId="68BB1C84"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Zlobin - Bosiljevo;</w:t>
            </w:r>
            <w:r w:rsidRPr="002907BB">
              <w:rPr>
                <w:rFonts w:ascii="Calibri" w:hAnsi="Calibri" w:cs="Calibri"/>
                <w:color w:val="000000"/>
                <w:sz w:val="20"/>
                <w:szCs w:val="20"/>
              </w:rPr>
              <w:br/>
              <w:t>Bosiljevo - Sisak;</w:t>
            </w:r>
            <w:r w:rsidRPr="002907BB">
              <w:rPr>
                <w:rFonts w:ascii="Calibri" w:hAnsi="Calibri" w:cs="Calibri"/>
                <w:color w:val="000000"/>
                <w:sz w:val="20"/>
                <w:szCs w:val="20"/>
              </w:rPr>
              <w:br/>
              <w:t>Kozarac - Sisak</w:t>
            </w:r>
          </w:p>
        </w:tc>
        <w:tc>
          <w:tcPr>
            <w:tcW w:w="1800" w:type="dxa"/>
            <w:tcBorders>
              <w:top w:val="nil"/>
              <w:left w:val="nil"/>
              <w:bottom w:val="single" w:sz="4" w:space="0" w:color="auto"/>
              <w:right w:val="single" w:sz="4" w:space="0" w:color="auto"/>
            </w:tcBorders>
            <w:shd w:val="clear" w:color="auto" w:fill="auto"/>
            <w:vAlign w:val="center"/>
            <w:hideMark/>
          </w:tcPr>
          <w:p w14:paraId="6D41DBCD"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 xml:space="preserve">Kozarac - Slobodnica </w:t>
            </w:r>
          </w:p>
        </w:tc>
        <w:tc>
          <w:tcPr>
            <w:tcW w:w="1800" w:type="dxa"/>
            <w:tcBorders>
              <w:top w:val="nil"/>
              <w:left w:val="nil"/>
              <w:bottom w:val="single" w:sz="4" w:space="0" w:color="auto"/>
              <w:right w:val="single" w:sz="4" w:space="0" w:color="auto"/>
            </w:tcBorders>
            <w:shd w:val="clear" w:color="auto" w:fill="auto"/>
            <w:vAlign w:val="center"/>
            <w:hideMark/>
          </w:tcPr>
          <w:p w14:paraId="129A3E3D"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Nisu potrebni novi</w:t>
            </w:r>
            <w:r w:rsidRPr="002907BB">
              <w:rPr>
                <w:rFonts w:ascii="Calibri" w:hAnsi="Calibri" w:cs="Calibri"/>
                <w:color w:val="000000"/>
                <w:sz w:val="20"/>
                <w:szCs w:val="20"/>
              </w:rPr>
              <w:br/>
              <w:t>kapaciteti</w:t>
            </w:r>
          </w:p>
        </w:tc>
      </w:tr>
      <w:tr w:rsidR="005742C0" w:rsidRPr="002907BB" w14:paraId="14E065B9" w14:textId="77777777" w:rsidTr="005742C0">
        <w:trPr>
          <w:trHeight w:val="76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C4F4E5A" w14:textId="77777777" w:rsidR="005742C0" w:rsidRPr="002907BB" w:rsidRDefault="005742C0" w:rsidP="005742C0">
            <w:pPr>
              <w:spacing w:after="0" w:line="240" w:lineRule="auto"/>
              <w:rPr>
                <w:rFonts w:ascii="Calibri" w:hAnsi="Calibri" w:cs="Calibri"/>
                <w:b/>
                <w:bCs/>
                <w:color w:val="000000"/>
              </w:rPr>
            </w:pPr>
            <w:r w:rsidRPr="002907BB">
              <w:rPr>
                <w:rFonts w:ascii="Calibri" w:hAnsi="Calibri" w:cs="Calibri"/>
                <w:b/>
                <w:bCs/>
                <w:color w:val="000000"/>
              </w:rPr>
              <w:t xml:space="preserve">Scenarij 3 </w:t>
            </w:r>
          </w:p>
        </w:tc>
        <w:tc>
          <w:tcPr>
            <w:tcW w:w="1800" w:type="dxa"/>
            <w:tcBorders>
              <w:top w:val="nil"/>
              <w:left w:val="nil"/>
              <w:bottom w:val="single" w:sz="4" w:space="0" w:color="auto"/>
              <w:right w:val="single" w:sz="4" w:space="0" w:color="auto"/>
            </w:tcBorders>
            <w:shd w:val="clear" w:color="auto" w:fill="auto"/>
            <w:vAlign w:val="center"/>
            <w:hideMark/>
          </w:tcPr>
          <w:p w14:paraId="397DBA52"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 xml:space="preserve">Isto kao Scenarij 2 </w:t>
            </w:r>
          </w:p>
        </w:tc>
        <w:tc>
          <w:tcPr>
            <w:tcW w:w="1800" w:type="dxa"/>
            <w:tcBorders>
              <w:top w:val="nil"/>
              <w:left w:val="nil"/>
              <w:bottom w:val="single" w:sz="4" w:space="0" w:color="auto"/>
              <w:right w:val="single" w:sz="4" w:space="0" w:color="auto"/>
            </w:tcBorders>
            <w:shd w:val="clear" w:color="auto" w:fill="auto"/>
            <w:vAlign w:val="center"/>
            <w:hideMark/>
          </w:tcPr>
          <w:p w14:paraId="2761BDB9"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Isto kao Scenarij 2</w:t>
            </w:r>
          </w:p>
        </w:tc>
        <w:tc>
          <w:tcPr>
            <w:tcW w:w="1800" w:type="dxa"/>
            <w:tcBorders>
              <w:top w:val="nil"/>
              <w:left w:val="nil"/>
              <w:bottom w:val="single" w:sz="4" w:space="0" w:color="auto"/>
              <w:right w:val="single" w:sz="4" w:space="0" w:color="auto"/>
            </w:tcBorders>
            <w:shd w:val="clear" w:color="auto" w:fill="auto"/>
            <w:vAlign w:val="center"/>
            <w:hideMark/>
          </w:tcPr>
          <w:p w14:paraId="6BB82531"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Lučko - Zabok</w:t>
            </w:r>
            <w:r w:rsidRPr="002907BB">
              <w:rPr>
                <w:rFonts w:ascii="Calibri" w:hAnsi="Calibri" w:cs="Calibri"/>
                <w:color w:val="000000"/>
                <w:sz w:val="20"/>
                <w:szCs w:val="20"/>
              </w:rPr>
              <w:br/>
              <w:t>Zabok - Jezerišće</w:t>
            </w:r>
            <w:r w:rsidRPr="002907BB">
              <w:rPr>
                <w:rFonts w:ascii="Calibri" w:hAnsi="Calibri" w:cs="Calibri"/>
                <w:color w:val="000000"/>
                <w:sz w:val="20"/>
                <w:szCs w:val="20"/>
              </w:rPr>
              <w:br/>
              <w:t>Jezerišće - Sotla</w:t>
            </w:r>
          </w:p>
        </w:tc>
        <w:tc>
          <w:tcPr>
            <w:tcW w:w="1800" w:type="dxa"/>
            <w:tcBorders>
              <w:top w:val="nil"/>
              <w:left w:val="nil"/>
              <w:bottom w:val="single" w:sz="4" w:space="0" w:color="auto"/>
              <w:right w:val="single" w:sz="4" w:space="0" w:color="auto"/>
            </w:tcBorders>
            <w:shd w:val="clear" w:color="auto" w:fill="auto"/>
            <w:vAlign w:val="center"/>
            <w:hideMark/>
          </w:tcPr>
          <w:p w14:paraId="1277B17B" w14:textId="77777777" w:rsidR="005742C0" w:rsidRPr="002907BB" w:rsidRDefault="005742C0" w:rsidP="005742C0">
            <w:pPr>
              <w:spacing w:after="0" w:line="240" w:lineRule="auto"/>
              <w:rPr>
                <w:rFonts w:ascii="Calibri" w:hAnsi="Calibri" w:cs="Calibri"/>
                <w:color w:val="000000"/>
                <w:sz w:val="20"/>
                <w:szCs w:val="20"/>
              </w:rPr>
            </w:pPr>
            <w:r w:rsidRPr="002907BB">
              <w:rPr>
                <w:rFonts w:ascii="Calibri" w:hAnsi="Calibri" w:cs="Calibri"/>
                <w:color w:val="000000"/>
                <w:sz w:val="20"/>
                <w:szCs w:val="20"/>
              </w:rPr>
              <w:t>Nisu potrebni novi</w:t>
            </w:r>
            <w:r w:rsidRPr="002907BB">
              <w:rPr>
                <w:rFonts w:ascii="Calibri" w:hAnsi="Calibri" w:cs="Calibri"/>
                <w:color w:val="000000"/>
                <w:sz w:val="20"/>
                <w:szCs w:val="20"/>
              </w:rPr>
              <w:br/>
              <w:t>kapaciteti</w:t>
            </w:r>
          </w:p>
        </w:tc>
      </w:tr>
    </w:tbl>
    <w:p w14:paraId="7FAB19DC" w14:textId="77777777" w:rsidR="005742C0" w:rsidRDefault="005742C0" w:rsidP="005742C0"/>
    <w:p w14:paraId="620BFAD7" w14:textId="77777777" w:rsidR="005742C0" w:rsidRDefault="005742C0" w:rsidP="005742C0">
      <w:r>
        <w:t>Razvojni projekti operatora transportnog plinskog sustava podijeljeni su na sljedeće grupe: plinovodi, mjerno-redukcijske stanice, plinski čvorovi, napuštanje objekata izvan funkcije, kompresorske stanice, sustav nadzora i upravljanja, sustav tehničke zaštite, pogonski objekti i razvoj novih tehnologija.</w:t>
      </w:r>
    </w:p>
    <w:p w14:paraId="7F41FACF" w14:textId="77777777" w:rsidR="005742C0" w:rsidRDefault="005742C0" w:rsidP="00DB7DF8">
      <w:pPr>
        <w:suppressAutoHyphens w:val="0"/>
        <w:spacing w:after="160" w:line="259" w:lineRule="auto"/>
        <w:contextualSpacing/>
      </w:pPr>
    </w:p>
    <w:p w14:paraId="3B8BEB44" w14:textId="77777777" w:rsidR="00393F2A" w:rsidRPr="00393F2A" w:rsidRDefault="00393F2A" w:rsidP="00DB7DF8">
      <w:pPr>
        <w:suppressAutoHyphens w:val="0"/>
        <w:spacing w:after="160" w:line="259" w:lineRule="auto"/>
        <w:contextualSpacing/>
        <w:jc w:val="left"/>
        <w:rPr>
          <w:highlight w:val="yellow"/>
        </w:rPr>
      </w:pPr>
    </w:p>
    <w:p w14:paraId="31796208" w14:textId="77777777" w:rsidR="00C21988" w:rsidRDefault="00C21988" w:rsidP="00302043">
      <w:pPr>
        <w:pStyle w:val="Heading3"/>
      </w:pPr>
      <w:bookmarkStart w:id="431" w:name="_Toc531935266"/>
      <w:bookmarkStart w:id="432" w:name="_Toc531945128"/>
      <w:r>
        <w:t>Tržišta električne energije i plina, cijene energije</w:t>
      </w:r>
      <w:bookmarkEnd w:id="431"/>
      <w:bookmarkEnd w:id="432"/>
    </w:p>
    <w:p w14:paraId="18B28B79" w14:textId="2E409FAA" w:rsidR="00C21988" w:rsidRDefault="00C21988" w:rsidP="005822F8">
      <w:pPr>
        <w:pStyle w:val="ListParagraph"/>
        <w:numPr>
          <w:ilvl w:val="0"/>
          <w:numId w:val="50"/>
        </w:numPr>
        <w:tabs>
          <w:tab w:val="clear" w:pos="431"/>
        </w:tabs>
        <w:suppressAutoHyphens w:val="0"/>
        <w:spacing w:after="160" w:line="259" w:lineRule="auto"/>
        <w:contextualSpacing/>
        <w:jc w:val="left"/>
      </w:pPr>
      <w:r>
        <w:t xml:space="preserve">Trenutačno stanje na tržištima električne energije i plina, uključujući cijene energije </w:t>
      </w:r>
    </w:p>
    <w:p w14:paraId="003A00A6" w14:textId="17E4199B" w:rsidR="004013A1" w:rsidRDefault="004013A1" w:rsidP="004013A1">
      <w:pPr>
        <w:suppressAutoHyphens w:val="0"/>
        <w:spacing w:after="160" w:line="259" w:lineRule="auto"/>
        <w:contextualSpacing/>
        <w:jc w:val="left"/>
      </w:pPr>
    </w:p>
    <w:p w14:paraId="21AAC815" w14:textId="113CE2CA" w:rsidR="002719A1" w:rsidRPr="00462AD9" w:rsidRDefault="004E16BA" w:rsidP="002719A1">
      <w:r>
        <w:t>Kako</w:t>
      </w:r>
      <w:r w:rsidR="002719A1" w:rsidRPr="00462AD9">
        <w:t xml:space="preserve"> je tržište električne energije u potpunosti otvoreno, svi kupci su slobodni izabrati željenog opskrbljivača i slobodno ugovarati cijenu električne energije. U nastavku su prikazane ostvarene cijene električne energije za krajnje kupce u kategorijama kućanstvo i </w:t>
      </w:r>
      <w:r w:rsidR="00F40FAF">
        <w:t>poduzetništvo</w:t>
      </w:r>
      <w:r w:rsidR="00AC0C69">
        <w:t xml:space="preserve"> (industriju)</w:t>
      </w:r>
      <w:r w:rsidR="002719A1" w:rsidRPr="00462AD9">
        <w:t xml:space="preserve">, prema Eurostat podacima. Prikazane cijene </w:t>
      </w:r>
      <w:r w:rsidR="00AC0C69">
        <w:t xml:space="preserve">za kućanstva sadrže </w:t>
      </w:r>
      <w:r w:rsidR="002719A1" w:rsidRPr="00462AD9">
        <w:t xml:space="preserve">poreze </w:t>
      </w:r>
      <w:r w:rsidR="00AC0C69">
        <w:t>i</w:t>
      </w:r>
      <w:r w:rsidR="00AC0C69" w:rsidRPr="00462AD9">
        <w:t xml:space="preserve"> </w:t>
      </w:r>
      <w:r w:rsidR="002719A1" w:rsidRPr="00462AD9">
        <w:t>druga davanja</w:t>
      </w:r>
      <w:r w:rsidR="0052414D">
        <w:t>, dok ih cijene za poduzetništvo ne uključuju</w:t>
      </w:r>
      <w:r w:rsidR="002719A1" w:rsidRPr="00462AD9">
        <w:t>.</w:t>
      </w:r>
    </w:p>
    <w:p w14:paraId="2FCA9915" w14:textId="77777777" w:rsidR="002719A1" w:rsidRPr="00462AD9" w:rsidRDefault="002719A1" w:rsidP="002719A1">
      <w:r w:rsidRPr="00462AD9">
        <w:rPr>
          <w:noProof/>
        </w:rPr>
        <w:drawing>
          <wp:inline distT="0" distB="0" distL="0" distR="0" wp14:anchorId="651668E1" wp14:editId="27C27228">
            <wp:extent cx="5400000" cy="3243600"/>
            <wp:effectExtent l="0" t="0" r="0" b="0"/>
            <wp:docPr id="1276464150" name="Picture 12764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00000" cy="3243600"/>
                    </a:xfrm>
                    <a:prstGeom prst="rect">
                      <a:avLst/>
                    </a:prstGeom>
                    <a:noFill/>
                    <a:ln>
                      <a:noFill/>
                    </a:ln>
                  </pic:spPr>
                </pic:pic>
              </a:graphicData>
            </a:graphic>
          </wp:inline>
        </w:drawing>
      </w:r>
    </w:p>
    <w:p w14:paraId="0A5F911A" w14:textId="130E93E3" w:rsidR="002719A1" w:rsidRPr="00462AD9" w:rsidRDefault="002719A1" w:rsidP="002719A1">
      <w:pPr>
        <w:pStyle w:val="Naslovslike"/>
        <w:spacing w:after="120"/>
      </w:pPr>
      <w:bookmarkStart w:id="433" w:name="_Toc528672925"/>
      <w:bookmarkStart w:id="434" w:name="_Toc531935310"/>
      <w:r w:rsidRPr="00462AD9">
        <w:t xml:space="preserve">Slika </w:t>
      </w:r>
      <w:fldSimple w:instr=" STYLEREF 1 \s ">
        <w:r w:rsidR="00856D97">
          <w:rPr>
            <w:noProof/>
          </w:rPr>
          <w:t>4</w:t>
        </w:r>
      </w:fldSimple>
      <w:r w:rsidR="00856D97">
        <w:noBreakHyphen/>
      </w:r>
      <w:fldSimple w:instr=" SEQ Slika \* ARABIC \s 1 ">
        <w:r w:rsidR="00856D97">
          <w:rPr>
            <w:noProof/>
          </w:rPr>
          <w:t>20</w:t>
        </w:r>
      </w:fldSimple>
      <w:r w:rsidRPr="00462AD9">
        <w:t>. Cijene električne energije za kupce u Hrvatskoj u kategoriji kućanstvo</w:t>
      </w:r>
      <w:bookmarkEnd w:id="433"/>
      <w:bookmarkEnd w:id="434"/>
    </w:p>
    <w:p w14:paraId="0F4E3717" w14:textId="77777777" w:rsidR="002719A1" w:rsidRPr="00462AD9" w:rsidRDefault="002719A1" w:rsidP="002719A1">
      <w:pPr>
        <w:pStyle w:val="Slike"/>
        <w:keepNext w:val="0"/>
      </w:pPr>
      <w:r w:rsidRPr="00462AD9">
        <w:t>Izvor: Eurostat</w:t>
      </w:r>
    </w:p>
    <w:p w14:paraId="46A41A03" w14:textId="77777777" w:rsidR="002719A1" w:rsidRPr="00462AD9" w:rsidRDefault="002719A1" w:rsidP="002719A1">
      <w:pPr>
        <w:pStyle w:val="Naslovslike"/>
      </w:pPr>
      <w:r w:rsidRPr="00462AD9">
        <w:rPr>
          <w:noProof/>
        </w:rPr>
        <w:drawing>
          <wp:inline distT="0" distB="0" distL="0" distR="0" wp14:anchorId="69A22A04" wp14:editId="0D32D238">
            <wp:extent cx="5400000" cy="3243600"/>
            <wp:effectExtent l="0" t="0" r="0" b="0"/>
            <wp:docPr id="1276464151" name="Picture 127646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400000" cy="3243600"/>
                    </a:xfrm>
                    <a:prstGeom prst="rect">
                      <a:avLst/>
                    </a:prstGeom>
                    <a:noFill/>
                    <a:ln>
                      <a:noFill/>
                    </a:ln>
                  </pic:spPr>
                </pic:pic>
              </a:graphicData>
            </a:graphic>
          </wp:inline>
        </w:drawing>
      </w:r>
    </w:p>
    <w:p w14:paraId="2086C8D2" w14:textId="07707D40" w:rsidR="002719A1" w:rsidRPr="00462AD9" w:rsidRDefault="002719A1" w:rsidP="002719A1">
      <w:pPr>
        <w:pStyle w:val="Naslovslike"/>
        <w:spacing w:after="120"/>
      </w:pPr>
      <w:bookmarkStart w:id="435" w:name="_Toc528672926"/>
      <w:bookmarkStart w:id="436" w:name="_Toc531935311"/>
      <w:r w:rsidRPr="00462AD9">
        <w:t xml:space="preserve">Slika </w:t>
      </w:r>
      <w:fldSimple w:instr=" STYLEREF 1 \s ">
        <w:r w:rsidR="00856D97">
          <w:rPr>
            <w:noProof/>
          </w:rPr>
          <w:t>4</w:t>
        </w:r>
      </w:fldSimple>
      <w:r w:rsidR="00856D97">
        <w:noBreakHyphen/>
      </w:r>
      <w:fldSimple w:instr=" SEQ Slika \* ARABIC \s 1 ">
        <w:r w:rsidR="00856D97">
          <w:rPr>
            <w:noProof/>
          </w:rPr>
          <w:t>21</w:t>
        </w:r>
      </w:fldSimple>
      <w:r w:rsidRPr="00462AD9">
        <w:t>. Cijene električne energije za kupce u Hrvatskoj u kategoriji poduzetništvo</w:t>
      </w:r>
      <w:bookmarkEnd w:id="435"/>
      <w:bookmarkEnd w:id="436"/>
    </w:p>
    <w:p w14:paraId="6DD2F10F" w14:textId="77777777" w:rsidR="002719A1" w:rsidRPr="00462AD9" w:rsidRDefault="002719A1" w:rsidP="002719A1">
      <w:pPr>
        <w:pStyle w:val="Slike"/>
        <w:keepNext w:val="0"/>
      </w:pPr>
      <w:r w:rsidRPr="00462AD9">
        <w:t>Izvor: Eurostat</w:t>
      </w:r>
    </w:p>
    <w:p w14:paraId="3B5979BC" w14:textId="256CEDCF" w:rsidR="00B51BCC" w:rsidRDefault="00B51BCC" w:rsidP="00B51BCC">
      <w:pPr>
        <w:suppressAutoHyphens w:val="0"/>
        <w:spacing w:after="160" w:line="259" w:lineRule="auto"/>
        <w:contextualSpacing/>
        <w:jc w:val="left"/>
      </w:pPr>
    </w:p>
    <w:p w14:paraId="17F46A3B" w14:textId="77777777" w:rsidR="00B51BCC" w:rsidRPr="00462AD9" w:rsidRDefault="00B51BCC" w:rsidP="00B51BCC">
      <w:r w:rsidRPr="00462AD9">
        <w:t xml:space="preserve">U nastavku su prikazane </w:t>
      </w:r>
      <w:r>
        <w:t>povijesne</w:t>
      </w:r>
      <w:r w:rsidRPr="00462AD9">
        <w:t xml:space="preserve"> cijene </w:t>
      </w:r>
      <w:r>
        <w:t>prirodnog plina</w:t>
      </w:r>
      <w:r w:rsidRPr="00462AD9">
        <w:t xml:space="preserve"> za krajnje kupce u kategorijama kućanstvo i industrija, prema </w:t>
      </w:r>
      <w:r>
        <w:t xml:space="preserve">podacima </w:t>
      </w:r>
      <w:r w:rsidRPr="00462AD9">
        <w:t>Eurostat</w:t>
      </w:r>
      <w:r>
        <w:t>a</w:t>
      </w:r>
      <w:r w:rsidRPr="00462AD9">
        <w:t xml:space="preserve">. Prikazane cijene </w:t>
      </w:r>
      <w:r>
        <w:t>prirodnog plina za kućanstva uključuje porez na dodanu vrijednost, a cijene prirodnog plina za industriju iskazane su bez PDV-a</w:t>
      </w:r>
      <w:r w:rsidRPr="00462AD9">
        <w:t>.</w:t>
      </w:r>
    </w:p>
    <w:p w14:paraId="169C099E" w14:textId="77777777" w:rsidR="00B51BCC" w:rsidRPr="00462AD9" w:rsidRDefault="00B51BCC" w:rsidP="00B51BCC">
      <w:pPr>
        <w:jc w:val="center"/>
      </w:pPr>
      <w:r>
        <w:rPr>
          <w:noProof/>
        </w:rPr>
        <w:drawing>
          <wp:inline distT="0" distB="0" distL="0" distR="0" wp14:anchorId="06D84FFF" wp14:editId="3381A1E9">
            <wp:extent cx="5040000" cy="3024000"/>
            <wp:effectExtent l="0" t="0" r="8255" b="508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7B299E01" w14:textId="59769F6A" w:rsidR="00B51BCC" w:rsidRPr="00462AD9" w:rsidRDefault="00B51BCC" w:rsidP="00B51BCC">
      <w:pPr>
        <w:pStyle w:val="Naslovslike"/>
        <w:spacing w:after="120"/>
      </w:pPr>
      <w:bookmarkStart w:id="437" w:name="_Toc531935312"/>
      <w:r w:rsidRPr="00462AD9">
        <w:t xml:space="preserve">Slika </w:t>
      </w:r>
      <w:fldSimple w:instr=" STYLEREF 1 \s ">
        <w:r w:rsidR="00856D97">
          <w:rPr>
            <w:noProof/>
          </w:rPr>
          <w:t>4</w:t>
        </w:r>
      </w:fldSimple>
      <w:r w:rsidR="00856D97">
        <w:noBreakHyphen/>
      </w:r>
      <w:fldSimple w:instr=" SEQ Slika \* ARABIC \s 1 ">
        <w:r w:rsidR="00856D97">
          <w:rPr>
            <w:noProof/>
          </w:rPr>
          <w:t>22</w:t>
        </w:r>
      </w:fldSimple>
      <w:r w:rsidRPr="00462AD9">
        <w:t xml:space="preserve">. Cijene </w:t>
      </w:r>
      <w:r>
        <w:t>prirodnog plina</w:t>
      </w:r>
      <w:r w:rsidRPr="00462AD9">
        <w:t xml:space="preserve"> za kupce u Hrvatskoj u kategoriji kućanstvo</w:t>
      </w:r>
      <w:bookmarkEnd w:id="437"/>
    </w:p>
    <w:p w14:paraId="069F81A1" w14:textId="77777777" w:rsidR="00B51BCC" w:rsidRPr="00462AD9" w:rsidRDefault="00B51BCC" w:rsidP="00B51BCC">
      <w:pPr>
        <w:pStyle w:val="Slike"/>
        <w:keepNext w:val="0"/>
      </w:pPr>
      <w:r w:rsidRPr="00462AD9">
        <w:t>Izvor: Eurostat</w:t>
      </w:r>
    </w:p>
    <w:p w14:paraId="303CBB4E" w14:textId="77777777" w:rsidR="00B51BCC" w:rsidRPr="00462AD9" w:rsidRDefault="00B51BCC" w:rsidP="00B51BCC">
      <w:pPr>
        <w:pStyle w:val="Naslovslike"/>
      </w:pPr>
      <w:r>
        <w:rPr>
          <w:noProof/>
        </w:rPr>
        <w:drawing>
          <wp:inline distT="0" distB="0" distL="0" distR="0" wp14:anchorId="0F2D2AEF" wp14:editId="52D4CAA5">
            <wp:extent cx="5040000" cy="3024000"/>
            <wp:effectExtent l="0" t="0" r="8255" b="508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24EA738F" w14:textId="699F5902" w:rsidR="00B51BCC" w:rsidRPr="00462AD9" w:rsidRDefault="00B51BCC" w:rsidP="00B51BCC">
      <w:pPr>
        <w:pStyle w:val="Naslovslike"/>
        <w:spacing w:after="120"/>
      </w:pPr>
      <w:bookmarkStart w:id="438" w:name="_Toc531935313"/>
      <w:r w:rsidRPr="00462AD9">
        <w:t xml:space="preserve">Slika </w:t>
      </w:r>
      <w:fldSimple w:instr=" STYLEREF 1 \s ">
        <w:r w:rsidR="00856D97">
          <w:rPr>
            <w:noProof/>
          </w:rPr>
          <w:t>4</w:t>
        </w:r>
      </w:fldSimple>
      <w:r w:rsidR="00856D97">
        <w:noBreakHyphen/>
      </w:r>
      <w:fldSimple w:instr=" SEQ Slika \* ARABIC \s 1 ">
        <w:r w:rsidR="00856D97">
          <w:rPr>
            <w:noProof/>
          </w:rPr>
          <w:t>23</w:t>
        </w:r>
      </w:fldSimple>
      <w:r w:rsidRPr="00462AD9">
        <w:t xml:space="preserve">. Cijene </w:t>
      </w:r>
      <w:r w:rsidR="00F2485C">
        <w:t>prirodnog plina</w:t>
      </w:r>
      <w:r w:rsidR="00F2485C" w:rsidRPr="00462AD9">
        <w:t xml:space="preserve"> </w:t>
      </w:r>
      <w:r w:rsidRPr="00462AD9">
        <w:t>za kupce u Hrvatskoj u kategoriji poduzetništvo</w:t>
      </w:r>
      <w:bookmarkEnd w:id="438"/>
    </w:p>
    <w:p w14:paraId="515FEEB8" w14:textId="77777777" w:rsidR="00B51BCC" w:rsidRPr="00462AD9" w:rsidRDefault="00B51BCC" w:rsidP="00B51BCC">
      <w:pPr>
        <w:pStyle w:val="Slike"/>
        <w:keepNext w:val="0"/>
      </w:pPr>
      <w:r w:rsidRPr="00462AD9">
        <w:t>Izvor: Eurostat</w:t>
      </w:r>
    </w:p>
    <w:p w14:paraId="58C55579" w14:textId="77777777" w:rsidR="00B51BCC" w:rsidRDefault="00B51BCC" w:rsidP="00CF2D4C">
      <w:pPr>
        <w:suppressAutoHyphens w:val="0"/>
        <w:spacing w:after="160" w:line="259" w:lineRule="auto"/>
        <w:contextualSpacing/>
        <w:jc w:val="left"/>
      </w:pPr>
    </w:p>
    <w:p w14:paraId="21904D74" w14:textId="56A2B729" w:rsidR="005662DF" w:rsidRPr="00CF2D4C" w:rsidRDefault="005662DF" w:rsidP="005662DF">
      <w:pPr>
        <w:pStyle w:val="ListParagraph"/>
        <w:numPr>
          <w:ilvl w:val="0"/>
          <w:numId w:val="50"/>
        </w:numPr>
        <w:tabs>
          <w:tab w:val="clear" w:pos="431"/>
        </w:tabs>
        <w:suppressAutoHyphens w:val="0"/>
        <w:spacing w:after="160" w:line="259" w:lineRule="auto"/>
        <w:contextualSpacing/>
        <w:jc w:val="left"/>
      </w:pPr>
      <w:r w:rsidRPr="00CF2D4C">
        <w:t>Projekcije kretanja uz postojeće politike i mjere barem do 2040. (uključujući projekcije za 2030.)</w:t>
      </w:r>
    </w:p>
    <w:p w14:paraId="5076C54F" w14:textId="3E40A6C1" w:rsidR="002719A1" w:rsidRDefault="002719A1" w:rsidP="002719A1">
      <w:r>
        <w:t>Procjena kretanja troška proizvodnje električne energije za scenarij s postojećim mjerama temeljem očekivanog razvoja prikazana je na sljedećoj slici. Prikazana procjena uključuje anualizirane investicije izgradnje novih elektrana, troškove goriva i ostalih troškova pogona svih elektrana, kao i troškove emisijskih jedinica. Procjena ne uključuje anuitete postrojenja koja su već u pogonu. Do 2030. godine pretpostavljeno je postupno smanjenje uvoza električne energije.</w:t>
      </w:r>
    </w:p>
    <w:p w14:paraId="777C4116" w14:textId="77777777" w:rsidR="002719A1" w:rsidRDefault="002719A1" w:rsidP="002719A1">
      <w:pPr>
        <w:jc w:val="center"/>
      </w:pPr>
      <w:r w:rsidRPr="00CD60FE">
        <w:rPr>
          <w:noProof/>
        </w:rPr>
        <w:drawing>
          <wp:inline distT="0" distB="0" distL="0" distR="0" wp14:anchorId="71B75DFF" wp14:editId="229DED8F">
            <wp:extent cx="5400000" cy="3243600"/>
            <wp:effectExtent l="0" t="0" r="0" b="0"/>
            <wp:docPr id="218790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0" cy="3243600"/>
                    </a:xfrm>
                    <a:prstGeom prst="rect">
                      <a:avLst/>
                    </a:prstGeom>
                    <a:noFill/>
                    <a:ln>
                      <a:noFill/>
                    </a:ln>
                  </pic:spPr>
                </pic:pic>
              </a:graphicData>
            </a:graphic>
          </wp:inline>
        </w:drawing>
      </w:r>
    </w:p>
    <w:p w14:paraId="74D9DD94" w14:textId="41BDA9EE" w:rsidR="002719A1" w:rsidRPr="00462AD9" w:rsidRDefault="002719A1" w:rsidP="002719A1">
      <w:pPr>
        <w:pStyle w:val="Naslovslike"/>
        <w:spacing w:after="120"/>
      </w:pPr>
      <w:bookmarkStart w:id="439" w:name="_Toc531935314"/>
      <w:r w:rsidRPr="00462AD9">
        <w:t xml:space="preserve">Slika </w:t>
      </w:r>
      <w:fldSimple w:instr=" STYLEREF 1 \s ">
        <w:r w:rsidR="00856D97">
          <w:rPr>
            <w:noProof/>
          </w:rPr>
          <w:t>4</w:t>
        </w:r>
      </w:fldSimple>
      <w:r w:rsidR="00856D97">
        <w:noBreakHyphen/>
      </w:r>
      <w:fldSimple w:instr=" SEQ Slika \* ARABIC \s 1 ">
        <w:r w:rsidR="00856D97">
          <w:rPr>
            <w:noProof/>
          </w:rPr>
          <w:t>24</w:t>
        </w:r>
      </w:fldSimple>
      <w:r w:rsidRPr="00462AD9">
        <w:t>. Cijene električne energije za kupce u Hrvatskoj u kategoriji poduzetništvo</w:t>
      </w:r>
      <w:bookmarkEnd w:id="439"/>
    </w:p>
    <w:p w14:paraId="24B70063" w14:textId="4FA2C047" w:rsidR="002719A1" w:rsidRDefault="002719A1" w:rsidP="004013A1">
      <w:pPr>
        <w:suppressAutoHyphens w:val="0"/>
        <w:spacing w:after="160" w:line="259" w:lineRule="auto"/>
        <w:contextualSpacing/>
        <w:jc w:val="left"/>
      </w:pPr>
    </w:p>
    <w:p w14:paraId="1881127A" w14:textId="6215C904" w:rsidR="00975884" w:rsidRDefault="00975884" w:rsidP="00975884">
      <w:r>
        <w:t>U nastavku je prikazana procjena kretanja cijena prirodnog plina do 2040. godine</w:t>
      </w:r>
      <w:r w:rsidR="00184F37">
        <w:t xml:space="preserve"> [</w:t>
      </w:r>
      <w:r w:rsidR="00184F37">
        <w:fldChar w:fldCharType="begin"/>
      </w:r>
      <w:r w:rsidR="00184F37">
        <w:instrText xml:space="preserve"> REF _Ref531862952 \r \h </w:instrText>
      </w:r>
      <w:r w:rsidR="00184F37">
        <w:fldChar w:fldCharType="separate"/>
      </w:r>
      <w:r w:rsidR="00E5423A">
        <w:t>17</w:t>
      </w:r>
      <w:r w:rsidR="00184F37">
        <w:fldChar w:fldCharType="end"/>
      </w:r>
      <w:r w:rsidR="00184F37">
        <w:t>]</w:t>
      </w:r>
      <w:r>
        <w:t>.</w:t>
      </w:r>
    </w:p>
    <w:p w14:paraId="33A09FE2" w14:textId="77777777" w:rsidR="00975884" w:rsidRDefault="00975884" w:rsidP="00975884">
      <w:pPr>
        <w:jc w:val="center"/>
      </w:pPr>
      <w:r>
        <w:rPr>
          <w:noProof/>
        </w:rPr>
        <w:drawing>
          <wp:inline distT="0" distB="0" distL="0" distR="0" wp14:anchorId="7779BB4D" wp14:editId="14136326">
            <wp:extent cx="5040000" cy="3024000"/>
            <wp:effectExtent l="0" t="0" r="8255"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7885A1A6" w14:textId="6DAD7B0F" w:rsidR="00975884" w:rsidRDefault="00975884" w:rsidP="00975884">
      <w:pPr>
        <w:pStyle w:val="Naslovslike"/>
        <w:spacing w:after="120"/>
      </w:pPr>
      <w:bookmarkStart w:id="440" w:name="_Toc531935315"/>
      <w:r w:rsidRPr="00462AD9">
        <w:t xml:space="preserve">Slika </w:t>
      </w:r>
      <w:fldSimple w:instr=" STYLEREF 1 \s ">
        <w:r w:rsidR="00856D97">
          <w:rPr>
            <w:noProof/>
          </w:rPr>
          <w:t>4</w:t>
        </w:r>
      </w:fldSimple>
      <w:r w:rsidR="00856D97">
        <w:noBreakHyphen/>
      </w:r>
      <w:fldSimple w:instr=" SEQ Slika \* ARABIC \s 1 ">
        <w:r w:rsidR="00856D97">
          <w:rPr>
            <w:noProof/>
          </w:rPr>
          <w:t>25</w:t>
        </w:r>
      </w:fldSimple>
      <w:r w:rsidRPr="00462AD9">
        <w:t xml:space="preserve">. </w:t>
      </w:r>
      <w:r>
        <w:t>Projekcije cijena prirodnog plina prema World Energy Outlook 2018</w:t>
      </w:r>
      <w:bookmarkEnd w:id="440"/>
    </w:p>
    <w:p w14:paraId="481F6530" w14:textId="77777777" w:rsidR="00975884" w:rsidRPr="00462AD9" w:rsidRDefault="00975884" w:rsidP="00975884">
      <w:pPr>
        <w:pStyle w:val="Naslovslike"/>
        <w:spacing w:after="120"/>
      </w:pPr>
    </w:p>
    <w:p w14:paraId="3D967211" w14:textId="77777777" w:rsidR="00975884" w:rsidRDefault="00975884" w:rsidP="004013A1">
      <w:pPr>
        <w:suppressAutoHyphens w:val="0"/>
        <w:spacing w:after="160" w:line="259" w:lineRule="auto"/>
        <w:contextualSpacing/>
        <w:jc w:val="left"/>
      </w:pPr>
    </w:p>
    <w:p w14:paraId="16DAAB87" w14:textId="77777777" w:rsidR="00C21988" w:rsidRDefault="00C21988" w:rsidP="00C21988">
      <w:pPr>
        <w:pStyle w:val="Heading2"/>
      </w:pPr>
      <w:bookmarkStart w:id="441" w:name="_Toc531935267"/>
      <w:bookmarkStart w:id="442" w:name="_Toc531945129"/>
      <w:r>
        <w:t>Dimenzija: istraživanje, inovacije i konkurentnost</w:t>
      </w:r>
      <w:bookmarkEnd w:id="441"/>
      <w:bookmarkEnd w:id="442"/>
    </w:p>
    <w:p w14:paraId="5DF30F51" w14:textId="2BD49E9B" w:rsidR="00C21988" w:rsidRDefault="00C21988" w:rsidP="00CF2D4C">
      <w:pPr>
        <w:pStyle w:val="Heading3"/>
      </w:pPr>
      <w:bookmarkStart w:id="443" w:name="_Toc531935268"/>
      <w:bookmarkStart w:id="444" w:name="_Toc531945130"/>
      <w:r>
        <w:t>Trenutačno stanje niskougljičnih tehnologija i</w:t>
      </w:r>
      <w:r w:rsidR="001738BF">
        <w:t xml:space="preserve"> </w:t>
      </w:r>
      <w:r>
        <w:t xml:space="preserve">njihov položaj na </w:t>
      </w:r>
      <w:r w:rsidR="00121F32">
        <w:t xml:space="preserve">EU </w:t>
      </w:r>
      <w:r>
        <w:t>tržištu</w:t>
      </w:r>
      <w:bookmarkEnd w:id="443"/>
      <w:bookmarkEnd w:id="444"/>
      <w:r>
        <w:t xml:space="preserve"> </w:t>
      </w:r>
    </w:p>
    <w:p w14:paraId="0EAC67C0" w14:textId="3EA89B93" w:rsidR="009A7F0D" w:rsidRDefault="008E28E2" w:rsidP="00CF2D4C">
      <w:pPr>
        <w:suppressAutoHyphens w:val="0"/>
        <w:spacing w:line="259" w:lineRule="auto"/>
      </w:pPr>
      <w:r>
        <w:t>Područje niskougljičnih teh</w:t>
      </w:r>
      <w:r w:rsidR="00374BF2">
        <w:t>n</w:t>
      </w:r>
      <w:r>
        <w:t>ologija srodno je tematskom prioritet</w:t>
      </w:r>
      <w:r w:rsidR="009D27D1">
        <w:t xml:space="preserve">om području energetika i okoliš Strategije pametne specijalizacije. </w:t>
      </w:r>
      <w:r w:rsidR="0062625F" w:rsidRPr="0062625F">
        <w:t xml:space="preserve">Unutar ovog </w:t>
      </w:r>
      <w:r w:rsidR="00F01170">
        <w:t>podru</w:t>
      </w:r>
      <w:r w:rsidR="0012198B">
        <w:t>čja</w:t>
      </w:r>
      <w:r w:rsidR="0062625F" w:rsidRPr="0062625F">
        <w:t xml:space="preserve"> postoji mogućnost značajno doprinijeti globalnim izazovima u odnosu na sigurnu, čistu i učinkovitu energiju, klimatske promjene te učinkovitost resursa. </w:t>
      </w:r>
    </w:p>
    <w:p w14:paraId="3CFD567C" w14:textId="7288A9C0" w:rsidR="008272EB" w:rsidRDefault="008272EB" w:rsidP="00CF2D4C">
      <w:pPr>
        <w:suppressAutoHyphens w:val="0"/>
        <w:spacing w:line="259" w:lineRule="auto"/>
      </w:pPr>
      <w:r>
        <w:t>U okviru ovog područja identificirane su sljedeće prednosti:</w:t>
      </w:r>
    </w:p>
    <w:p w14:paraId="2ACDF304" w14:textId="45926AC2" w:rsidR="00232508" w:rsidRDefault="00B90F8D" w:rsidP="00CF2D4C">
      <w:pPr>
        <w:pStyle w:val="ListParagraph"/>
        <w:numPr>
          <w:ilvl w:val="0"/>
          <w:numId w:val="119"/>
        </w:numPr>
        <w:suppressAutoHyphens w:val="0"/>
        <w:spacing w:line="259" w:lineRule="auto"/>
      </w:pPr>
      <w:r>
        <w:t>I</w:t>
      </w:r>
      <w:r w:rsidR="00232508" w:rsidRPr="00232508">
        <w:t>ndustrijskih kapacitet</w:t>
      </w:r>
      <w:r>
        <w:t>i</w:t>
      </w:r>
      <w:r w:rsidR="00232508" w:rsidRPr="00232508">
        <w:t xml:space="preserve"> vezan</w:t>
      </w:r>
      <w:r w:rsidR="00106CFA">
        <w:t>i</w:t>
      </w:r>
      <w:r w:rsidR="00232508" w:rsidRPr="00232508">
        <w:t xml:space="preserve"> za električnu opremu za elektroenergetske sustave (npr. naponskih i distributivnih transformatora, rotacijskih strojeva, vjetroagregata, fotonaponskih panela) i prateć</w:t>
      </w:r>
      <w:r w:rsidR="00106CFA">
        <w:t>a</w:t>
      </w:r>
      <w:r w:rsidR="00232508" w:rsidRPr="00232508">
        <w:t xml:space="preserve"> industrij</w:t>
      </w:r>
      <w:r w:rsidR="00106CFA">
        <w:t>a</w:t>
      </w:r>
      <w:r w:rsidR="00232508" w:rsidRPr="00232508">
        <w:t xml:space="preserve"> za stvaranje velikih konstrukcija od metala i betona (brodogradilišta)</w:t>
      </w:r>
    </w:p>
    <w:p w14:paraId="4F278B6C" w14:textId="4B0327CB" w:rsidR="009A7F0D" w:rsidRDefault="00106CFA" w:rsidP="00CF2D4C">
      <w:pPr>
        <w:pStyle w:val="ListParagraph"/>
        <w:numPr>
          <w:ilvl w:val="0"/>
          <w:numId w:val="119"/>
        </w:numPr>
        <w:suppressAutoHyphens w:val="0"/>
        <w:spacing w:line="259" w:lineRule="auto"/>
        <w:jc w:val="left"/>
      </w:pPr>
      <w:r>
        <w:t>T</w:t>
      </w:r>
      <w:r w:rsidRPr="00106CFA">
        <w:t>radicija i iskustvo u projektiranju i izgradnji energetskih postrojenja, dalekovoda, trafostanica i kontrolnih sustava s vrlo dobrim globalnim izvoznim potencijalima</w:t>
      </w:r>
    </w:p>
    <w:p w14:paraId="2994D4F0" w14:textId="057E1F90" w:rsidR="00220B5D" w:rsidRDefault="00220B5D" w:rsidP="00CF2D4C">
      <w:pPr>
        <w:pStyle w:val="ListParagraph"/>
        <w:numPr>
          <w:ilvl w:val="0"/>
          <w:numId w:val="119"/>
        </w:numPr>
        <w:suppressAutoHyphens w:val="0"/>
        <w:spacing w:line="259" w:lineRule="auto"/>
        <w:jc w:val="left"/>
      </w:pPr>
      <w:r>
        <w:t>Prisutnost prirodnih resursa pogodnih za proizvodnju energije iz obnovljivih izvora (vodnih resursa - gradnja i opremanje hidroelektrana, bio-postrojenja koja mogu preuzeti ostatke iz hrvatskog poljoprivrednog sektora, vjetra koji će se koristiti za daljnje tehnološke nadogradnje i ulaganja u području vjetroelektrana i slično)</w:t>
      </w:r>
    </w:p>
    <w:p w14:paraId="4DB9C12C" w14:textId="1D166D6B" w:rsidR="00220B5D" w:rsidRDefault="00776C67" w:rsidP="00CF2D4C">
      <w:pPr>
        <w:pStyle w:val="ListParagraph"/>
        <w:numPr>
          <w:ilvl w:val="0"/>
          <w:numId w:val="119"/>
        </w:numPr>
        <w:suppressAutoHyphens w:val="0"/>
        <w:spacing w:line="259" w:lineRule="auto"/>
        <w:jc w:val="left"/>
      </w:pPr>
      <w:r>
        <w:t>B</w:t>
      </w:r>
      <w:r w:rsidR="00220B5D">
        <w:t>rojne obrazovne ustanove i sveučilišni programi u kojima se studenti obrazuju u područjima proizvodnje, inženjeringa i održavanja</w:t>
      </w:r>
    </w:p>
    <w:p w14:paraId="6A34817C" w14:textId="00706CA7" w:rsidR="00220B5D" w:rsidRDefault="00776C67" w:rsidP="00CF2D4C">
      <w:pPr>
        <w:pStyle w:val="ListParagraph"/>
        <w:numPr>
          <w:ilvl w:val="0"/>
          <w:numId w:val="119"/>
        </w:numPr>
        <w:suppressAutoHyphens w:val="0"/>
        <w:spacing w:line="259" w:lineRule="auto"/>
        <w:jc w:val="left"/>
      </w:pPr>
      <w:r>
        <w:t>O</w:t>
      </w:r>
      <w:r w:rsidR="00220B5D">
        <w:t>dređen broj javnih i privatnih istraživačkih organizacija s dokazanim sposobnostima u ovom području koje mogu podržati i unaprijediti konkurentnost industrije kroz istraživanje i razvoj</w:t>
      </w:r>
    </w:p>
    <w:p w14:paraId="531A63EC" w14:textId="7EFBE8BF" w:rsidR="00220B5D" w:rsidRDefault="00776C67" w:rsidP="00CF2D4C">
      <w:pPr>
        <w:pStyle w:val="ListParagraph"/>
        <w:numPr>
          <w:ilvl w:val="0"/>
          <w:numId w:val="119"/>
        </w:numPr>
        <w:suppressAutoHyphens w:val="0"/>
        <w:spacing w:line="259" w:lineRule="auto"/>
        <w:jc w:val="left"/>
      </w:pPr>
      <w:r>
        <w:t>P</w:t>
      </w:r>
      <w:r w:rsidR="00220B5D">
        <w:t>ostojeće tržište koje zahtjeva nadogradnju i proširenje proizvodnih kapaciteta</w:t>
      </w:r>
    </w:p>
    <w:p w14:paraId="0E1B9D84" w14:textId="03F9A53F" w:rsidR="00220B5D" w:rsidRDefault="009547B2" w:rsidP="00220B5D">
      <w:pPr>
        <w:suppressAutoHyphens w:val="0"/>
        <w:spacing w:line="259" w:lineRule="auto"/>
        <w:jc w:val="left"/>
      </w:pPr>
      <w:r>
        <w:t>Unutar područja definirana su dva pod-tematska prioritetna područja, i to:</w:t>
      </w:r>
    </w:p>
    <w:p w14:paraId="1B4513DE" w14:textId="53B9E233" w:rsidR="009547B2" w:rsidRDefault="009A26BA" w:rsidP="00CF2D4C">
      <w:pPr>
        <w:pStyle w:val="ListParagraph"/>
        <w:numPr>
          <w:ilvl w:val="0"/>
          <w:numId w:val="120"/>
        </w:numPr>
        <w:suppressAutoHyphens w:val="0"/>
        <w:spacing w:line="259" w:lineRule="auto"/>
        <w:jc w:val="left"/>
      </w:pPr>
      <w:r w:rsidRPr="009A26BA">
        <w:t>Energetske tehnologije, sustavi i oprema</w:t>
      </w:r>
      <w:r>
        <w:t>,</w:t>
      </w:r>
    </w:p>
    <w:p w14:paraId="58BBFFA6" w14:textId="2753C504" w:rsidR="009A26BA" w:rsidRDefault="009A26BA" w:rsidP="00CF2D4C">
      <w:pPr>
        <w:pStyle w:val="ListParagraph"/>
        <w:numPr>
          <w:ilvl w:val="0"/>
          <w:numId w:val="120"/>
        </w:numPr>
        <w:suppressAutoHyphens w:val="0"/>
        <w:spacing w:line="259" w:lineRule="auto"/>
        <w:jc w:val="left"/>
      </w:pPr>
      <w:r w:rsidRPr="009A26BA">
        <w:t>Ekološki prihvatljive tehnologije, oprema i napredni materijali</w:t>
      </w:r>
      <w:r>
        <w:t>.</w:t>
      </w:r>
    </w:p>
    <w:p w14:paraId="509F75E2" w14:textId="211CE8F1" w:rsidR="00C21988" w:rsidRDefault="00C21988" w:rsidP="00F76482">
      <w:pPr>
        <w:pStyle w:val="Heading3"/>
      </w:pPr>
      <w:bookmarkStart w:id="445" w:name="_Toc531935269"/>
      <w:bookmarkStart w:id="446" w:name="_Toc531945131"/>
      <w:r>
        <w:t>Trenutačna razina javne i</w:t>
      </w:r>
      <w:r w:rsidR="005D79B8">
        <w:t xml:space="preserve"> </w:t>
      </w:r>
      <w:r>
        <w:t>privatne potrošnje za istraživanja i inovacije u području niskougljičnih tehnologija, trenutačni broj patenata i trenutačni broj istraživača</w:t>
      </w:r>
      <w:bookmarkEnd w:id="445"/>
      <w:bookmarkEnd w:id="446"/>
    </w:p>
    <w:p w14:paraId="243BE004" w14:textId="2FC4C717" w:rsidR="004A5113" w:rsidRDefault="004A5113" w:rsidP="004A5113">
      <w:r>
        <w:t>Prema procjeni za 2017., bruto domaći izdaci za istraživanje i razvoj (eng. Gross Domestic Expenditure on Research and Development, GDERD)</w:t>
      </w:r>
      <w:r w:rsidR="00461782">
        <w:t xml:space="preserve"> </w:t>
      </w:r>
      <w:r>
        <w:t>iznosili su 0,86 % BDP-a . Do 2020. godine postavljen je cilj od 1,4 % udjela u BDP-u dok je cilj na razini EU 3% što pokazuje da RH zaostaje u financiranju istraživanja, razvoja i inovacija u odnosu na prosjek EU. U 2017. udio javnih izdataka za istraživanje i razvoj u BDP-u</w:t>
      </w:r>
      <w:r w:rsidR="00461782">
        <w:t xml:space="preserve"> </w:t>
      </w:r>
      <w:r>
        <w:t>tijekom 2017. iznosio je 0,43% dok je prosjek za EU bio 0,69%. Udio izdataka privatnih poduzeća u BDP-u</w:t>
      </w:r>
      <w:r w:rsidR="00461782">
        <w:t xml:space="preserve"> </w:t>
      </w:r>
      <w:r>
        <w:t xml:space="preserve">tijekom 2017. iznosio je također 0,43% dok je prosjeku EU bio 1,36%. </w:t>
      </w:r>
    </w:p>
    <w:p w14:paraId="3593CDD4" w14:textId="1E913908" w:rsidR="004A5113" w:rsidRDefault="004A5113" w:rsidP="004A5113">
      <w:r>
        <w:t xml:space="preserve">U 2017. u RH važio je 8 201 patent, prema podacima Državnog zavoda za statistku. U 2017. Državnom zavodu za intelektualno vlasništvo podneseno je 159 prijava patenata. Međutim, s obzirom na broj prijava u razdoblju od 2013. do 2017. primjetan je pad prijava patenata (redom 253, 200, 186, 188, 159) što govori o smanjenju patentne aktivnosti u RH. </w:t>
      </w:r>
    </w:p>
    <w:p w14:paraId="7318132F" w14:textId="3DFD7BFE" w:rsidR="001D61E5" w:rsidRDefault="004A5113" w:rsidP="004A5113">
      <w:r>
        <w:t>Ukupni broj zaposlenih u istraživanju i razvoju tijekom 2016. bio je 18.133, od čega 9.300 žena (51,29 %). Njih 12.618 su istraživači a ostatak obuhvaća stručno, tehničko i ostalo osoblje. Od ukupnog broja zaposlenih u istraživanju i razvoju, njih 18,86 % je bilo zaposleno u poslovnom sektoru, 22,76 % u u državnom i privatnom neprofitnom sektoru a 58,38 % u institucijama za visoko obrazovanje.</w:t>
      </w:r>
    </w:p>
    <w:p w14:paraId="14496AE4" w14:textId="77777777" w:rsidR="00C21988" w:rsidRDefault="00C21988" w:rsidP="00C21988">
      <w:pPr>
        <w:rPr>
          <w:rFonts w:asciiTheme="majorHAnsi" w:eastAsiaTheme="majorEastAsia" w:hAnsiTheme="majorHAnsi" w:cstheme="majorBidi"/>
          <w:color w:val="2E74B5" w:themeColor="accent1" w:themeShade="BF"/>
          <w:sz w:val="32"/>
          <w:szCs w:val="32"/>
        </w:rPr>
      </w:pPr>
      <w:r>
        <w:br w:type="page"/>
      </w:r>
    </w:p>
    <w:p w14:paraId="5F966DF0" w14:textId="77777777" w:rsidR="00C21988" w:rsidRDefault="00C21988" w:rsidP="00C21988">
      <w:pPr>
        <w:pStyle w:val="Heading1"/>
      </w:pPr>
      <w:bookmarkStart w:id="447" w:name="_Toc531935270"/>
      <w:bookmarkStart w:id="448" w:name="_Toc531945132"/>
      <w:r>
        <w:t>OCJENA UČINAKA PLANIRANIH POLITIKA I MJERA</w:t>
      </w:r>
      <w:bookmarkEnd w:id="447"/>
      <w:bookmarkEnd w:id="448"/>
      <w:r>
        <w:t xml:space="preserve"> </w:t>
      </w:r>
    </w:p>
    <w:p w14:paraId="29048A79" w14:textId="77777777" w:rsidR="00C21988" w:rsidRDefault="00C21988" w:rsidP="00C21988">
      <w:pPr>
        <w:pStyle w:val="Heading2"/>
      </w:pPr>
      <w:bookmarkStart w:id="449" w:name="_Toc531935271"/>
      <w:bookmarkStart w:id="450" w:name="_Toc531945133"/>
      <w:r>
        <w:t>Učinci planiranih politika i mjera opisanih u odjeljku 3. o energetskom sustavu i emisijama stakleničkih plinova i uklanjanju stakleničkih plinova, uključujući usporedbu s projekcijama na temelju postojećih politika i mjera (kako su opisane u odjeljku 4.).</w:t>
      </w:r>
      <w:bookmarkEnd w:id="449"/>
      <w:bookmarkEnd w:id="450"/>
    </w:p>
    <w:p w14:paraId="2E410838" w14:textId="476E169B" w:rsidR="00C21988" w:rsidRDefault="00C21988" w:rsidP="005822F8">
      <w:pPr>
        <w:pStyle w:val="ListParagraph"/>
        <w:numPr>
          <w:ilvl w:val="0"/>
          <w:numId w:val="52"/>
        </w:numPr>
        <w:tabs>
          <w:tab w:val="clear" w:pos="431"/>
        </w:tabs>
        <w:suppressAutoHyphens w:val="0"/>
        <w:spacing w:after="160" w:line="259" w:lineRule="auto"/>
        <w:contextualSpacing/>
        <w:jc w:val="left"/>
      </w:pPr>
      <w:r>
        <w:t>Projekcije kretanja u pogledu energetskog sustava te emisija i uklanjanja stakleničkih plinova kao i, ako je relevantno, emisija onečišćivača zraka u skladu s Direktivom (kako je predložena u dokumentu COM72013/0920) u okviru planiranih politika i mjera, uključujući relevantne politike i mjere EU-a, barem do deset godina nakon razdoblja obuhvaćenog planom (uključujući projekcije za posljednju godinu razdoblja obuhvaćenog planom).</w:t>
      </w:r>
    </w:p>
    <w:p w14:paraId="0FE51208" w14:textId="77777777" w:rsidR="00C21988" w:rsidRDefault="00C21988" w:rsidP="005822F8">
      <w:pPr>
        <w:pStyle w:val="ListParagraph"/>
        <w:numPr>
          <w:ilvl w:val="0"/>
          <w:numId w:val="52"/>
        </w:numPr>
        <w:tabs>
          <w:tab w:val="clear" w:pos="431"/>
        </w:tabs>
        <w:suppressAutoHyphens w:val="0"/>
        <w:spacing w:after="160" w:line="259" w:lineRule="auto"/>
        <w:contextualSpacing/>
        <w:jc w:val="left"/>
      </w:pPr>
      <w:r>
        <w:t>Procjena međudjelovanja politika (međudjelovanje između postojećih i planiranih politika i mjera u okviru jedne dimenzije i međudjelovanje između postojećih i planiranih politika i mjera različitih dimenzija) barem do posljednje godine razdoblja obuhvaćenog planom.</w:t>
      </w:r>
    </w:p>
    <w:p w14:paraId="4A0DF69C" w14:textId="0238B04E" w:rsidR="009302CB" w:rsidRDefault="009302CB" w:rsidP="00C13A71">
      <w:r>
        <w:t>Projekcij</w:t>
      </w:r>
      <w:r w:rsidR="00645F8B">
        <w:t>e</w:t>
      </w:r>
      <w:r>
        <w:t xml:space="preserve"> emisija stakleničkih plinova iz pokretnih i nepokretnih energetskih izvora u Republici Hrvatskoj </w:t>
      </w:r>
      <w:r w:rsidR="00C01B98">
        <w:t xml:space="preserve">prikazuje </w:t>
      </w:r>
      <w:r w:rsidR="00C01B98">
        <w:fldChar w:fldCharType="begin"/>
      </w:r>
      <w:r w:rsidR="00C01B98">
        <w:instrText xml:space="preserve"> REF _Ref531872424 \h </w:instrText>
      </w:r>
      <w:r w:rsidR="00C01B98">
        <w:fldChar w:fldCharType="separate"/>
      </w:r>
      <w:r w:rsidR="00E5423A">
        <w:t xml:space="preserve">Slika </w:t>
      </w:r>
      <w:r w:rsidR="00E5423A">
        <w:rPr>
          <w:noProof/>
        </w:rPr>
        <w:t>5</w:t>
      </w:r>
      <w:r w:rsidR="00E5423A">
        <w:noBreakHyphen/>
      </w:r>
      <w:r w:rsidR="00E5423A">
        <w:rPr>
          <w:noProof/>
        </w:rPr>
        <w:t>1</w:t>
      </w:r>
      <w:r w:rsidR="00C01B98">
        <w:fldChar w:fldCharType="end"/>
      </w:r>
      <w:r>
        <w:t>.</w:t>
      </w:r>
      <w:r w:rsidR="00C42954">
        <w:t xml:space="preserve"> </w:t>
      </w:r>
      <w:r w:rsidR="00364D4B">
        <w:t xml:space="preserve">Prikazan je scenarij s postojećim mjerama </w:t>
      </w:r>
      <w:r w:rsidR="00B53A72">
        <w:t xml:space="preserve">te scenarij </w:t>
      </w:r>
      <w:r w:rsidR="00364D4B">
        <w:t>s dodatnim mjerama</w:t>
      </w:r>
      <w:r w:rsidR="00D85C2C">
        <w:t xml:space="preserve">. </w:t>
      </w:r>
    </w:p>
    <w:p w14:paraId="14BAA939" w14:textId="621EDFD0" w:rsidR="009302CB" w:rsidRDefault="006572FE" w:rsidP="00DB7DF8">
      <w:pPr>
        <w:jc w:val="center"/>
      </w:pPr>
      <w:r>
        <w:rPr>
          <w:noProof/>
        </w:rPr>
        <w:drawing>
          <wp:inline distT="0" distB="0" distL="0" distR="0" wp14:anchorId="37334059" wp14:editId="2EEEDB27">
            <wp:extent cx="5924550" cy="314185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384" cy="3148664"/>
                    </a:xfrm>
                    <a:prstGeom prst="rect">
                      <a:avLst/>
                    </a:prstGeom>
                    <a:noFill/>
                  </pic:spPr>
                </pic:pic>
              </a:graphicData>
            </a:graphic>
          </wp:inline>
        </w:drawing>
      </w:r>
    </w:p>
    <w:p w14:paraId="57FAAE6C" w14:textId="129E8951" w:rsidR="009302CB" w:rsidRPr="00F817AC" w:rsidRDefault="00714221" w:rsidP="00CF2D4C">
      <w:pPr>
        <w:pStyle w:val="Caption"/>
        <w:rPr>
          <w:szCs w:val="20"/>
        </w:rPr>
      </w:pPr>
      <w:bookmarkStart w:id="451" w:name="_Ref531872424"/>
      <w:bookmarkStart w:id="452" w:name="_Toc531935316"/>
      <w:r w:rsidRPr="00463A4F">
        <w:t xml:space="preserve">Slika </w:t>
      </w:r>
      <w:fldSimple w:instr=" STYLEREF 1 \s ">
        <w:r w:rsidR="00856D97" w:rsidRPr="00463A4F">
          <w:rPr>
            <w:noProof/>
          </w:rPr>
          <w:t>5</w:t>
        </w:r>
      </w:fldSimple>
      <w:r w:rsidR="00856D97" w:rsidRPr="00463A4F">
        <w:noBreakHyphen/>
      </w:r>
      <w:fldSimple w:instr=" SEQ Slika \* ARABIC \s 1 ">
        <w:r w:rsidR="00856D97" w:rsidRPr="00463A4F">
          <w:rPr>
            <w:noProof/>
          </w:rPr>
          <w:t>1</w:t>
        </w:r>
      </w:fldSimple>
      <w:bookmarkEnd w:id="451"/>
      <w:r w:rsidRPr="00463A4F">
        <w:rPr>
          <w:szCs w:val="20"/>
        </w:rPr>
        <w:t>. Projekcije emisija stakleničkih za scenarij s postojećim mjerama i scenarij s dodatnim mjerama</w:t>
      </w:r>
      <w:r w:rsidRPr="00463A4F" w:rsidDel="0030751A">
        <w:rPr>
          <w:szCs w:val="20"/>
        </w:rPr>
        <w:t xml:space="preserve"> </w:t>
      </w:r>
      <w:r w:rsidRPr="00463A4F">
        <w:rPr>
          <w:szCs w:val="20"/>
        </w:rPr>
        <w:t>– energetski izvori</w:t>
      </w:r>
      <w:bookmarkEnd w:id="452"/>
    </w:p>
    <w:p w14:paraId="09C41EBB" w14:textId="59DE56DC" w:rsidR="003442A3" w:rsidRDefault="00314566" w:rsidP="00DB7DF8">
      <w:pPr>
        <w:rPr>
          <w:b/>
          <w:sz w:val="20"/>
          <w:szCs w:val="28"/>
        </w:rPr>
      </w:pPr>
      <w:r>
        <w:t>Potencijal</w:t>
      </w:r>
      <w:r w:rsidR="00E83820">
        <w:t xml:space="preserve"> </w:t>
      </w:r>
      <w:r w:rsidR="00CD5A77">
        <w:t xml:space="preserve">dodatnih mjera </w:t>
      </w:r>
      <w:r w:rsidR="00BA07C0">
        <w:t xml:space="preserve">smanjenju emisije po energetskim sektorima je </w:t>
      </w:r>
      <w:r w:rsidR="00C01B98">
        <w:t xml:space="preserve">prikazuje </w:t>
      </w:r>
      <w:r w:rsidR="00C01B98">
        <w:fldChar w:fldCharType="begin"/>
      </w:r>
      <w:r w:rsidR="00C01B98">
        <w:instrText xml:space="preserve"> REF _Ref531872455 \h </w:instrText>
      </w:r>
      <w:r w:rsidR="00C01B98">
        <w:fldChar w:fldCharType="separate"/>
      </w:r>
      <w:r w:rsidR="00E5423A">
        <w:t xml:space="preserve">Tablica </w:t>
      </w:r>
      <w:r w:rsidR="00E5423A">
        <w:rPr>
          <w:noProof/>
        </w:rPr>
        <w:t>5</w:t>
      </w:r>
      <w:r w:rsidR="00E5423A">
        <w:noBreakHyphen/>
      </w:r>
      <w:r w:rsidR="00E5423A">
        <w:rPr>
          <w:noProof/>
        </w:rPr>
        <w:t>1</w:t>
      </w:r>
      <w:r w:rsidR="00C01B98">
        <w:fldChar w:fldCharType="end"/>
      </w:r>
      <w:r w:rsidR="0048204C">
        <w:t xml:space="preserve">, a predstavlja razliku </w:t>
      </w:r>
      <w:r w:rsidR="00BE43B5">
        <w:t xml:space="preserve">emisija scenarija s postojećim </w:t>
      </w:r>
      <w:r w:rsidR="00805903">
        <w:t>i scenarija s dodatnim mjerama</w:t>
      </w:r>
      <w:r w:rsidR="003C5CA0">
        <w:t>.</w:t>
      </w:r>
    </w:p>
    <w:p w14:paraId="0615A186" w14:textId="558C3067" w:rsidR="003442A3" w:rsidRDefault="003442A3" w:rsidP="003442A3">
      <w:pPr>
        <w:pStyle w:val="Caption"/>
      </w:pPr>
      <w:bookmarkStart w:id="453" w:name="_Ref531872455"/>
      <w:bookmarkStart w:id="454" w:name="_Toc531935366"/>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5</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1</w:t>
      </w:r>
      <w:r w:rsidR="00B22048">
        <w:rPr>
          <w:noProof/>
        </w:rPr>
        <w:fldChar w:fldCharType="end"/>
      </w:r>
      <w:bookmarkEnd w:id="453"/>
      <w:r>
        <w:t xml:space="preserve">: </w:t>
      </w:r>
      <w:r w:rsidRPr="003442A3">
        <w:t>Potencijal smanjenja emisij</w:t>
      </w:r>
      <w:r>
        <w:t>e stakleničkih plinova</w:t>
      </w:r>
      <w:r w:rsidRPr="003442A3">
        <w:t xml:space="preserve"> dodatnim mjerama</w:t>
      </w:r>
      <w:r w:rsidR="00D555C4">
        <w:t xml:space="preserve"> za energetske izvore</w:t>
      </w:r>
      <w:bookmarkEnd w:id="454"/>
    </w:p>
    <w:tbl>
      <w:tblPr>
        <w:tblW w:w="9209" w:type="dxa"/>
        <w:tblLayout w:type="fixed"/>
        <w:tblLook w:val="04A0" w:firstRow="1" w:lastRow="0" w:firstColumn="1" w:lastColumn="0" w:noHBand="0" w:noVBand="1"/>
      </w:tblPr>
      <w:tblGrid>
        <w:gridCol w:w="4106"/>
        <w:gridCol w:w="1275"/>
        <w:gridCol w:w="1276"/>
        <w:gridCol w:w="1276"/>
        <w:gridCol w:w="1276"/>
      </w:tblGrid>
      <w:tr w:rsidR="00BA5CAA" w:rsidRPr="00530D21" w14:paraId="4BE0FD6F"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B7EA" w14:textId="77777777" w:rsidR="003132A3" w:rsidRPr="00185868" w:rsidRDefault="003132A3" w:rsidP="003F7A28">
            <w:pPr>
              <w:suppressAutoHyphens w:val="0"/>
              <w:spacing w:before="60" w:after="60" w:line="240" w:lineRule="auto"/>
              <w:jc w:val="left"/>
              <w:rPr>
                <w:rFonts w:cs="Arial"/>
                <w:b/>
                <w:bCs/>
                <w:sz w:val="20"/>
                <w:szCs w:val="20"/>
              </w:rPr>
            </w:pPr>
            <w:r w:rsidRPr="00185868">
              <w:rPr>
                <w:rFonts w:cs="Arial"/>
                <w:b/>
                <w:bCs/>
                <w:sz w:val="20"/>
                <w:szCs w:val="20"/>
              </w:rPr>
              <w:t>Smanjenje emisije CO</w:t>
            </w:r>
            <w:r w:rsidRPr="00185868">
              <w:rPr>
                <w:rFonts w:cs="Arial"/>
                <w:b/>
                <w:bCs/>
                <w:sz w:val="20"/>
                <w:szCs w:val="20"/>
                <w:vertAlign w:val="subscript"/>
              </w:rPr>
              <w:t>2</w:t>
            </w:r>
            <w:r w:rsidRPr="00185868">
              <w:rPr>
                <w:rFonts w:cs="Arial"/>
                <w:b/>
                <w:bCs/>
                <w:sz w:val="20"/>
                <w:szCs w:val="20"/>
              </w:rPr>
              <w:t>e (kt)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6EC72F5"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0310E0"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8AB1C1E"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629452"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2040.</w:t>
            </w:r>
          </w:p>
        </w:tc>
      </w:tr>
      <w:tr w:rsidR="00BA5CAA" w:rsidRPr="00530D21" w14:paraId="5C37E3FD" w14:textId="77777777" w:rsidTr="003F7A28">
        <w:trPr>
          <w:trHeight w:val="25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1675788" w14:textId="77777777" w:rsidR="003132A3" w:rsidRPr="00185868" w:rsidRDefault="003132A3" w:rsidP="003F7A28">
            <w:pPr>
              <w:suppressAutoHyphens w:val="0"/>
              <w:spacing w:before="0" w:after="0" w:line="240" w:lineRule="auto"/>
              <w:jc w:val="left"/>
              <w:rPr>
                <w:rFonts w:cs="Arial"/>
                <w:sz w:val="20"/>
                <w:szCs w:val="20"/>
              </w:rPr>
            </w:pPr>
            <w:r w:rsidRPr="00185868">
              <w:rPr>
                <w:rFonts w:cs="Arial"/>
                <w:sz w:val="20"/>
                <w:szCs w:val="20"/>
              </w:rPr>
              <w:t>Postrojenja za proizvodnju i transf. energije</w:t>
            </w:r>
          </w:p>
        </w:tc>
        <w:tc>
          <w:tcPr>
            <w:tcW w:w="1275" w:type="dxa"/>
            <w:tcBorders>
              <w:top w:val="nil"/>
              <w:left w:val="nil"/>
              <w:bottom w:val="single" w:sz="4" w:space="0" w:color="auto"/>
              <w:right w:val="single" w:sz="4" w:space="0" w:color="auto"/>
            </w:tcBorders>
            <w:shd w:val="clear" w:color="auto" w:fill="auto"/>
            <w:noWrap/>
            <w:vAlign w:val="center"/>
            <w:hideMark/>
          </w:tcPr>
          <w:p w14:paraId="4495A578" w14:textId="269BD461"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129</w:t>
            </w:r>
          </w:p>
        </w:tc>
        <w:tc>
          <w:tcPr>
            <w:tcW w:w="1276" w:type="dxa"/>
            <w:tcBorders>
              <w:top w:val="nil"/>
              <w:left w:val="nil"/>
              <w:bottom w:val="single" w:sz="4" w:space="0" w:color="auto"/>
              <w:right w:val="single" w:sz="4" w:space="0" w:color="auto"/>
            </w:tcBorders>
            <w:shd w:val="clear" w:color="auto" w:fill="auto"/>
            <w:noWrap/>
            <w:vAlign w:val="center"/>
            <w:hideMark/>
          </w:tcPr>
          <w:p w14:paraId="3BF9B4C0" w14:textId="243DB127"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258</w:t>
            </w:r>
          </w:p>
        </w:tc>
        <w:tc>
          <w:tcPr>
            <w:tcW w:w="1276" w:type="dxa"/>
            <w:tcBorders>
              <w:top w:val="nil"/>
              <w:left w:val="nil"/>
              <w:bottom w:val="single" w:sz="4" w:space="0" w:color="auto"/>
              <w:right w:val="single" w:sz="4" w:space="0" w:color="auto"/>
            </w:tcBorders>
            <w:shd w:val="clear" w:color="auto" w:fill="auto"/>
            <w:noWrap/>
            <w:vAlign w:val="center"/>
            <w:hideMark/>
          </w:tcPr>
          <w:p w14:paraId="75980084" w14:textId="4FD22E43"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366</w:t>
            </w:r>
          </w:p>
        </w:tc>
        <w:tc>
          <w:tcPr>
            <w:tcW w:w="1276" w:type="dxa"/>
            <w:tcBorders>
              <w:top w:val="nil"/>
              <w:left w:val="nil"/>
              <w:bottom w:val="single" w:sz="4" w:space="0" w:color="auto"/>
              <w:right w:val="single" w:sz="4" w:space="0" w:color="auto"/>
            </w:tcBorders>
            <w:shd w:val="clear" w:color="auto" w:fill="auto"/>
            <w:noWrap/>
            <w:vAlign w:val="center"/>
            <w:hideMark/>
          </w:tcPr>
          <w:p w14:paraId="6358AED4" w14:textId="25C8E3B7"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474</w:t>
            </w:r>
          </w:p>
        </w:tc>
      </w:tr>
      <w:tr w:rsidR="00BA5CAA" w:rsidRPr="00530D21" w14:paraId="425F60D5"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24D1B" w14:textId="77777777" w:rsidR="003132A3" w:rsidRPr="00185868" w:rsidRDefault="003132A3" w:rsidP="003F7A28">
            <w:pPr>
              <w:suppressAutoHyphens w:val="0"/>
              <w:spacing w:before="0" w:after="0" w:line="240" w:lineRule="auto"/>
              <w:jc w:val="left"/>
              <w:rPr>
                <w:rFonts w:cs="Arial"/>
                <w:sz w:val="20"/>
                <w:szCs w:val="20"/>
              </w:rPr>
            </w:pPr>
            <w:r w:rsidRPr="00185868">
              <w:rPr>
                <w:rFonts w:cs="Arial"/>
                <w:sz w:val="20"/>
                <w:szCs w:val="20"/>
              </w:rPr>
              <w:t>Industrija i građevinarstvo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FC4E9BE" w14:textId="4DEE39D5"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047C4D7" w14:textId="46A80F73"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64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572308" w14:textId="19CED8A4"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119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5E7A2DB" w14:textId="593E1198" w:rsidR="003132A3" w:rsidRPr="00185868" w:rsidRDefault="003132A3" w:rsidP="003F7A28">
            <w:pPr>
              <w:suppressAutoHyphens w:val="0"/>
              <w:spacing w:before="0" w:after="0" w:line="240" w:lineRule="auto"/>
              <w:jc w:val="right"/>
              <w:rPr>
                <w:rFonts w:cs="Arial"/>
                <w:sz w:val="20"/>
                <w:szCs w:val="20"/>
              </w:rPr>
            </w:pPr>
            <w:r w:rsidRPr="00185868">
              <w:rPr>
                <w:rFonts w:cs="Arial"/>
                <w:sz w:val="20"/>
                <w:szCs w:val="20"/>
              </w:rPr>
              <w:t>174</w:t>
            </w:r>
          </w:p>
        </w:tc>
      </w:tr>
      <w:tr w:rsidR="00BA5CAA" w:rsidRPr="00530D21" w14:paraId="39F9A3D5"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AAD6" w14:textId="77777777" w:rsidR="003132A3" w:rsidRPr="00185868" w:rsidRDefault="003132A3" w:rsidP="003F7A28">
            <w:pPr>
              <w:suppressAutoHyphens w:val="0"/>
              <w:spacing w:before="0" w:after="0" w:line="240" w:lineRule="auto"/>
              <w:jc w:val="left"/>
              <w:rPr>
                <w:rFonts w:cs="Arial"/>
                <w:sz w:val="20"/>
                <w:szCs w:val="20"/>
              </w:rPr>
            </w:pPr>
            <w:r w:rsidRPr="00185868">
              <w:rPr>
                <w:rFonts w:cs="Arial"/>
                <w:sz w:val="20"/>
                <w:szCs w:val="20"/>
              </w:rPr>
              <w:t>Cestovni i vancestovni promet</w:t>
            </w:r>
          </w:p>
        </w:tc>
        <w:tc>
          <w:tcPr>
            <w:tcW w:w="1275" w:type="dxa"/>
            <w:tcBorders>
              <w:top w:val="single" w:sz="4" w:space="0" w:color="auto"/>
              <w:left w:val="nil"/>
              <w:bottom w:val="single" w:sz="4" w:space="0" w:color="auto"/>
              <w:right w:val="single" w:sz="4" w:space="0" w:color="auto"/>
            </w:tcBorders>
            <w:shd w:val="clear" w:color="auto" w:fill="auto"/>
            <w:noWrap/>
          </w:tcPr>
          <w:p w14:paraId="4730BD51" w14:textId="15B1F920" w:rsidR="003132A3" w:rsidRPr="00185868" w:rsidRDefault="003132A3" w:rsidP="003F7A28">
            <w:pPr>
              <w:suppressAutoHyphens w:val="0"/>
              <w:spacing w:before="0" w:after="0" w:line="240" w:lineRule="auto"/>
              <w:jc w:val="right"/>
              <w:rPr>
                <w:rFonts w:cs="Arial"/>
                <w:sz w:val="20"/>
                <w:szCs w:val="20"/>
              </w:rPr>
            </w:pPr>
            <w:r w:rsidRPr="00185868">
              <w:rPr>
                <w:sz w:val="20"/>
                <w:szCs w:val="20"/>
              </w:rPr>
              <w:t>42</w:t>
            </w:r>
          </w:p>
        </w:tc>
        <w:tc>
          <w:tcPr>
            <w:tcW w:w="1276" w:type="dxa"/>
            <w:tcBorders>
              <w:top w:val="single" w:sz="4" w:space="0" w:color="auto"/>
              <w:left w:val="nil"/>
              <w:bottom w:val="single" w:sz="4" w:space="0" w:color="auto"/>
              <w:right w:val="single" w:sz="4" w:space="0" w:color="auto"/>
            </w:tcBorders>
            <w:shd w:val="clear" w:color="auto" w:fill="auto"/>
            <w:noWrap/>
          </w:tcPr>
          <w:p w14:paraId="33DBA3A5" w14:textId="773741A2" w:rsidR="003132A3" w:rsidRPr="00185868" w:rsidRDefault="003132A3" w:rsidP="003F7A28">
            <w:pPr>
              <w:suppressAutoHyphens w:val="0"/>
              <w:spacing w:before="0" w:after="0" w:line="240" w:lineRule="auto"/>
              <w:jc w:val="right"/>
              <w:rPr>
                <w:rFonts w:cs="Arial"/>
                <w:sz w:val="20"/>
                <w:szCs w:val="20"/>
              </w:rPr>
            </w:pPr>
            <w:r w:rsidRPr="00185868">
              <w:rPr>
                <w:sz w:val="20"/>
                <w:szCs w:val="20"/>
              </w:rPr>
              <w:t>85</w:t>
            </w:r>
          </w:p>
        </w:tc>
        <w:tc>
          <w:tcPr>
            <w:tcW w:w="1276" w:type="dxa"/>
            <w:tcBorders>
              <w:top w:val="single" w:sz="4" w:space="0" w:color="auto"/>
              <w:left w:val="nil"/>
              <w:bottom w:val="single" w:sz="4" w:space="0" w:color="auto"/>
              <w:right w:val="single" w:sz="4" w:space="0" w:color="auto"/>
            </w:tcBorders>
            <w:shd w:val="clear" w:color="auto" w:fill="auto"/>
            <w:noWrap/>
          </w:tcPr>
          <w:p w14:paraId="0C21B4E8" w14:textId="3DCDF996" w:rsidR="003132A3" w:rsidRPr="00185868" w:rsidRDefault="003132A3" w:rsidP="003F7A28">
            <w:pPr>
              <w:suppressAutoHyphens w:val="0"/>
              <w:spacing w:before="0" w:after="0" w:line="240" w:lineRule="auto"/>
              <w:jc w:val="right"/>
              <w:rPr>
                <w:rFonts w:cs="Arial"/>
                <w:sz w:val="20"/>
                <w:szCs w:val="20"/>
              </w:rPr>
            </w:pPr>
            <w:r w:rsidRPr="00185868">
              <w:rPr>
                <w:sz w:val="20"/>
                <w:szCs w:val="20"/>
              </w:rPr>
              <w:t>166</w:t>
            </w:r>
          </w:p>
        </w:tc>
        <w:tc>
          <w:tcPr>
            <w:tcW w:w="1276" w:type="dxa"/>
            <w:tcBorders>
              <w:top w:val="single" w:sz="4" w:space="0" w:color="auto"/>
              <w:left w:val="nil"/>
              <w:bottom w:val="single" w:sz="4" w:space="0" w:color="auto"/>
              <w:right w:val="single" w:sz="4" w:space="0" w:color="auto"/>
            </w:tcBorders>
            <w:shd w:val="clear" w:color="auto" w:fill="auto"/>
            <w:noWrap/>
          </w:tcPr>
          <w:p w14:paraId="0425D218" w14:textId="7957680C" w:rsidR="003132A3" w:rsidRPr="00185868" w:rsidRDefault="003132A3" w:rsidP="003F7A28">
            <w:pPr>
              <w:suppressAutoHyphens w:val="0"/>
              <w:spacing w:before="0" w:after="0" w:line="240" w:lineRule="auto"/>
              <w:jc w:val="right"/>
              <w:rPr>
                <w:rFonts w:cs="Arial"/>
                <w:sz w:val="20"/>
                <w:szCs w:val="20"/>
              </w:rPr>
            </w:pPr>
            <w:r w:rsidRPr="00185868">
              <w:rPr>
                <w:sz w:val="20"/>
                <w:szCs w:val="20"/>
              </w:rPr>
              <w:t>247</w:t>
            </w:r>
          </w:p>
        </w:tc>
      </w:tr>
      <w:tr w:rsidR="00BA5CAA" w:rsidRPr="00530D21" w14:paraId="7FF8CF1B"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EF64D" w14:textId="77777777" w:rsidR="003132A3" w:rsidRPr="00185868" w:rsidRDefault="003132A3" w:rsidP="003F7A28">
            <w:pPr>
              <w:suppressAutoHyphens w:val="0"/>
              <w:spacing w:before="0" w:after="0" w:line="240" w:lineRule="auto"/>
              <w:jc w:val="left"/>
              <w:rPr>
                <w:rFonts w:cs="Arial"/>
                <w:sz w:val="20"/>
                <w:szCs w:val="20"/>
              </w:rPr>
            </w:pPr>
            <w:r w:rsidRPr="00185868">
              <w:rPr>
                <w:rFonts w:cs="Arial"/>
                <w:sz w:val="20"/>
                <w:szCs w:val="20"/>
              </w:rPr>
              <w:t>Opća potrošnja</w:t>
            </w:r>
          </w:p>
        </w:tc>
        <w:tc>
          <w:tcPr>
            <w:tcW w:w="1275" w:type="dxa"/>
            <w:tcBorders>
              <w:top w:val="single" w:sz="4" w:space="0" w:color="auto"/>
              <w:left w:val="nil"/>
              <w:bottom w:val="single" w:sz="4" w:space="0" w:color="auto"/>
              <w:right w:val="single" w:sz="4" w:space="0" w:color="auto"/>
            </w:tcBorders>
            <w:shd w:val="clear" w:color="auto" w:fill="auto"/>
            <w:noWrap/>
          </w:tcPr>
          <w:p w14:paraId="0E0BAC3C" w14:textId="000AE933" w:rsidR="003132A3" w:rsidRPr="00185868" w:rsidRDefault="003132A3" w:rsidP="003F7A28">
            <w:pPr>
              <w:suppressAutoHyphens w:val="0"/>
              <w:spacing w:before="0" w:after="0" w:line="240" w:lineRule="auto"/>
              <w:jc w:val="right"/>
              <w:rPr>
                <w:rFonts w:cs="Arial"/>
                <w:sz w:val="20"/>
                <w:szCs w:val="20"/>
              </w:rPr>
            </w:pPr>
            <w:r w:rsidRPr="00185868">
              <w:rPr>
                <w:sz w:val="20"/>
                <w:szCs w:val="20"/>
              </w:rPr>
              <w:t>107</w:t>
            </w:r>
          </w:p>
        </w:tc>
        <w:tc>
          <w:tcPr>
            <w:tcW w:w="1276" w:type="dxa"/>
            <w:tcBorders>
              <w:top w:val="single" w:sz="4" w:space="0" w:color="auto"/>
              <w:left w:val="nil"/>
              <w:bottom w:val="single" w:sz="4" w:space="0" w:color="auto"/>
              <w:right w:val="single" w:sz="4" w:space="0" w:color="auto"/>
            </w:tcBorders>
            <w:shd w:val="clear" w:color="auto" w:fill="auto"/>
            <w:noWrap/>
          </w:tcPr>
          <w:p w14:paraId="70DB3F7A" w14:textId="3002081B" w:rsidR="003132A3" w:rsidRPr="00185868" w:rsidRDefault="003132A3" w:rsidP="003F7A28">
            <w:pPr>
              <w:suppressAutoHyphens w:val="0"/>
              <w:spacing w:before="0" w:after="0" w:line="240" w:lineRule="auto"/>
              <w:jc w:val="right"/>
              <w:rPr>
                <w:rFonts w:cs="Arial"/>
                <w:sz w:val="20"/>
                <w:szCs w:val="20"/>
              </w:rPr>
            </w:pPr>
            <w:r w:rsidRPr="00185868">
              <w:rPr>
                <w:sz w:val="20"/>
                <w:szCs w:val="20"/>
              </w:rPr>
              <w:t>213</w:t>
            </w:r>
          </w:p>
        </w:tc>
        <w:tc>
          <w:tcPr>
            <w:tcW w:w="1276" w:type="dxa"/>
            <w:tcBorders>
              <w:top w:val="single" w:sz="4" w:space="0" w:color="auto"/>
              <w:left w:val="nil"/>
              <w:bottom w:val="single" w:sz="4" w:space="0" w:color="auto"/>
              <w:right w:val="single" w:sz="4" w:space="0" w:color="auto"/>
            </w:tcBorders>
            <w:shd w:val="clear" w:color="auto" w:fill="auto"/>
            <w:noWrap/>
          </w:tcPr>
          <w:p w14:paraId="261F28AD" w14:textId="2A676742" w:rsidR="003132A3" w:rsidRPr="00185868" w:rsidRDefault="003132A3" w:rsidP="003F7A28">
            <w:pPr>
              <w:suppressAutoHyphens w:val="0"/>
              <w:spacing w:before="0" w:after="0" w:line="240" w:lineRule="auto"/>
              <w:jc w:val="right"/>
              <w:rPr>
                <w:rFonts w:cs="Arial"/>
                <w:sz w:val="20"/>
                <w:szCs w:val="20"/>
              </w:rPr>
            </w:pPr>
            <w:r w:rsidRPr="00185868">
              <w:rPr>
                <w:sz w:val="20"/>
                <w:szCs w:val="20"/>
              </w:rPr>
              <w:t>388</w:t>
            </w:r>
          </w:p>
        </w:tc>
        <w:tc>
          <w:tcPr>
            <w:tcW w:w="1276" w:type="dxa"/>
            <w:tcBorders>
              <w:top w:val="single" w:sz="4" w:space="0" w:color="auto"/>
              <w:left w:val="nil"/>
              <w:bottom w:val="single" w:sz="4" w:space="0" w:color="auto"/>
              <w:right w:val="single" w:sz="4" w:space="0" w:color="auto"/>
            </w:tcBorders>
            <w:shd w:val="clear" w:color="auto" w:fill="auto"/>
            <w:noWrap/>
          </w:tcPr>
          <w:p w14:paraId="14684A58" w14:textId="0953AE4C" w:rsidR="003132A3" w:rsidRPr="00185868" w:rsidRDefault="003132A3" w:rsidP="003F7A28">
            <w:pPr>
              <w:suppressAutoHyphens w:val="0"/>
              <w:spacing w:before="0" w:after="0" w:line="240" w:lineRule="auto"/>
              <w:jc w:val="right"/>
              <w:rPr>
                <w:rFonts w:cs="Arial"/>
                <w:sz w:val="20"/>
                <w:szCs w:val="20"/>
              </w:rPr>
            </w:pPr>
            <w:r w:rsidRPr="00185868">
              <w:rPr>
                <w:sz w:val="20"/>
                <w:szCs w:val="20"/>
              </w:rPr>
              <w:t>562</w:t>
            </w:r>
          </w:p>
        </w:tc>
      </w:tr>
      <w:tr w:rsidR="00BA5CAA" w:rsidRPr="00530D21" w14:paraId="43DD7B8B"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E4768" w14:textId="77777777" w:rsidR="003132A3" w:rsidRPr="00185868" w:rsidRDefault="003132A3" w:rsidP="003F7A28">
            <w:pPr>
              <w:suppressAutoHyphens w:val="0"/>
              <w:spacing w:before="0" w:after="0" w:line="240" w:lineRule="auto"/>
              <w:jc w:val="left"/>
              <w:rPr>
                <w:rFonts w:cs="Arial"/>
                <w:sz w:val="20"/>
                <w:szCs w:val="20"/>
              </w:rPr>
            </w:pPr>
            <w:r w:rsidRPr="00185868">
              <w:rPr>
                <w:rFonts w:cs="Arial"/>
                <w:sz w:val="20"/>
                <w:szCs w:val="20"/>
              </w:rPr>
              <w:t>Fugitivne emisije</w:t>
            </w:r>
          </w:p>
        </w:tc>
        <w:tc>
          <w:tcPr>
            <w:tcW w:w="1275" w:type="dxa"/>
            <w:tcBorders>
              <w:top w:val="single" w:sz="4" w:space="0" w:color="auto"/>
              <w:left w:val="nil"/>
              <w:bottom w:val="single" w:sz="4" w:space="0" w:color="auto"/>
              <w:right w:val="single" w:sz="4" w:space="0" w:color="auto"/>
            </w:tcBorders>
            <w:shd w:val="clear" w:color="auto" w:fill="auto"/>
            <w:noWrap/>
          </w:tcPr>
          <w:p w14:paraId="1576195B" w14:textId="42206B26" w:rsidR="003132A3" w:rsidRPr="00185868" w:rsidDel="00B670F5" w:rsidRDefault="003132A3" w:rsidP="003F7A28">
            <w:pPr>
              <w:suppressAutoHyphens w:val="0"/>
              <w:spacing w:before="0" w:after="0" w:line="240" w:lineRule="auto"/>
              <w:jc w:val="right"/>
              <w:rPr>
                <w:sz w:val="20"/>
                <w:szCs w:val="20"/>
              </w:rPr>
            </w:pPr>
            <w:r w:rsidRPr="00185868">
              <w:rPr>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tcPr>
          <w:p w14:paraId="6EB770DA" w14:textId="567F04F8" w:rsidR="003132A3" w:rsidRPr="00185868" w:rsidDel="00B670F5" w:rsidRDefault="003132A3" w:rsidP="003F7A28">
            <w:pPr>
              <w:suppressAutoHyphens w:val="0"/>
              <w:spacing w:before="0" w:after="0" w:line="240" w:lineRule="auto"/>
              <w:jc w:val="right"/>
              <w:rPr>
                <w:sz w:val="20"/>
                <w:szCs w:val="20"/>
              </w:rPr>
            </w:pPr>
            <w:r w:rsidRPr="00185868">
              <w:rPr>
                <w:sz w:val="20"/>
                <w:szCs w:val="20"/>
              </w:rPr>
              <w:t>-6</w:t>
            </w:r>
          </w:p>
        </w:tc>
        <w:tc>
          <w:tcPr>
            <w:tcW w:w="1276" w:type="dxa"/>
            <w:tcBorders>
              <w:top w:val="single" w:sz="4" w:space="0" w:color="auto"/>
              <w:left w:val="nil"/>
              <w:bottom w:val="single" w:sz="4" w:space="0" w:color="auto"/>
              <w:right w:val="single" w:sz="4" w:space="0" w:color="auto"/>
            </w:tcBorders>
            <w:shd w:val="clear" w:color="auto" w:fill="auto"/>
            <w:noWrap/>
          </w:tcPr>
          <w:p w14:paraId="0E714F43" w14:textId="181502F0" w:rsidR="003132A3" w:rsidRPr="00185868" w:rsidDel="00B670F5" w:rsidRDefault="003132A3" w:rsidP="003F7A28">
            <w:pPr>
              <w:suppressAutoHyphens w:val="0"/>
              <w:spacing w:before="0" w:after="0" w:line="240" w:lineRule="auto"/>
              <w:jc w:val="right"/>
              <w:rPr>
                <w:sz w:val="20"/>
                <w:szCs w:val="20"/>
              </w:rPr>
            </w:pPr>
            <w:r w:rsidRPr="00185868">
              <w:rPr>
                <w:sz w:val="20"/>
                <w:szCs w:val="20"/>
              </w:rPr>
              <w:t>44</w:t>
            </w:r>
          </w:p>
        </w:tc>
        <w:tc>
          <w:tcPr>
            <w:tcW w:w="1276" w:type="dxa"/>
            <w:tcBorders>
              <w:top w:val="single" w:sz="4" w:space="0" w:color="auto"/>
              <w:left w:val="nil"/>
              <w:bottom w:val="single" w:sz="4" w:space="0" w:color="auto"/>
              <w:right w:val="single" w:sz="4" w:space="0" w:color="auto"/>
            </w:tcBorders>
            <w:shd w:val="clear" w:color="auto" w:fill="auto"/>
            <w:noWrap/>
          </w:tcPr>
          <w:p w14:paraId="2BFA7EC1" w14:textId="37545ED4" w:rsidR="003132A3" w:rsidRPr="00185868" w:rsidDel="00B670F5" w:rsidRDefault="003132A3" w:rsidP="003F7A28">
            <w:pPr>
              <w:suppressAutoHyphens w:val="0"/>
              <w:spacing w:before="0" w:after="0" w:line="240" w:lineRule="auto"/>
              <w:jc w:val="right"/>
              <w:rPr>
                <w:sz w:val="20"/>
                <w:szCs w:val="20"/>
              </w:rPr>
            </w:pPr>
            <w:r w:rsidRPr="00185868">
              <w:rPr>
                <w:sz w:val="20"/>
                <w:szCs w:val="20"/>
              </w:rPr>
              <w:t>95</w:t>
            </w:r>
          </w:p>
        </w:tc>
      </w:tr>
      <w:tr w:rsidR="00BA5CAA" w:rsidRPr="00530D21" w14:paraId="292F9140" w14:textId="77777777" w:rsidTr="003F7A2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95DA3" w14:textId="77777777" w:rsidR="003132A3" w:rsidRPr="00185868" w:rsidRDefault="003132A3" w:rsidP="003F7A28">
            <w:pPr>
              <w:suppressAutoHyphens w:val="0"/>
              <w:spacing w:before="0" w:after="0" w:line="240" w:lineRule="auto"/>
              <w:jc w:val="left"/>
              <w:rPr>
                <w:rFonts w:cs="Arial"/>
                <w:b/>
                <w:sz w:val="20"/>
                <w:szCs w:val="20"/>
              </w:rPr>
            </w:pPr>
            <w:r w:rsidRPr="00185868">
              <w:rPr>
                <w:rFonts w:cs="Arial"/>
                <w:b/>
                <w:sz w:val="20"/>
                <w:szCs w:val="20"/>
              </w:rPr>
              <w:t>Potencijal smanjenja emisije – energetski izvori</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7E9FD67" w14:textId="150F1591" w:rsidR="003132A3" w:rsidRPr="00185868" w:rsidDel="00B670F5" w:rsidRDefault="003132A3" w:rsidP="003F7A28">
            <w:pPr>
              <w:suppressAutoHyphens w:val="0"/>
              <w:spacing w:before="0" w:after="0" w:line="240" w:lineRule="auto"/>
              <w:jc w:val="right"/>
              <w:rPr>
                <w:b/>
                <w:sz w:val="20"/>
                <w:szCs w:val="20"/>
              </w:rPr>
            </w:pPr>
            <w:r w:rsidRPr="00185868">
              <w:rPr>
                <w:b/>
                <w:sz w:val="20"/>
                <w:szCs w:val="20"/>
              </w:rPr>
              <w:t>307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AAFAF6" w14:textId="00C99367" w:rsidR="003132A3" w:rsidRPr="00185868" w:rsidDel="00B670F5" w:rsidRDefault="003132A3" w:rsidP="003F7A28">
            <w:pPr>
              <w:suppressAutoHyphens w:val="0"/>
              <w:spacing w:before="0" w:after="0" w:line="240" w:lineRule="auto"/>
              <w:jc w:val="right"/>
              <w:rPr>
                <w:b/>
                <w:sz w:val="20"/>
                <w:szCs w:val="20"/>
              </w:rPr>
            </w:pPr>
            <w:r w:rsidRPr="00185868">
              <w:rPr>
                <w:b/>
                <w:sz w:val="20"/>
                <w:szCs w:val="20"/>
              </w:rPr>
              <w:t>614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6A7F17" w14:textId="42E5D887" w:rsidR="003132A3" w:rsidRPr="00185868" w:rsidDel="00B670F5" w:rsidRDefault="003132A3" w:rsidP="003F7A28">
            <w:pPr>
              <w:suppressAutoHyphens w:val="0"/>
              <w:spacing w:before="0" w:after="0" w:line="240" w:lineRule="auto"/>
              <w:jc w:val="right"/>
              <w:rPr>
                <w:b/>
                <w:sz w:val="20"/>
                <w:szCs w:val="20"/>
              </w:rPr>
            </w:pPr>
            <w:r w:rsidRPr="00185868">
              <w:rPr>
                <w:b/>
                <w:sz w:val="20"/>
                <w:szCs w:val="20"/>
              </w:rPr>
              <w:t>1083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9A7963" w14:textId="31D38F38" w:rsidR="003132A3" w:rsidRPr="00185868" w:rsidDel="00B670F5" w:rsidRDefault="003132A3" w:rsidP="003F7A28">
            <w:pPr>
              <w:suppressAutoHyphens w:val="0"/>
              <w:spacing w:before="0" w:after="0" w:line="240" w:lineRule="auto"/>
              <w:jc w:val="right"/>
              <w:rPr>
                <w:b/>
                <w:sz w:val="20"/>
                <w:szCs w:val="20"/>
              </w:rPr>
            </w:pPr>
            <w:r w:rsidRPr="00185868">
              <w:rPr>
                <w:b/>
                <w:sz w:val="20"/>
                <w:szCs w:val="20"/>
              </w:rPr>
              <w:t>1552</w:t>
            </w:r>
          </w:p>
        </w:tc>
      </w:tr>
    </w:tbl>
    <w:p w14:paraId="2384FFA6" w14:textId="4FB04078" w:rsidR="00340819" w:rsidRDefault="00340819" w:rsidP="0024305D">
      <w:r>
        <w:t>Projekcij</w:t>
      </w:r>
      <w:r w:rsidR="009C7437">
        <w:t>e</w:t>
      </w:r>
      <w:r>
        <w:t xml:space="preserve"> emisija stakleničkih plinova iz ne-energetskih izvora u Republici Hrvatskoj</w:t>
      </w:r>
      <w:r w:rsidR="005D7291">
        <w:t xml:space="preserve">, sukladno </w:t>
      </w:r>
      <w:r w:rsidR="00F242F6">
        <w:t>prijedlogu</w:t>
      </w:r>
      <w:r w:rsidR="005D7291">
        <w:t xml:space="preserve"> </w:t>
      </w:r>
      <w:r w:rsidR="00F242F6">
        <w:t>Strategij</w:t>
      </w:r>
      <w:r w:rsidR="00995061">
        <w:t>e</w:t>
      </w:r>
      <w:r w:rsidR="00F242F6">
        <w:t xml:space="preserve"> niskougljičnog razvoja Republike Hrvatske, </w:t>
      </w:r>
      <w:r>
        <w:t>prikaz</w:t>
      </w:r>
      <w:r w:rsidR="00C01B98">
        <w:t xml:space="preserve">uje </w:t>
      </w:r>
      <w:r w:rsidR="00C01B98">
        <w:fldChar w:fldCharType="begin"/>
      </w:r>
      <w:r w:rsidR="00C01B98">
        <w:instrText xml:space="preserve"> REF _Ref531872519 \h </w:instrText>
      </w:r>
      <w:r w:rsidR="00C01B98">
        <w:fldChar w:fldCharType="separate"/>
      </w:r>
      <w:r w:rsidR="00E5423A">
        <w:t xml:space="preserve">Slika </w:t>
      </w:r>
      <w:r w:rsidR="00E5423A">
        <w:rPr>
          <w:noProof/>
        </w:rPr>
        <w:t>5</w:t>
      </w:r>
      <w:r w:rsidR="00E5423A">
        <w:noBreakHyphen/>
      </w:r>
      <w:r w:rsidR="00E5423A">
        <w:rPr>
          <w:noProof/>
        </w:rPr>
        <w:t>2</w:t>
      </w:r>
      <w:r w:rsidR="00C01B98">
        <w:fldChar w:fldCharType="end"/>
      </w:r>
      <w:r>
        <w:t>.</w:t>
      </w:r>
      <w:r w:rsidR="00EE79B0">
        <w:t xml:space="preserve"> Za scenarij s</w:t>
      </w:r>
      <w:r w:rsidR="00557762">
        <w:t xml:space="preserve"> postojećim mjerama odabran je </w:t>
      </w:r>
      <w:r w:rsidR="00DF0F1C">
        <w:t>refer</w:t>
      </w:r>
      <w:r w:rsidR="001F194F">
        <w:t>e</w:t>
      </w:r>
      <w:r w:rsidR="0024305D">
        <w:t>n</w:t>
      </w:r>
      <w:r w:rsidR="00DF0F1C">
        <w:t xml:space="preserve">tni scenarij </w:t>
      </w:r>
      <w:r w:rsidR="00874395">
        <w:t>(</w:t>
      </w:r>
      <w:r w:rsidR="00BC0037">
        <w:t>NUR</w:t>
      </w:r>
      <w:r w:rsidR="00874395">
        <w:t>)</w:t>
      </w:r>
      <w:r w:rsidR="00827585">
        <w:t xml:space="preserve">, a za scenarij s dodatnim mjerama </w:t>
      </w:r>
      <w:r w:rsidR="0024305D">
        <w:t>scenarij postupne tranzicije (NU1)</w:t>
      </w:r>
      <w:r w:rsidR="001F194F">
        <w:t>.</w:t>
      </w:r>
    </w:p>
    <w:p w14:paraId="04C0B05A" w14:textId="292D7BC9" w:rsidR="00157089" w:rsidRDefault="004B47FA" w:rsidP="00DB7DF8">
      <w:pPr>
        <w:jc w:val="center"/>
      </w:pPr>
      <w:r>
        <w:rPr>
          <w:noProof/>
        </w:rPr>
        <w:drawing>
          <wp:inline distT="0" distB="0" distL="0" distR="0" wp14:anchorId="00C32702" wp14:editId="24277899">
            <wp:extent cx="5338991" cy="2828925"/>
            <wp:effectExtent l="0" t="0" r="0" b="0"/>
            <wp:docPr id="218790850" name="Picture 21879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9076" cy="2834269"/>
                    </a:xfrm>
                    <a:prstGeom prst="rect">
                      <a:avLst/>
                    </a:prstGeom>
                    <a:noFill/>
                  </pic:spPr>
                </pic:pic>
              </a:graphicData>
            </a:graphic>
          </wp:inline>
        </w:drawing>
      </w:r>
    </w:p>
    <w:p w14:paraId="5DAA0B89" w14:textId="4B1C6BC1" w:rsidR="00157089" w:rsidRPr="00F817AC" w:rsidRDefault="00C01B98" w:rsidP="00CF2D4C">
      <w:pPr>
        <w:pStyle w:val="Caption"/>
        <w:rPr>
          <w:szCs w:val="20"/>
        </w:rPr>
      </w:pPr>
      <w:bookmarkStart w:id="455" w:name="_Ref531872519"/>
      <w:bookmarkStart w:id="456" w:name="_Toc531935317"/>
      <w:r>
        <w:t xml:space="preserve">Slika </w:t>
      </w:r>
      <w:fldSimple w:instr=" STYLEREF 1 \s ">
        <w:r w:rsidR="00856D97">
          <w:rPr>
            <w:noProof/>
          </w:rPr>
          <w:t>5</w:t>
        </w:r>
      </w:fldSimple>
      <w:r w:rsidR="00856D97">
        <w:noBreakHyphen/>
      </w:r>
      <w:fldSimple w:instr=" SEQ Slika \* ARABIC \s 1 ">
        <w:r w:rsidR="00856D97">
          <w:rPr>
            <w:noProof/>
          </w:rPr>
          <w:t>2</w:t>
        </w:r>
      </w:fldSimple>
      <w:bookmarkEnd w:id="455"/>
      <w:r w:rsidRPr="00F817AC">
        <w:rPr>
          <w:szCs w:val="20"/>
        </w:rPr>
        <w:t xml:space="preserve">. </w:t>
      </w:r>
      <w:r w:rsidRPr="0030751A">
        <w:rPr>
          <w:szCs w:val="20"/>
        </w:rPr>
        <w:t>Projekcije emisija stakleničkih za scenarij s postojećim mjerama i scenarij s dodatnim mjerama</w:t>
      </w:r>
      <w:r w:rsidRPr="0030751A" w:rsidDel="0030751A">
        <w:rPr>
          <w:szCs w:val="20"/>
        </w:rPr>
        <w:t xml:space="preserve"> </w:t>
      </w:r>
      <w:r>
        <w:rPr>
          <w:szCs w:val="20"/>
        </w:rPr>
        <w:t>– ne-energetski izvori</w:t>
      </w:r>
      <w:bookmarkEnd w:id="456"/>
    </w:p>
    <w:p w14:paraId="7C2F651A" w14:textId="764AEFD8" w:rsidR="00D555C4" w:rsidRDefault="00D555C4" w:rsidP="00D555C4">
      <w:r>
        <w:t>Potencijal dodatnih mjera smanjenj</w:t>
      </w:r>
      <w:r w:rsidR="00805903">
        <w:t>a</w:t>
      </w:r>
      <w:r>
        <w:t xml:space="preserve"> emisij</w:t>
      </w:r>
      <w:r w:rsidR="00805903">
        <w:t>a</w:t>
      </w:r>
      <w:r>
        <w:t xml:space="preserve"> </w:t>
      </w:r>
      <w:r w:rsidR="005D74CD">
        <w:t>za</w:t>
      </w:r>
      <w:r>
        <w:t xml:space="preserve"> </w:t>
      </w:r>
      <w:r w:rsidR="005D74CD">
        <w:t>ne-</w:t>
      </w:r>
      <w:r>
        <w:t>energetsk</w:t>
      </w:r>
      <w:r w:rsidR="005D74CD">
        <w:t>e</w:t>
      </w:r>
      <w:r>
        <w:t xml:space="preserve"> sektor</w:t>
      </w:r>
      <w:r w:rsidR="005D74CD">
        <w:t>e</w:t>
      </w:r>
      <w:r>
        <w:t xml:space="preserve"> je prikaz</w:t>
      </w:r>
      <w:r w:rsidR="00C01B98">
        <w:t xml:space="preserve">uje </w:t>
      </w:r>
      <w:r w:rsidR="00C01B98">
        <w:fldChar w:fldCharType="begin"/>
      </w:r>
      <w:r w:rsidR="00C01B98">
        <w:instrText xml:space="preserve"> REF _Ref531872549 \h </w:instrText>
      </w:r>
      <w:r w:rsidR="00C01B98">
        <w:fldChar w:fldCharType="separate"/>
      </w:r>
      <w:r w:rsidR="00E5423A">
        <w:t xml:space="preserve">Tablica </w:t>
      </w:r>
      <w:r w:rsidR="00E5423A">
        <w:rPr>
          <w:noProof/>
        </w:rPr>
        <w:t>5</w:t>
      </w:r>
      <w:r w:rsidR="00E5423A">
        <w:noBreakHyphen/>
      </w:r>
      <w:r w:rsidR="00E5423A">
        <w:rPr>
          <w:noProof/>
        </w:rPr>
        <w:t>2</w:t>
      </w:r>
      <w:r w:rsidR="00C01B98">
        <w:fldChar w:fldCharType="end"/>
      </w:r>
      <w:r w:rsidR="004F3D0B">
        <w:t xml:space="preserve">, a predstavlja </w:t>
      </w:r>
      <w:r w:rsidR="00071A30">
        <w:t>razliku emisija stakleničkih plinova</w:t>
      </w:r>
      <w:r w:rsidR="00874395">
        <w:t xml:space="preserve"> scenarija NUR i NU1.</w:t>
      </w:r>
    </w:p>
    <w:p w14:paraId="69C26C4F" w14:textId="629A637A" w:rsidR="005D74CD" w:rsidRDefault="005D74CD" w:rsidP="005D74CD">
      <w:pPr>
        <w:pStyle w:val="Caption"/>
      </w:pPr>
      <w:bookmarkStart w:id="457" w:name="_Ref531872549"/>
      <w:bookmarkStart w:id="458" w:name="_Toc531935367"/>
      <w:r>
        <w:t xml:space="preserve">Tablica </w:t>
      </w:r>
      <w:r w:rsidR="00B22048">
        <w:rPr>
          <w:noProof/>
        </w:rPr>
        <w:fldChar w:fldCharType="begin"/>
      </w:r>
      <w:r w:rsidR="00B22048">
        <w:rPr>
          <w:noProof/>
        </w:rPr>
        <w:instrText xml:space="preserve"> STYLEREF 1 \s </w:instrText>
      </w:r>
      <w:r w:rsidR="00B22048">
        <w:rPr>
          <w:noProof/>
        </w:rPr>
        <w:fldChar w:fldCharType="separate"/>
      </w:r>
      <w:r w:rsidR="00E5423A">
        <w:rPr>
          <w:noProof/>
        </w:rPr>
        <w:t>5</w:t>
      </w:r>
      <w:r w:rsidR="00B22048">
        <w:rPr>
          <w:noProof/>
        </w:rPr>
        <w:fldChar w:fldCharType="end"/>
      </w:r>
      <w:r w:rsidR="00C95155">
        <w:noBreakHyphen/>
      </w:r>
      <w:r w:rsidR="00B22048">
        <w:rPr>
          <w:noProof/>
        </w:rPr>
        <w:fldChar w:fldCharType="begin"/>
      </w:r>
      <w:r w:rsidR="00B22048">
        <w:rPr>
          <w:noProof/>
        </w:rPr>
        <w:instrText xml:space="preserve"> SEQ Tablica \* ARABIC \s 1 </w:instrText>
      </w:r>
      <w:r w:rsidR="00B22048">
        <w:rPr>
          <w:noProof/>
        </w:rPr>
        <w:fldChar w:fldCharType="separate"/>
      </w:r>
      <w:r w:rsidR="00E5423A">
        <w:rPr>
          <w:noProof/>
        </w:rPr>
        <w:t>2</w:t>
      </w:r>
      <w:r w:rsidR="00B22048">
        <w:rPr>
          <w:noProof/>
        </w:rPr>
        <w:fldChar w:fldCharType="end"/>
      </w:r>
      <w:bookmarkEnd w:id="457"/>
      <w:r>
        <w:t xml:space="preserve">: </w:t>
      </w:r>
      <w:r w:rsidRPr="003442A3">
        <w:t>Potencijal smanjenja emisij</w:t>
      </w:r>
      <w:r>
        <w:t>e stakleničkih plinova</w:t>
      </w:r>
      <w:r w:rsidRPr="003442A3">
        <w:t xml:space="preserve"> dodatnim mjerama</w:t>
      </w:r>
      <w:r>
        <w:t xml:space="preserve"> za </w:t>
      </w:r>
      <w:r w:rsidR="0078674D">
        <w:t>ne-</w:t>
      </w:r>
      <w:r>
        <w:t>energetske izvore</w:t>
      </w:r>
      <w:bookmarkEnd w:id="458"/>
    </w:p>
    <w:tbl>
      <w:tblPr>
        <w:tblW w:w="9209" w:type="dxa"/>
        <w:tblLayout w:type="fixed"/>
        <w:tblLook w:val="04A0" w:firstRow="1" w:lastRow="0" w:firstColumn="1" w:lastColumn="0" w:noHBand="0" w:noVBand="1"/>
      </w:tblPr>
      <w:tblGrid>
        <w:gridCol w:w="4106"/>
        <w:gridCol w:w="1275"/>
        <w:gridCol w:w="1276"/>
        <w:gridCol w:w="1276"/>
        <w:gridCol w:w="1276"/>
      </w:tblGrid>
      <w:tr w:rsidR="005D74CD" w:rsidRPr="00530D21" w14:paraId="13614D87" w14:textId="77777777" w:rsidTr="00DB7DF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20A5C" w14:textId="77777777" w:rsidR="005D74CD" w:rsidRPr="00530D21" w:rsidRDefault="005D74CD" w:rsidP="00DB7DF8">
            <w:pPr>
              <w:suppressAutoHyphens w:val="0"/>
              <w:spacing w:before="60" w:after="60" w:line="240" w:lineRule="auto"/>
              <w:jc w:val="left"/>
              <w:rPr>
                <w:rFonts w:cs="Arial"/>
                <w:b/>
                <w:bCs/>
                <w:sz w:val="20"/>
                <w:szCs w:val="20"/>
              </w:rPr>
            </w:pPr>
            <w:r>
              <w:rPr>
                <w:rFonts w:cs="Arial"/>
                <w:b/>
                <w:bCs/>
                <w:sz w:val="20"/>
                <w:szCs w:val="20"/>
              </w:rPr>
              <w:t>S</w:t>
            </w:r>
            <w:r w:rsidRPr="00530D21">
              <w:rPr>
                <w:rFonts w:cs="Arial"/>
                <w:b/>
                <w:bCs/>
                <w:sz w:val="20"/>
                <w:szCs w:val="20"/>
              </w:rPr>
              <w:t>manjenj</w:t>
            </w:r>
            <w:r>
              <w:rPr>
                <w:rFonts w:cs="Arial"/>
                <w:b/>
                <w:bCs/>
                <w:sz w:val="20"/>
                <w:szCs w:val="20"/>
              </w:rPr>
              <w:t>e</w:t>
            </w:r>
            <w:r w:rsidRPr="00530D21">
              <w:rPr>
                <w:rFonts w:cs="Arial"/>
                <w:b/>
                <w:bCs/>
                <w:sz w:val="20"/>
                <w:szCs w:val="20"/>
              </w:rPr>
              <w:t xml:space="preserve"> emisij</w:t>
            </w:r>
            <w:r>
              <w:rPr>
                <w:rFonts w:cs="Arial"/>
                <w:b/>
                <w:bCs/>
                <w:sz w:val="20"/>
                <w:szCs w:val="20"/>
              </w:rPr>
              <w:t>e CO</w:t>
            </w:r>
            <w:r w:rsidRPr="00E07206">
              <w:rPr>
                <w:rFonts w:cs="Arial"/>
                <w:b/>
                <w:bCs/>
                <w:sz w:val="20"/>
                <w:szCs w:val="20"/>
                <w:vertAlign w:val="subscript"/>
              </w:rPr>
              <w:t>2</w:t>
            </w:r>
            <w:r>
              <w:rPr>
                <w:rFonts w:cs="Arial"/>
                <w:b/>
                <w:bCs/>
                <w:sz w:val="20"/>
                <w:szCs w:val="20"/>
              </w:rPr>
              <w:t>e</w:t>
            </w:r>
            <w:r w:rsidRPr="00530D21">
              <w:rPr>
                <w:rFonts w:cs="Arial"/>
                <w:b/>
                <w:bCs/>
                <w:sz w:val="20"/>
                <w:szCs w:val="20"/>
              </w:rPr>
              <w:t xml:space="preserve"> (kt)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144855" w14:textId="77777777" w:rsidR="005D74CD" w:rsidRPr="00DB7DF8" w:rsidRDefault="005D74CD" w:rsidP="00DB7DF8">
            <w:pPr>
              <w:suppressAutoHyphens w:val="0"/>
              <w:spacing w:before="60" w:after="60" w:line="240" w:lineRule="auto"/>
              <w:jc w:val="right"/>
              <w:rPr>
                <w:rFonts w:cs="Arial"/>
                <w:b/>
                <w:sz w:val="20"/>
                <w:szCs w:val="20"/>
              </w:rPr>
            </w:pPr>
            <w:r w:rsidRPr="00DB7DF8">
              <w:rPr>
                <w:rFonts w:cs="Arial"/>
                <w:b/>
                <w:sz w:val="20"/>
                <w:szCs w:val="20"/>
              </w:rPr>
              <w:t>2025.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A27C7B6" w14:textId="77777777" w:rsidR="005D74CD" w:rsidRPr="00DB7DF8" w:rsidRDefault="005D74CD" w:rsidP="00DB7DF8">
            <w:pPr>
              <w:suppressAutoHyphens w:val="0"/>
              <w:spacing w:before="60" w:after="60" w:line="240" w:lineRule="auto"/>
              <w:jc w:val="right"/>
              <w:rPr>
                <w:rFonts w:cs="Arial"/>
                <w:b/>
                <w:sz w:val="20"/>
                <w:szCs w:val="20"/>
              </w:rPr>
            </w:pPr>
            <w:r w:rsidRPr="00DB7DF8">
              <w:rPr>
                <w:rFonts w:cs="Arial"/>
                <w:b/>
                <w:sz w:val="20"/>
                <w:szCs w:val="20"/>
              </w:rPr>
              <w:t>2030.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255AFF" w14:textId="77777777" w:rsidR="005D74CD" w:rsidRPr="00DB7DF8" w:rsidRDefault="005D74CD" w:rsidP="00DB7DF8">
            <w:pPr>
              <w:suppressAutoHyphens w:val="0"/>
              <w:spacing w:before="60" w:after="60" w:line="240" w:lineRule="auto"/>
              <w:jc w:val="right"/>
              <w:rPr>
                <w:rFonts w:cs="Arial"/>
                <w:b/>
                <w:sz w:val="20"/>
                <w:szCs w:val="20"/>
              </w:rPr>
            </w:pPr>
            <w:r w:rsidRPr="00DB7DF8">
              <w:rPr>
                <w:rFonts w:cs="Arial"/>
                <w:b/>
                <w:sz w:val="20"/>
                <w:szCs w:val="20"/>
              </w:rPr>
              <w:t>2035.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20C639" w14:textId="77777777" w:rsidR="005D74CD" w:rsidRPr="00DB7DF8" w:rsidRDefault="005D74CD" w:rsidP="00DB7DF8">
            <w:pPr>
              <w:suppressAutoHyphens w:val="0"/>
              <w:spacing w:before="60" w:after="60" w:line="240" w:lineRule="auto"/>
              <w:jc w:val="right"/>
              <w:rPr>
                <w:rFonts w:cs="Arial"/>
                <w:b/>
                <w:sz w:val="20"/>
                <w:szCs w:val="20"/>
              </w:rPr>
            </w:pPr>
            <w:r w:rsidRPr="00DB7DF8">
              <w:rPr>
                <w:rFonts w:cs="Arial"/>
                <w:b/>
                <w:sz w:val="20"/>
                <w:szCs w:val="20"/>
              </w:rPr>
              <w:t>2040.</w:t>
            </w:r>
          </w:p>
        </w:tc>
      </w:tr>
      <w:tr w:rsidR="005D61BE" w:rsidRPr="00530D21" w14:paraId="5FB38D91" w14:textId="77777777" w:rsidTr="00DB7DF8">
        <w:trPr>
          <w:trHeight w:val="25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6E7FF33" w14:textId="6D6D5586" w:rsidR="005D61BE" w:rsidRPr="00530D21" w:rsidRDefault="005D61BE" w:rsidP="005D61BE">
            <w:pPr>
              <w:suppressAutoHyphens w:val="0"/>
              <w:spacing w:before="0" w:after="0" w:line="240" w:lineRule="auto"/>
              <w:jc w:val="left"/>
              <w:rPr>
                <w:rFonts w:cs="Arial"/>
                <w:sz w:val="20"/>
                <w:szCs w:val="20"/>
              </w:rPr>
            </w:pPr>
            <w:r>
              <w:rPr>
                <w:rFonts w:cs="Arial"/>
                <w:sz w:val="20"/>
                <w:szCs w:val="20"/>
              </w:rPr>
              <w:t>Industrijski procesi</w:t>
            </w:r>
          </w:p>
        </w:tc>
        <w:tc>
          <w:tcPr>
            <w:tcW w:w="1275" w:type="dxa"/>
            <w:tcBorders>
              <w:top w:val="nil"/>
              <w:left w:val="nil"/>
              <w:bottom w:val="single" w:sz="4" w:space="0" w:color="auto"/>
              <w:right w:val="single" w:sz="4" w:space="0" w:color="auto"/>
            </w:tcBorders>
            <w:shd w:val="clear" w:color="auto" w:fill="auto"/>
            <w:noWrap/>
            <w:vAlign w:val="center"/>
            <w:hideMark/>
          </w:tcPr>
          <w:p w14:paraId="5D36021F" w14:textId="6BD7FB73" w:rsidR="005D61BE" w:rsidRPr="00B00023" w:rsidRDefault="005D61BE" w:rsidP="00D95B93">
            <w:pPr>
              <w:suppressAutoHyphens w:val="0"/>
              <w:spacing w:before="0" w:after="0" w:line="240" w:lineRule="auto"/>
              <w:jc w:val="right"/>
              <w:rPr>
                <w:rFonts w:cs="Arial"/>
                <w:sz w:val="20"/>
                <w:szCs w:val="20"/>
              </w:rPr>
            </w:pPr>
            <w:r w:rsidRPr="00DB7DF8">
              <w:rPr>
                <w:sz w:val="20"/>
                <w:szCs w:val="20"/>
              </w:rPr>
              <w:t>577</w:t>
            </w:r>
          </w:p>
        </w:tc>
        <w:tc>
          <w:tcPr>
            <w:tcW w:w="1276" w:type="dxa"/>
            <w:tcBorders>
              <w:top w:val="nil"/>
              <w:left w:val="nil"/>
              <w:bottom w:val="single" w:sz="4" w:space="0" w:color="auto"/>
              <w:right w:val="single" w:sz="4" w:space="0" w:color="auto"/>
            </w:tcBorders>
            <w:shd w:val="clear" w:color="auto" w:fill="auto"/>
            <w:noWrap/>
            <w:vAlign w:val="center"/>
            <w:hideMark/>
          </w:tcPr>
          <w:p w14:paraId="7BFC3ABF" w14:textId="57B35247" w:rsidR="005D61BE" w:rsidRPr="00B00023" w:rsidRDefault="005D61BE" w:rsidP="00D95B93">
            <w:pPr>
              <w:suppressAutoHyphens w:val="0"/>
              <w:spacing w:before="0" w:after="0" w:line="240" w:lineRule="auto"/>
              <w:jc w:val="right"/>
              <w:rPr>
                <w:rFonts w:cs="Arial"/>
                <w:sz w:val="20"/>
                <w:szCs w:val="20"/>
              </w:rPr>
            </w:pPr>
            <w:r w:rsidRPr="00DB7DF8">
              <w:rPr>
                <w:sz w:val="20"/>
                <w:szCs w:val="20"/>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1666A946" w14:textId="3763618F" w:rsidR="005D61BE" w:rsidRPr="00B00023" w:rsidRDefault="005D61BE" w:rsidP="00D95B93">
            <w:pPr>
              <w:suppressAutoHyphens w:val="0"/>
              <w:spacing w:before="0" w:after="0" w:line="240" w:lineRule="auto"/>
              <w:jc w:val="right"/>
              <w:rPr>
                <w:rFonts w:cs="Arial"/>
                <w:sz w:val="20"/>
                <w:szCs w:val="20"/>
              </w:rPr>
            </w:pPr>
            <w:r w:rsidRPr="00DB7DF8">
              <w:rPr>
                <w:sz w:val="20"/>
                <w:szCs w:val="20"/>
              </w:rPr>
              <w:t>643</w:t>
            </w:r>
          </w:p>
        </w:tc>
        <w:tc>
          <w:tcPr>
            <w:tcW w:w="1276" w:type="dxa"/>
            <w:tcBorders>
              <w:top w:val="nil"/>
              <w:left w:val="nil"/>
              <w:bottom w:val="single" w:sz="4" w:space="0" w:color="auto"/>
              <w:right w:val="single" w:sz="4" w:space="0" w:color="auto"/>
            </w:tcBorders>
            <w:shd w:val="clear" w:color="auto" w:fill="auto"/>
            <w:noWrap/>
            <w:vAlign w:val="center"/>
            <w:hideMark/>
          </w:tcPr>
          <w:p w14:paraId="7B78ADE1" w14:textId="305DFAFE" w:rsidR="005D61BE" w:rsidRPr="00B00023" w:rsidRDefault="005D61BE" w:rsidP="00D95B93">
            <w:pPr>
              <w:suppressAutoHyphens w:val="0"/>
              <w:spacing w:before="0" w:after="0" w:line="240" w:lineRule="auto"/>
              <w:jc w:val="right"/>
              <w:rPr>
                <w:rFonts w:cs="Arial"/>
                <w:sz w:val="20"/>
                <w:szCs w:val="20"/>
              </w:rPr>
            </w:pPr>
            <w:r w:rsidRPr="00DB7DF8">
              <w:rPr>
                <w:sz w:val="20"/>
                <w:szCs w:val="20"/>
              </w:rPr>
              <w:t>688</w:t>
            </w:r>
          </w:p>
        </w:tc>
      </w:tr>
      <w:tr w:rsidR="00897090" w:rsidRPr="00530D21" w14:paraId="34EDDAF5" w14:textId="77777777" w:rsidTr="00DB7DF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AE532" w14:textId="2072B43F" w:rsidR="00897090" w:rsidRPr="00530D21" w:rsidRDefault="00897090" w:rsidP="00897090">
            <w:pPr>
              <w:suppressAutoHyphens w:val="0"/>
              <w:spacing w:before="0" w:after="0" w:line="240" w:lineRule="auto"/>
              <w:jc w:val="left"/>
              <w:rPr>
                <w:rFonts w:cs="Arial"/>
                <w:sz w:val="20"/>
                <w:szCs w:val="20"/>
              </w:rPr>
            </w:pPr>
            <w:r>
              <w:rPr>
                <w:rFonts w:cs="Arial"/>
                <w:sz w:val="20"/>
                <w:szCs w:val="20"/>
              </w:rPr>
              <w:t>Poljoprivreda</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24769C3" w14:textId="348D3A20" w:rsidR="00897090" w:rsidRPr="00B00023" w:rsidRDefault="00897090" w:rsidP="00944851">
            <w:pPr>
              <w:suppressAutoHyphens w:val="0"/>
              <w:spacing w:before="0" w:after="0" w:line="240" w:lineRule="auto"/>
              <w:jc w:val="right"/>
              <w:rPr>
                <w:rFonts w:cs="Arial"/>
                <w:sz w:val="20"/>
                <w:szCs w:val="20"/>
              </w:rPr>
            </w:pPr>
            <w:r w:rsidRPr="00DB7DF8">
              <w:rPr>
                <w:sz w:val="20"/>
                <w:szCs w:val="20"/>
              </w:rPr>
              <w:t>274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B112F8" w14:textId="59D737A1" w:rsidR="00897090" w:rsidRPr="00B00023" w:rsidRDefault="00897090" w:rsidP="00944851">
            <w:pPr>
              <w:suppressAutoHyphens w:val="0"/>
              <w:spacing w:before="0" w:after="0" w:line="240" w:lineRule="auto"/>
              <w:jc w:val="right"/>
              <w:rPr>
                <w:rFonts w:cs="Arial"/>
                <w:sz w:val="20"/>
                <w:szCs w:val="20"/>
              </w:rPr>
            </w:pPr>
            <w:r w:rsidRPr="00DB7DF8">
              <w:rPr>
                <w:sz w:val="20"/>
                <w:szCs w:val="20"/>
              </w:rPr>
              <w:t>317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315F42" w14:textId="6B6D26DB" w:rsidR="00897090" w:rsidRPr="00B00023" w:rsidRDefault="00897090" w:rsidP="00944851">
            <w:pPr>
              <w:suppressAutoHyphens w:val="0"/>
              <w:spacing w:before="0" w:after="0" w:line="240" w:lineRule="auto"/>
              <w:jc w:val="right"/>
              <w:rPr>
                <w:rFonts w:cs="Arial"/>
                <w:sz w:val="20"/>
                <w:szCs w:val="20"/>
              </w:rPr>
            </w:pPr>
            <w:r w:rsidRPr="00DB7DF8">
              <w:rPr>
                <w:sz w:val="20"/>
                <w:szCs w:val="20"/>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20230F" w14:textId="0FE649F8" w:rsidR="00897090" w:rsidRPr="00B00023" w:rsidRDefault="00897090" w:rsidP="00944851">
            <w:pPr>
              <w:suppressAutoHyphens w:val="0"/>
              <w:spacing w:before="0" w:after="0" w:line="240" w:lineRule="auto"/>
              <w:jc w:val="right"/>
              <w:rPr>
                <w:rFonts w:cs="Arial"/>
                <w:sz w:val="20"/>
                <w:szCs w:val="20"/>
              </w:rPr>
            </w:pPr>
            <w:r w:rsidRPr="00DB7DF8">
              <w:rPr>
                <w:sz w:val="20"/>
                <w:szCs w:val="20"/>
              </w:rPr>
              <w:t>576</w:t>
            </w:r>
          </w:p>
        </w:tc>
      </w:tr>
      <w:tr w:rsidR="00897090" w:rsidRPr="00530D21" w14:paraId="1B71A5D4" w14:textId="77777777" w:rsidTr="00DB7DF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5BA27" w14:textId="10B068CB" w:rsidR="00897090" w:rsidRPr="00530D21" w:rsidRDefault="00897090" w:rsidP="00897090">
            <w:pPr>
              <w:suppressAutoHyphens w:val="0"/>
              <w:spacing w:before="0" w:after="0" w:line="240" w:lineRule="auto"/>
              <w:jc w:val="left"/>
              <w:rPr>
                <w:rFonts w:cs="Arial"/>
                <w:sz w:val="20"/>
                <w:szCs w:val="20"/>
              </w:rPr>
            </w:pPr>
            <w:r>
              <w:rPr>
                <w:rFonts w:cs="Arial"/>
                <w:sz w:val="20"/>
                <w:szCs w:val="20"/>
              </w:rPr>
              <w:t>Otpad</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4F33925" w14:textId="4EDA106E" w:rsidR="00897090" w:rsidRPr="00B00023" w:rsidRDefault="00897090" w:rsidP="00944851">
            <w:pPr>
              <w:suppressAutoHyphens w:val="0"/>
              <w:spacing w:before="0" w:after="0" w:line="240" w:lineRule="auto"/>
              <w:jc w:val="right"/>
              <w:rPr>
                <w:rFonts w:cs="Arial"/>
                <w:sz w:val="20"/>
                <w:szCs w:val="20"/>
              </w:rPr>
            </w:pPr>
            <w:r w:rsidRPr="00DB7DF8">
              <w:rPr>
                <w:sz w:val="20"/>
                <w:szCs w:val="20"/>
              </w:rPr>
              <w:t>888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E40527" w14:textId="29635985" w:rsidR="00897090" w:rsidRPr="00B00023" w:rsidRDefault="00897090" w:rsidP="00944851">
            <w:pPr>
              <w:suppressAutoHyphens w:val="0"/>
              <w:spacing w:before="0" w:after="0" w:line="240" w:lineRule="auto"/>
              <w:jc w:val="right"/>
              <w:rPr>
                <w:rFonts w:cs="Arial"/>
                <w:sz w:val="20"/>
                <w:szCs w:val="20"/>
              </w:rPr>
            </w:pPr>
            <w:r w:rsidRPr="00DB7DF8">
              <w:rPr>
                <w:sz w:val="20"/>
                <w:szCs w:val="20"/>
              </w:rPr>
              <w:t>1283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A6724C" w14:textId="12B79554" w:rsidR="00897090" w:rsidRPr="00B00023" w:rsidRDefault="00897090" w:rsidP="00944851">
            <w:pPr>
              <w:suppressAutoHyphens w:val="0"/>
              <w:spacing w:before="0" w:after="0" w:line="240" w:lineRule="auto"/>
              <w:jc w:val="right"/>
              <w:rPr>
                <w:rFonts w:cs="Arial"/>
                <w:sz w:val="20"/>
                <w:szCs w:val="20"/>
              </w:rPr>
            </w:pPr>
            <w:r w:rsidRPr="00DB7DF8">
              <w:rPr>
                <w:sz w:val="20"/>
                <w:szCs w:val="20"/>
              </w:rPr>
              <w:t>1599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7BB23C" w14:textId="19047378" w:rsidR="00897090" w:rsidRPr="00B00023" w:rsidRDefault="00897090" w:rsidP="00944851">
            <w:pPr>
              <w:suppressAutoHyphens w:val="0"/>
              <w:spacing w:before="0" w:after="0" w:line="240" w:lineRule="auto"/>
              <w:jc w:val="right"/>
              <w:rPr>
                <w:rFonts w:cs="Arial"/>
                <w:sz w:val="20"/>
                <w:szCs w:val="20"/>
              </w:rPr>
            </w:pPr>
            <w:r w:rsidRPr="00DB7DF8">
              <w:rPr>
                <w:sz w:val="20"/>
                <w:szCs w:val="20"/>
              </w:rPr>
              <w:t>1873</w:t>
            </w:r>
          </w:p>
        </w:tc>
      </w:tr>
      <w:tr w:rsidR="00EC5903" w:rsidRPr="00530D21" w14:paraId="13489330" w14:textId="77777777" w:rsidTr="00DB7DF8">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7838" w14:textId="21627777" w:rsidR="00EC5903" w:rsidRPr="00DB7DF8" w:rsidRDefault="00EC5903" w:rsidP="00D3657D">
            <w:pPr>
              <w:suppressAutoHyphens w:val="0"/>
              <w:spacing w:before="0" w:after="0" w:line="240" w:lineRule="auto"/>
              <w:jc w:val="left"/>
              <w:rPr>
                <w:rFonts w:cs="Arial"/>
                <w:b/>
                <w:sz w:val="20"/>
                <w:szCs w:val="20"/>
              </w:rPr>
            </w:pPr>
            <w:r>
              <w:rPr>
                <w:rFonts w:cs="Arial"/>
                <w:b/>
                <w:sz w:val="20"/>
                <w:szCs w:val="20"/>
              </w:rPr>
              <w:t>P</w:t>
            </w:r>
            <w:r w:rsidRPr="00DB7DF8">
              <w:rPr>
                <w:rFonts w:cs="Arial"/>
                <w:b/>
                <w:sz w:val="20"/>
                <w:szCs w:val="20"/>
              </w:rPr>
              <w:t>otencijal smanjenja emisije</w:t>
            </w:r>
            <w:r>
              <w:rPr>
                <w:rFonts w:cs="Arial"/>
                <w:b/>
                <w:sz w:val="20"/>
                <w:szCs w:val="20"/>
              </w:rPr>
              <w:t xml:space="preserve"> – ne-energetski izvori</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102EC24" w14:textId="33AFEDD8" w:rsidR="00EC5903" w:rsidRPr="00DB7DF8" w:rsidDel="00B670F5" w:rsidRDefault="00EC5903">
            <w:pPr>
              <w:suppressAutoHyphens w:val="0"/>
              <w:spacing w:before="0" w:after="0" w:line="240" w:lineRule="auto"/>
              <w:jc w:val="right"/>
              <w:rPr>
                <w:b/>
                <w:sz w:val="20"/>
                <w:szCs w:val="20"/>
              </w:rPr>
            </w:pPr>
            <w:r w:rsidRPr="00DB7DF8">
              <w:rPr>
                <w:b/>
                <w:sz w:val="20"/>
                <w:szCs w:val="20"/>
              </w:rPr>
              <w:t>1738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29D4DB" w14:textId="771061FC" w:rsidR="00EC5903" w:rsidRPr="00DB7DF8" w:rsidDel="00B670F5" w:rsidRDefault="00EC5903">
            <w:pPr>
              <w:suppressAutoHyphens w:val="0"/>
              <w:spacing w:before="0" w:after="0" w:line="240" w:lineRule="auto"/>
              <w:jc w:val="right"/>
              <w:rPr>
                <w:b/>
                <w:sz w:val="20"/>
                <w:szCs w:val="20"/>
              </w:rPr>
            </w:pPr>
            <w:r w:rsidRPr="00DB7DF8">
              <w:rPr>
                <w:b/>
                <w:sz w:val="20"/>
                <w:szCs w:val="20"/>
              </w:rPr>
              <w:t>2200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D79CBE" w14:textId="78505422" w:rsidR="00EC5903" w:rsidRPr="00DB7DF8" w:rsidDel="00B670F5" w:rsidRDefault="00EC5903">
            <w:pPr>
              <w:suppressAutoHyphens w:val="0"/>
              <w:spacing w:before="0" w:after="0" w:line="240" w:lineRule="auto"/>
              <w:jc w:val="right"/>
              <w:rPr>
                <w:b/>
                <w:sz w:val="20"/>
                <w:szCs w:val="20"/>
              </w:rPr>
            </w:pPr>
            <w:r w:rsidRPr="00DB7DF8">
              <w:rPr>
                <w:b/>
                <w:sz w:val="20"/>
                <w:szCs w:val="20"/>
              </w:rPr>
              <w:t>2602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A4EDEE" w14:textId="0DC5CE84" w:rsidR="00EC5903" w:rsidRPr="00DB7DF8" w:rsidDel="00B670F5" w:rsidRDefault="00EC5903">
            <w:pPr>
              <w:suppressAutoHyphens w:val="0"/>
              <w:spacing w:before="0" w:after="0" w:line="240" w:lineRule="auto"/>
              <w:jc w:val="right"/>
              <w:rPr>
                <w:b/>
                <w:sz w:val="20"/>
                <w:szCs w:val="20"/>
              </w:rPr>
            </w:pPr>
            <w:r w:rsidRPr="00DB7DF8">
              <w:rPr>
                <w:b/>
                <w:sz w:val="20"/>
                <w:szCs w:val="20"/>
              </w:rPr>
              <w:t>3137</w:t>
            </w:r>
          </w:p>
        </w:tc>
      </w:tr>
    </w:tbl>
    <w:p w14:paraId="40504B16" w14:textId="76A0A873" w:rsidR="006C4D23" w:rsidRDefault="006C4D23" w:rsidP="006C4D23">
      <w:r w:rsidRPr="0053172A">
        <w:t xml:space="preserve">Ukupne emisije stakleničkih plinova </w:t>
      </w:r>
      <w:r>
        <w:t xml:space="preserve">u Republici Hrvatskoj </w:t>
      </w:r>
      <w:r w:rsidRPr="0053172A">
        <w:t xml:space="preserve">prikazuje </w:t>
      </w:r>
      <w:r w:rsidR="00C01B98">
        <w:fldChar w:fldCharType="begin"/>
      </w:r>
      <w:r w:rsidR="00C01B98">
        <w:instrText xml:space="preserve"> REF _Ref531872591 \h </w:instrText>
      </w:r>
      <w:r w:rsidR="00C01B98">
        <w:fldChar w:fldCharType="separate"/>
      </w:r>
      <w:r w:rsidR="00E5423A">
        <w:t xml:space="preserve">Slika </w:t>
      </w:r>
      <w:r w:rsidR="00E5423A">
        <w:rPr>
          <w:noProof/>
        </w:rPr>
        <w:t>5</w:t>
      </w:r>
      <w:r w:rsidR="00E5423A">
        <w:noBreakHyphen/>
      </w:r>
      <w:r w:rsidR="00E5423A">
        <w:rPr>
          <w:noProof/>
        </w:rPr>
        <w:t>3</w:t>
      </w:r>
      <w:r w:rsidR="00C01B98">
        <w:fldChar w:fldCharType="end"/>
      </w:r>
      <w:r w:rsidRPr="0053172A">
        <w:t xml:space="preserve">. </w:t>
      </w:r>
      <w:r>
        <w:t>P</w:t>
      </w:r>
      <w:r w:rsidRPr="0053172A">
        <w:t xml:space="preserve">rikazan je trend povijesnih emisija i očekivanog smanjenja emisija za scenarij </w:t>
      </w:r>
      <w:r>
        <w:t xml:space="preserve">s postojećim mjerama </w:t>
      </w:r>
      <w:r w:rsidR="00483D4C" w:rsidRPr="00483D4C">
        <w:t>i scenarij s dodatnim mjerama</w:t>
      </w:r>
      <w:r w:rsidRPr="00483D4C">
        <w:t>.</w:t>
      </w:r>
      <w:r w:rsidRPr="0053172A">
        <w:t xml:space="preserve"> </w:t>
      </w:r>
      <w:r w:rsidR="00483D4C" w:rsidRPr="00483D4C">
        <w:t>Emisija stakleničkih plinova bi u 2030. godini bila za 28,7</w:t>
      </w:r>
      <w:r w:rsidR="00827666">
        <w:t>-37,5</w:t>
      </w:r>
      <w:r w:rsidR="00483D4C" w:rsidRPr="00483D4C">
        <w:t xml:space="preserve"> % manja od razine emisije iz 1990. godine</w:t>
      </w:r>
      <w:r w:rsidRPr="0053172A">
        <w:t>.</w:t>
      </w:r>
    </w:p>
    <w:p w14:paraId="558E8E06" w14:textId="713A4C69" w:rsidR="00483D4C" w:rsidRDefault="00483D4C" w:rsidP="006C4D23">
      <w:r w:rsidRPr="00483D4C">
        <w:t xml:space="preserve">Tijekom 2019. godine </w:t>
      </w:r>
      <w:r>
        <w:t>projekcije emisija iz energetskih i ne-energetskih izvora će se međusobno uskladiti</w:t>
      </w:r>
      <w:r w:rsidRPr="00483D4C">
        <w:t xml:space="preserve"> pa može doći i do korekcija u pogledu projekcija emisija.</w:t>
      </w:r>
    </w:p>
    <w:p w14:paraId="5407698A" w14:textId="429B1C54" w:rsidR="006C4D23" w:rsidRDefault="00745F3A" w:rsidP="006C4D23">
      <w:pPr>
        <w:jc w:val="center"/>
      </w:pPr>
      <w:r>
        <w:rPr>
          <w:noProof/>
        </w:rPr>
        <w:drawing>
          <wp:inline distT="0" distB="0" distL="0" distR="0" wp14:anchorId="0761D7EC" wp14:editId="3EE4530C">
            <wp:extent cx="5800725" cy="285124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9304" cy="2860374"/>
                    </a:xfrm>
                    <a:prstGeom prst="rect">
                      <a:avLst/>
                    </a:prstGeom>
                    <a:noFill/>
                  </pic:spPr>
                </pic:pic>
              </a:graphicData>
            </a:graphic>
          </wp:inline>
        </w:drawing>
      </w:r>
    </w:p>
    <w:p w14:paraId="3B68A9E7" w14:textId="68FF57F8" w:rsidR="006C4D23" w:rsidRPr="00F817AC" w:rsidRDefault="00C01B98" w:rsidP="00CF2D4C">
      <w:pPr>
        <w:pStyle w:val="Caption"/>
        <w:rPr>
          <w:szCs w:val="20"/>
        </w:rPr>
      </w:pPr>
      <w:bookmarkStart w:id="459" w:name="_Ref531872591"/>
      <w:bookmarkStart w:id="460" w:name="_Toc531935318"/>
      <w:r w:rsidRPr="00C875CC">
        <w:t xml:space="preserve">Slika </w:t>
      </w:r>
      <w:fldSimple w:instr=" STYLEREF 1 \s ">
        <w:r w:rsidR="00856D97" w:rsidRPr="00C875CC">
          <w:t>5</w:t>
        </w:r>
      </w:fldSimple>
      <w:r w:rsidR="00856D97" w:rsidRPr="00C875CC">
        <w:noBreakHyphen/>
      </w:r>
      <w:fldSimple w:instr=" SEQ Slika \* ARABIC \s 1 ">
        <w:r w:rsidR="00856D97" w:rsidRPr="00C875CC">
          <w:t>3</w:t>
        </w:r>
      </w:fldSimple>
      <w:bookmarkEnd w:id="459"/>
      <w:r w:rsidRPr="00C875CC">
        <w:rPr>
          <w:szCs w:val="20"/>
        </w:rPr>
        <w:t>. Projekcija ukupnih emisija stakleničkih plinova, za scenarij s postojećim mjerama i</w:t>
      </w:r>
      <w:r w:rsidR="00374BF2" w:rsidRPr="00C875CC">
        <w:rPr>
          <w:szCs w:val="20"/>
        </w:rPr>
        <w:t xml:space="preserve"> </w:t>
      </w:r>
      <w:r w:rsidR="006C4D23" w:rsidRPr="00C875CC">
        <w:rPr>
          <w:szCs w:val="20"/>
        </w:rPr>
        <w:t>scenarij s dodatnim mjerama</w:t>
      </w:r>
      <w:bookmarkEnd w:id="460"/>
    </w:p>
    <w:p w14:paraId="394ADA6F" w14:textId="40C71994" w:rsidR="006C4D23" w:rsidRDefault="006C4D23" w:rsidP="006C4D23">
      <w:r w:rsidRPr="0053172A">
        <w:t>Republika Hrvatska ovim scenarijima ispunjava obvezu smanjenja emisije stakleničkih plinova iz sektora izvan ETS-a za 2030.</w:t>
      </w:r>
      <w:r w:rsidR="00522272">
        <w:t xml:space="preserve"> (</w:t>
      </w:r>
      <w:r w:rsidR="008F1DD4">
        <w:t>-7 %</w:t>
      </w:r>
      <w:r w:rsidR="00522272">
        <w:t>).</w:t>
      </w:r>
      <w:r w:rsidRPr="0053172A">
        <w:t xml:space="preserve"> Smanjenje emisije iz ne ETS sektora bi iznosilo </w:t>
      </w:r>
      <w:r>
        <w:t>20,6</w:t>
      </w:r>
      <w:r w:rsidR="00B74066">
        <w:t>-32,0</w:t>
      </w:r>
      <w:r w:rsidRPr="0053172A">
        <w:t xml:space="preserve"> % do 2030. godine, u odnosu na emisiju iz 2005. godine </w:t>
      </w:r>
      <w:r w:rsidR="00294E57">
        <w:t>(</w:t>
      </w:r>
      <w:r w:rsidR="00C01B98">
        <w:fldChar w:fldCharType="begin"/>
      </w:r>
      <w:r w:rsidR="00C01B98">
        <w:instrText xml:space="preserve"> REF _Ref531872629 \h </w:instrText>
      </w:r>
      <w:r w:rsidR="00C01B98">
        <w:fldChar w:fldCharType="separate"/>
      </w:r>
      <w:r w:rsidR="00E5423A">
        <w:t xml:space="preserve">Slika </w:t>
      </w:r>
      <w:r w:rsidR="00E5423A">
        <w:rPr>
          <w:noProof/>
        </w:rPr>
        <w:t>5</w:t>
      </w:r>
      <w:r w:rsidR="00E5423A">
        <w:noBreakHyphen/>
      </w:r>
      <w:r w:rsidR="00E5423A">
        <w:rPr>
          <w:noProof/>
        </w:rPr>
        <w:t>4</w:t>
      </w:r>
      <w:r w:rsidR="00C01B98">
        <w:fldChar w:fldCharType="end"/>
      </w:r>
      <w:r w:rsidR="00294E57">
        <w:t>).</w:t>
      </w:r>
    </w:p>
    <w:p w14:paraId="07AAB429" w14:textId="539A9CE1" w:rsidR="006C4D23" w:rsidRDefault="003D50FF" w:rsidP="00DB7DF8">
      <w:pPr>
        <w:jc w:val="center"/>
      </w:pPr>
      <w:r>
        <w:rPr>
          <w:noProof/>
        </w:rPr>
        <w:drawing>
          <wp:inline distT="0" distB="0" distL="0" distR="0" wp14:anchorId="66962E00" wp14:editId="27BA07FB">
            <wp:extent cx="5810250" cy="297065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6586" cy="2979010"/>
                    </a:xfrm>
                    <a:prstGeom prst="rect">
                      <a:avLst/>
                    </a:prstGeom>
                    <a:noFill/>
                  </pic:spPr>
                </pic:pic>
              </a:graphicData>
            </a:graphic>
          </wp:inline>
        </w:drawing>
      </w:r>
    </w:p>
    <w:p w14:paraId="3ACE4896" w14:textId="0EADD10D" w:rsidR="006C4D23" w:rsidRPr="00F817AC" w:rsidRDefault="00C01B98" w:rsidP="00CF2D4C">
      <w:pPr>
        <w:pStyle w:val="Caption"/>
        <w:rPr>
          <w:szCs w:val="20"/>
        </w:rPr>
      </w:pPr>
      <w:bookmarkStart w:id="461" w:name="_Ref531872629"/>
      <w:bookmarkStart w:id="462" w:name="_Toc531935319"/>
      <w:r w:rsidRPr="00B74066">
        <w:t xml:space="preserve">Slika </w:t>
      </w:r>
      <w:fldSimple w:instr=" STYLEREF 1 \s ">
        <w:r w:rsidR="00856D97" w:rsidRPr="00B74066">
          <w:t>5</w:t>
        </w:r>
      </w:fldSimple>
      <w:r w:rsidR="00856D97" w:rsidRPr="00B74066">
        <w:noBreakHyphen/>
      </w:r>
      <w:fldSimple w:instr=" SEQ Slika \* ARABIC \s 1 ">
        <w:r w:rsidR="00856D97" w:rsidRPr="00B74066">
          <w:t>4</w:t>
        </w:r>
      </w:fldSimple>
      <w:bookmarkEnd w:id="461"/>
      <w:r w:rsidRPr="00B74066">
        <w:t>.</w:t>
      </w:r>
      <w:r w:rsidRPr="00B74066">
        <w:rPr>
          <w:szCs w:val="20"/>
        </w:rPr>
        <w:t>Projekcija emisija stakleničkih plinova iz sektora izvan ETS-a, za scenarij s postojećim mjerama i scenarij s dodatnim mjerama</w:t>
      </w:r>
      <w:bookmarkEnd w:id="462"/>
    </w:p>
    <w:p w14:paraId="24AB788E" w14:textId="71E1EC8A" w:rsidR="0088749A" w:rsidDel="006C4D23" w:rsidRDefault="0088749A" w:rsidP="00340819"/>
    <w:p w14:paraId="71210216" w14:textId="41D66AA2" w:rsidR="0088749A" w:rsidDel="006C4D23" w:rsidRDefault="00FE31C5" w:rsidP="00340819">
      <w:r w:rsidRPr="005F7E30">
        <w:t>Smanjenje emisija u ETS sektoru bi 2030. godine bilo 30,1</w:t>
      </w:r>
      <w:r w:rsidR="003D50FF" w:rsidRPr="005F7E30">
        <w:t>-35,8</w:t>
      </w:r>
      <w:r w:rsidRPr="005F7E30">
        <w:t xml:space="preserve"> %.</w:t>
      </w:r>
      <w:r w:rsidR="00294E57" w:rsidRPr="005F7E30">
        <w:t xml:space="preserve"> Projekciju emisija stakleničkih plinova za ETS sektor prikazuje </w:t>
      </w:r>
      <w:r w:rsidR="005F7E30" w:rsidRPr="005F7E30">
        <w:fldChar w:fldCharType="begin"/>
      </w:r>
      <w:r w:rsidR="005F7E30" w:rsidRPr="005F7E30">
        <w:instrText xml:space="preserve"> REF _Ref532204639 \h </w:instrText>
      </w:r>
      <w:r w:rsidR="005F7E30">
        <w:instrText xml:space="preserve"> \* MERGEFORMAT </w:instrText>
      </w:r>
      <w:r w:rsidR="005F7E30" w:rsidRPr="00976062">
        <w:fldChar w:fldCharType="separate"/>
      </w:r>
      <w:r w:rsidR="005F7E30" w:rsidRPr="005F7E30">
        <w:t>Slika 5</w:t>
      </w:r>
      <w:r w:rsidR="005F7E30" w:rsidRPr="005F7E30">
        <w:noBreakHyphen/>
      </w:r>
      <w:r w:rsidR="005F7E30" w:rsidRPr="00976062">
        <w:rPr>
          <w:noProof/>
        </w:rPr>
        <w:t>5</w:t>
      </w:r>
      <w:r w:rsidR="005F7E30" w:rsidRPr="005F7E30">
        <w:fldChar w:fldCharType="end"/>
      </w:r>
      <w:r w:rsidR="00C01B98" w:rsidRPr="00976062">
        <w:fldChar w:fldCharType="begin"/>
      </w:r>
      <w:r w:rsidR="00C01B98" w:rsidRPr="005F7E30">
        <w:instrText xml:space="preserve"> REF _Ref531872663 \h </w:instrText>
      </w:r>
      <w:r w:rsidR="00CA3570" w:rsidRPr="005F7E30">
        <w:instrText xml:space="preserve"> \* MERGEFORMAT </w:instrText>
      </w:r>
      <w:r w:rsidR="00C01B98" w:rsidRPr="00976062">
        <w:fldChar w:fldCharType="separate"/>
      </w:r>
      <w:r w:rsidR="00C01B98" w:rsidRPr="00976062">
        <w:fldChar w:fldCharType="end"/>
      </w:r>
      <w:r w:rsidR="00294E57" w:rsidRPr="00976062">
        <w:t>.</w:t>
      </w:r>
    </w:p>
    <w:p w14:paraId="0A068A6C" w14:textId="16D215D4" w:rsidR="0053172A" w:rsidRPr="00F817AC" w:rsidDel="006C4D23" w:rsidRDefault="0053172A" w:rsidP="0053172A">
      <w:pPr>
        <w:jc w:val="center"/>
        <w:rPr>
          <w:b/>
          <w:sz w:val="20"/>
          <w:szCs w:val="20"/>
        </w:rPr>
      </w:pPr>
      <w:r w:rsidRPr="0053172A" w:rsidDel="006C4D23">
        <w:rPr>
          <w:b/>
          <w:sz w:val="20"/>
          <w:szCs w:val="20"/>
        </w:rPr>
        <w:t xml:space="preserve"> </w:t>
      </w:r>
      <w:r w:rsidR="00CA3570">
        <w:rPr>
          <w:b/>
          <w:noProof/>
          <w:sz w:val="20"/>
          <w:szCs w:val="20"/>
        </w:rPr>
        <w:drawing>
          <wp:inline distT="0" distB="0" distL="0" distR="0" wp14:anchorId="0BBD5310" wp14:editId="5DF7552E">
            <wp:extent cx="5819775" cy="29726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27174" cy="2976392"/>
                    </a:xfrm>
                    <a:prstGeom prst="rect">
                      <a:avLst/>
                    </a:prstGeom>
                    <a:noFill/>
                  </pic:spPr>
                </pic:pic>
              </a:graphicData>
            </a:graphic>
          </wp:inline>
        </w:drawing>
      </w:r>
    </w:p>
    <w:p w14:paraId="6DB2291B" w14:textId="1FEBA3D1" w:rsidR="002B6D39" w:rsidRPr="00F817AC" w:rsidRDefault="00A87274" w:rsidP="00A87274">
      <w:pPr>
        <w:pStyle w:val="Caption"/>
        <w:rPr>
          <w:b w:val="0"/>
          <w:szCs w:val="20"/>
        </w:rPr>
      </w:pPr>
      <w:bookmarkStart w:id="463" w:name="_Ref531872663"/>
      <w:bookmarkStart w:id="464" w:name="_Toc531935320"/>
      <w:bookmarkStart w:id="465" w:name="_Ref532204639"/>
      <w:r w:rsidRPr="005F7E30">
        <w:t xml:space="preserve">Slika </w:t>
      </w:r>
      <w:fldSimple w:instr=" STYLEREF 1 \s ">
        <w:r w:rsidR="00856D97" w:rsidRPr="005F7E30">
          <w:t>5</w:t>
        </w:r>
      </w:fldSimple>
      <w:r w:rsidR="00856D97" w:rsidRPr="005F7E30">
        <w:noBreakHyphen/>
      </w:r>
      <w:r w:rsidR="00856D97" w:rsidRPr="005F7E30">
        <w:fldChar w:fldCharType="begin"/>
      </w:r>
      <w:r w:rsidR="00856D97" w:rsidRPr="00976062">
        <w:instrText xml:space="preserve"> SEQ Slika \* ARABIC \s 1 </w:instrText>
      </w:r>
      <w:r w:rsidR="00856D97" w:rsidRPr="00976062">
        <w:fldChar w:fldCharType="separate"/>
      </w:r>
      <w:r w:rsidR="00856D97" w:rsidRPr="00976062">
        <w:rPr>
          <w:noProof/>
        </w:rPr>
        <w:t>5</w:t>
      </w:r>
      <w:r w:rsidR="00856D97" w:rsidRPr="005F7E30">
        <w:fldChar w:fldCharType="end"/>
      </w:r>
      <w:bookmarkEnd w:id="465"/>
      <w:r w:rsidR="00AA71A4" w:rsidRPr="005F7E30">
        <w:t xml:space="preserve">. </w:t>
      </w:r>
      <w:r w:rsidRPr="005F7E30">
        <w:t>Projekcija emisija stakleničkih plinova iz ETS sektora, za scenarij s postojećim mjerama i scenarij s dodatnim</w:t>
      </w:r>
      <w:r w:rsidRPr="00CA3570">
        <w:t xml:space="preserve"> mjerama</w:t>
      </w:r>
      <w:bookmarkEnd w:id="463"/>
      <w:bookmarkEnd w:id="464"/>
    </w:p>
    <w:p w14:paraId="2656211A" w14:textId="7AE058B3" w:rsidR="002C65A8" w:rsidDel="006C4D23" w:rsidRDefault="001111AF" w:rsidP="002C65A8">
      <w:r>
        <w:t>P</w:t>
      </w:r>
      <w:r w:rsidR="00B75B01">
        <w:t>rethodne slike prikazuju</w:t>
      </w:r>
      <w:r>
        <w:t xml:space="preserve"> </w:t>
      </w:r>
      <w:r w:rsidR="00645B0E">
        <w:t xml:space="preserve">preliminarne rezultate objedinjavanja projekcija emisija stakleničkih plinova iz </w:t>
      </w:r>
      <w:r w:rsidR="00724BA3">
        <w:t xml:space="preserve">energetskih izvora prema </w:t>
      </w:r>
      <w:r w:rsidR="00461782">
        <w:t>analizama napravljenim za potrebe izrade</w:t>
      </w:r>
      <w:r w:rsidR="00645B0E" w:rsidRPr="00645B0E">
        <w:t xml:space="preserve"> </w:t>
      </w:r>
      <w:r w:rsidR="00645B0E">
        <w:t>E</w:t>
      </w:r>
      <w:r w:rsidR="00645B0E" w:rsidRPr="00645B0E">
        <w:t xml:space="preserve">nergetske strategije </w:t>
      </w:r>
      <w:r w:rsidR="00645B0E">
        <w:t xml:space="preserve">i </w:t>
      </w:r>
      <w:r w:rsidR="00724BA3">
        <w:t>ne-energetskih izvora</w:t>
      </w:r>
      <w:r w:rsidR="00645B0E">
        <w:t xml:space="preserve"> </w:t>
      </w:r>
      <w:r w:rsidR="003F4CCF">
        <w:t>u skladu s</w:t>
      </w:r>
      <w:r w:rsidR="00645B0E">
        <w:t xml:space="preserve"> prijedlog</w:t>
      </w:r>
      <w:r w:rsidR="003F4CCF">
        <w:t>om</w:t>
      </w:r>
      <w:r w:rsidR="00645B0E">
        <w:t xml:space="preserve"> Niskougljične strategije</w:t>
      </w:r>
      <w:r w:rsidR="002C65A8" w:rsidRPr="00294E57">
        <w:t>.</w:t>
      </w:r>
      <w:r w:rsidR="003F4CCF">
        <w:t xml:space="preserve"> Tijekom 2019. godine </w:t>
      </w:r>
      <w:r w:rsidR="00AC2F1C">
        <w:t>ti će s</w:t>
      </w:r>
      <w:r w:rsidR="00C2361F">
        <w:t>e</w:t>
      </w:r>
      <w:r w:rsidR="00AC2F1C">
        <w:t xml:space="preserve"> izvori međusobno harmonizirati </w:t>
      </w:r>
      <w:r w:rsidR="00CF2B90">
        <w:t xml:space="preserve">pa </w:t>
      </w:r>
      <w:r w:rsidR="005872F8">
        <w:t>može doći i do korekcija u pogledu projekcija</w:t>
      </w:r>
      <w:r w:rsidR="00423761">
        <w:t xml:space="preserve"> emisij</w:t>
      </w:r>
      <w:r w:rsidR="005872F8">
        <w:t>a</w:t>
      </w:r>
      <w:r w:rsidR="00AA17C1">
        <w:t>.</w:t>
      </w:r>
      <w:r w:rsidR="00461782">
        <w:t xml:space="preserve"> </w:t>
      </w:r>
    </w:p>
    <w:p w14:paraId="384CF314" w14:textId="77777777" w:rsidR="00AC3A92" w:rsidRPr="00AC3A92" w:rsidRDefault="00AC3A92" w:rsidP="00AC3A92"/>
    <w:p w14:paraId="2318F85E" w14:textId="77777777" w:rsidR="00C21988" w:rsidRDefault="00C21988" w:rsidP="00C21988">
      <w:pPr>
        <w:pStyle w:val="Heading2"/>
      </w:pPr>
      <w:bookmarkStart w:id="466" w:name="_Toc531801585"/>
      <w:bookmarkStart w:id="467" w:name="_Toc531801712"/>
      <w:bookmarkStart w:id="468" w:name="_Toc531801840"/>
      <w:bookmarkStart w:id="469" w:name="_Toc531801968"/>
      <w:bookmarkStart w:id="470" w:name="_Toc531801586"/>
      <w:bookmarkStart w:id="471" w:name="_Toc531801713"/>
      <w:bookmarkStart w:id="472" w:name="_Toc531801841"/>
      <w:bookmarkStart w:id="473" w:name="_Toc531801969"/>
      <w:bookmarkStart w:id="474" w:name="_Toc531801587"/>
      <w:bookmarkStart w:id="475" w:name="_Toc531801714"/>
      <w:bookmarkStart w:id="476" w:name="_Toc531801842"/>
      <w:bookmarkStart w:id="477" w:name="_Toc531801970"/>
      <w:bookmarkStart w:id="478" w:name="_Toc531801588"/>
      <w:bookmarkStart w:id="479" w:name="_Toc531801715"/>
      <w:bookmarkStart w:id="480" w:name="_Toc531801843"/>
      <w:bookmarkStart w:id="481" w:name="_Toc531801971"/>
      <w:bookmarkStart w:id="482" w:name="_Toc531801589"/>
      <w:bookmarkStart w:id="483" w:name="_Toc531801716"/>
      <w:bookmarkStart w:id="484" w:name="_Toc531801844"/>
      <w:bookmarkStart w:id="485" w:name="_Toc531801972"/>
      <w:bookmarkStart w:id="486" w:name="_Toc531801590"/>
      <w:bookmarkStart w:id="487" w:name="_Toc531801717"/>
      <w:bookmarkStart w:id="488" w:name="_Toc531801845"/>
      <w:bookmarkStart w:id="489" w:name="_Toc531801973"/>
      <w:bookmarkStart w:id="490" w:name="_Toc531801591"/>
      <w:bookmarkStart w:id="491" w:name="_Toc531801718"/>
      <w:bookmarkStart w:id="492" w:name="_Toc531801846"/>
      <w:bookmarkStart w:id="493" w:name="_Toc531801974"/>
      <w:bookmarkStart w:id="494" w:name="_Toc531801592"/>
      <w:bookmarkStart w:id="495" w:name="_Toc531801719"/>
      <w:bookmarkStart w:id="496" w:name="_Toc531801847"/>
      <w:bookmarkStart w:id="497" w:name="_Toc531801975"/>
      <w:bookmarkStart w:id="498" w:name="_Toc531935272"/>
      <w:bookmarkStart w:id="499" w:name="_Toc531945134"/>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t>Makroekonomski, okolišni i socijalni učinci i učinci na vještine (u smislu troškova i koristi, kao i ekonomičnosti) planiranih politika i mjera opisanih u odjeljku 3</w:t>
      </w:r>
      <w:r w:rsidRPr="00412DA1">
        <w:t>.</w:t>
      </w:r>
      <w:bookmarkEnd w:id="498"/>
      <w:bookmarkEnd w:id="499"/>
      <w:r w:rsidRPr="00412DA1">
        <w:t xml:space="preserve"> </w:t>
      </w:r>
    </w:p>
    <w:p w14:paraId="0FFD05BE" w14:textId="03927C16" w:rsidR="00C21988" w:rsidRPr="00412DA1" w:rsidRDefault="001B5FC8" w:rsidP="00C21988">
      <w:r>
        <w:t>U izradi.</w:t>
      </w:r>
    </w:p>
    <w:p w14:paraId="78D20A75" w14:textId="77777777" w:rsidR="00C21988" w:rsidRDefault="00C21988" w:rsidP="00C21988">
      <w:pPr>
        <w:pStyle w:val="Heading2"/>
      </w:pPr>
      <w:bookmarkStart w:id="500" w:name="_Toc531935273"/>
      <w:bookmarkStart w:id="501" w:name="_Toc531945135"/>
      <w:r>
        <w:t>Učinci planiranih politika i mjera opisanih u odjeljku 3. na druge države članice i na regionalnu suradnju barem do posljednje godine razdoblja obuhvaćenog planom, uključujući usporedbu s projekcijama nastalim na temelju postojećih politika i mjera</w:t>
      </w:r>
      <w:bookmarkEnd w:id="500"/>
      <w:bookmarkEnd w:id="501"/>
    </w:p>
    <w:p w14:paraId="064B8FF2" w14:textId="78DAA4E2" w:rsidR="001B5FC8" w:rsidRDefault="001B5FC8" w:rsidP="001B5FC8">
      <w:pPr>
        <w:suppressAutoHyphens w:val="0"/>
        <w:spacing w:after="160" w:line="259" w:lineRule="auto"/>
        <w:contextualSpacing/>
        <w:jc w:val="left"/>
      </w:pPr>
      <w:r>
        <w:t>U izradi.</w:t>
      </w:r>
    </w:p>
    <w:bookmarkEnd w:id="2"/>
    <w:p w14:paraId="05474AAA" w14:textId="6A36EA50" w:rsidR="005965DD" w:rsidRDefault="005965DD">
      <w:pPr>
        <w:suppressAutoHyphens w:val="0"/>
        <w:spacing w:before="0" w:after="0" w:line="240" w:lineRule="auto"/>
        <w:jc w:val="left"/>
      </w:pPr>
      <w:r>
        <w:br w:type="page"/>
      </w:r>
    </w:p>
    <w:p w14:paraId="57C7EC15" w14:textId="0368160D" w:rsidR="00FF0CF3" w:rsidRDefault="000208D1" w:rsidP="00CF2D4C">
      <w:pPr>
        <w:pStyle w:val="Heading1"/>
      </w:pPr>
      <w:bookmarkStart w:id="502" w:name="_Toc531935274"/>
      <w:bookmarkStart w:id="503" w:name="_Toc531945136"/>
      <w:r>
        <w:t>REFERENCE</w:t>
      </w:r>
      <w:bookmarkEnd w:id="502"/>
      <w:bookmarkEnd w:id="503"/>
    </w:p>
    <w:p w14:paraId="549A78FC" w14:textId="4363B02E" w:rsidR="005965DD" w:rsidRDefault="005965DD" w:rsidP="00E00C7D">
      <w:pPr>
        <w:pStyle w:val="ListParagraph"/>
        <w:numPr>
          <w:ilvl w:val="0"/>
          <w:numId w:val="80"/>
        </w:numPr>
      </w:pPr>
      <w:bookmarkStart w:id="504" w:name="_Ref531599476"/>
      <w:r w:rsidRPr="005965DD">
        <w:t>Analize i podloge za izradu energetske strategije Republike Hrvatske</w:t>
      </w:r>
      <w:bookmarkEnd w:id="504"/>
      <w:r w:rsidR="006B7F17">
        <w:t>, MZOE 2018.,</w:t>
      </w:r>
    </w:p>
    <w:p w14:paraId="56DD87E2" w14:textId="6ECB0CCC" w:rsidR="005965DD" w:rsidRDefault="005965DD" w:rsidP="00E00C7D">
      <w:pPr>
        <w:pStyle w:val="ListParagraph"/>
        <w:numPr>
          <w:ilvl w:val="0"/>
          <w:numId w:val="80"/>
        </w:numPr>
      </w:pPr>
      <w:bookmarkStart w:id="505" w:name="_Ref531599550"/>
      <w:r w:rsidRPr="005965DD">
        <w:t>Izvješće o stanju okoliša u Republici Hrvatskoj</w:t>
      </w:r>
      <w:r>
        <w:t>, AZO</w:t>
      </w:r>
      <w:bookmarkEnd w:id="505"/>
      <w:r w:rsidR="005F4C68">
        <w:t>, 2014</w:t>
      </w:r>
      <w:r w:rsidR="0064126D">
        <w:t>.</w:t>
      </w:r>
    </w:p>
    <w:p w14:paraId="786DC52A" w14:textId="236C91FF" w:rsidR="000C30F2" w:rsidRDefault="000C30F2" w:rsidP="00E00C7D">
      <w:pPr>
        <w:pStyle w:val="ListParagraph"/>
        <w:numPr>
          <w:ilvl w:val="0"/>
          <w:numId w:val="80"/>
        </w:numPr>
      </w:pPr>
      <w:bookmarkStart w:id="506" w:name="_Ref531599957"/>
      <w:r>
        <w:t xml:space="preserve">Prijedlog Niskougljične strategije Republike Hrvatske – za javno savjetovanje, </w:t>
      </w:r>
      <w:r w:rsidR="0064126D">
        <w:t xml:space="preserve">MZOE, </w:t>
      </w:r>
      <w:r>
        <w:t>2018.</w:t>
      </w:r>
      <w:bookmarkEnd w:id="506"/>
    </w:p>
    <w:p w14:paraId="58C9A5E7" w14:textId="417BABBB" w:rsidR="00FA7B58" w:rsidRDefault="009A468B" w:rsidP="00276CE9">
      <w:pPr>
        <w:pStyle w:val="ListParagraph"/>
        <w:numPr>
          <w:ilvl w:val="0"/>
          <w:numId w:val="80"/>
        </w:numPr>
      </w:pPr>
      <w:bookmarkStart w:id="507" w:name="_Ref531802168"/>
      <w:r>
        <w:t xml:space="preserve">Nacrt Strategije prilagodbe klimatskim promjenama u Republici Hrvatskoj za razdoblje do 2040. godine s pogledom na 2070. godinu, </w:t>
      </w:r>
      <w:r w:rsidR="006B7F17">
        <w:t>MZOE</w:t>
      </w:r>
      <w:r w:rsidR="00482B33">
        <w:t>,</w:t>
      </w:r>
      <w:r w:rsidR="006B7F17">
        <w:t xml:space="preserve"> 2017.</w:t>
      </w:r>
    </w:p>
    <w:p w14:paraId="1A57D51B" w14:textId="1710149F" w:rsidR="00455DE5" w:rsidRDefault="00455DE5" w:rsidP="00E00C7D">
      <w:pPr>
        <w:pStyle w:val="ListParagraph"/>
        <w:numPr>
          <w:ilvl w:val="0"/>
          <w:numId w:val="80"/>
        </w:numPr>
      </w:pPr>
      <w:bookmarkStart w:id="508" w:name="_Ref531600731"/>
      <w:bookmarkEnd w:id="507"/>
      <w:r>
        <w:t>Strategija pametne specijalizacije Republike Hrvatske za razdoblje od 2016. do 2020. godine,</w:t>
      </w:r>
      <w:bookmarkEnd w:id="508"/>
      <w:r>
        <w:t xml:space="preserve"> </w:t>
      </w:r>
      <w:r w:rsidR="00C4617A">
        <w:t>Ministarstvo gospodarstva, 2016</w:t>
      </w:r>
      <w:r w:rsidR="00C31025" w:rsidRPr="00B01FEC">
        <w:rPr>
          <w:lang w:val="en-GB"/>
        </w:rPr>
        <w:t>.</w:t>
      </w:r>
    </w:p>
    <w:p w14:paraId="2F85C29F" w14:textId="4109BB58" w:rsidR="00455DE5" w:rsidRDefault="0090031F" w:rsidP="00E00C7D">
      <w:pPr>
        <w:pStyle w:val="ListParagraph"/>
        <w:numPr>
          <w:ilvl w:val="0"/>
          <w:numId w:val="80"/>
        </w:numPr>
      </w:pPr>
      <w:bookmarkStart w:id="509" w:name="_Ref531600795"/>
      <w:r>
        <w:t>Strategija poticanja inovacija Republike Hrvatske 2014. -2020.</w:t>
      </w:r>
      <w:bookmarkEnd w:id="509"/>
      <w:r w:rsidR="006B2E89">
        <w:t>, MINGO, 2014,</w:t>
      </w:r>
      <w:r w:rsidR="00C5739A" w:rsidRPr="00B01FEC">
        <w:rPr>
          <w:lang w:val="en-GB"/>
        </w:rPr>
        <w:t>.</w:t>
      </w:r>
    </w:p>
    <w:p w14:paraId="23B283F4" w14:textId="488B87BE" w:rsidR="0090031F" w:rsidRDefault="0090031F" w:rsidP="00E00C7D">
      <w:pPr>
        <w:pStyle w:val="ListParagraph"/>
        <w:numPr>
          <w:ilvl w:val="0"/>
          <w:numId w:val="80"/>
        </w:numPr>
      </w:pPr>
      <w:bookmarkStart w:id="510" w:name="_Ref531601146"/>
      <w:r>
        <w:t>Energija u Hrvatskoj 2016</w:t>
      </w:r>
      <w:bookmarkEnd w:id="510"/>
      <w:r w:rsidR="0064126D">
        <w:t>, MZOE, 2017.</w:t>
      </w:r>
    </w:p>
    <w:p w14:paraId="2DD91549" w14:textId="12667DAA" w:rsidR="0090031F" w:rsidRDefault="00E00C7D" w:rsidP="00E00C7D">
      <w:pPr>
        <w:pStyle w:val="ListParagraph"/>
        <w:numPr>
          <w:ilvl w:val="0"/>
          <w:numId w:val="80"/>
        </w:numPr>
      </w:pPr>
      <w:bookmarkStart w:id="511" w:name="_Ref531604343"/>
      <w:r w:rsidRPr="00E00C7D">
        <w:t>Sedmo nacionalno izvješće i treće dvogodišnje izvješće Republike Hrvatske prema Okvirnoj konvenciji Ujedinjenih Naroda o promjeni klime</w:t>
      </w:r>
      <w:r>
        <w:t xml:space="preserve">, </w:t>
      </w:r>
      <w:r w:rsidR="00F261C5">
        <w:t xml:space="preserve">MZOE, </w:t>
      </w:r>
      <w:r>
        <w:t>2018</w:t>
      </w:r>
      <w:bookmarkEnd w:id="511"/>
      <w:r w:rsidR="00F261C5" w:rsidRPr="00976062">
        <w:t>.</w:t>
      </w:r>
    </w:p>
    <w:p w14:paraId="5D037CA1" w14:textId="520E939D" w:rsidR="00E00C7D" w:rsidRDefault="00E00C7D" w:rsidP="00E00C7D">
      <w:pPr>
        <w:pStyle w:val="ListParagraph"/>
        <w:numPr>
          <w:ilvl w:val="0"/>
          <w:numId w:val="80"/>
        </w:numPr>
      </w:pPr>
      <w:bookmarkStart w:id="512" w:name="_Ref531604458"/>
      <w:r>
        <w:t>Izvješće o inventaru stakleničkih plinova na području Republike Hrvatske za razdoblje 1990. - 201</w:t>
      </w:r>
      <w:r w:rsidR="000C5DD7">
        <w:t>6</w:t>
      </w:r>
      <w:r>
        <w:t>. (NIR 201</w:t>
      </w:r>
      <w:r w:rsidR="000C5DD7">
        <w:t>8</w:t>
      </w:r>
      <w:r>
        <w:t xml:space="preserve">), </w:t>
      </w:r>
      <w:r w:rsidR="00BB66E6">
        <w:t xml:space="preserve">MZOE, </w:t>
      </w:r>
      <w:r>
        <w:t>201</w:t>
      </w:r>
      <w:r w:rsidR="000C5DD7">
        <w:t>8</w:t>
      </w:r>
      <w:bookmarkEnd w:id="512"/>
      <w:r w:rsidR="00E23C10" w:rsidRPr="00B01FEC">
        <w:rPr>
          <w:lang w:val="en-GB"/>
        </w:rPr>
        <w:t>.</w:t>
      </w:r>
    </w:p>
    <w:p w14:paraId="703F21A4" w14:textId="74C5B403" w:rsidR="005E3C10" w:rsidRDefault="005E3C10" w:rsidP="00E00C7D">
      <w:pPr>
        <w:pStyle w:val="ListParagraph"/>
        <w:numPr>
          <w:ilvl w:val="0"/>
          <w:numId w:val="80"/>
        </w:numPr>
      </w:pPr>
      <w:bookmarkStart w:id="513" w:name="_Ref531607463"/>
      <w:r>
        <w:t>Program ruralnog razvoja Republike Hrvatske u razdoblju od 2014. do 2020. godine</w:t>
      </w:r>
      <w:bookmarkEnd w:id="513"/>
      <w:r w:rsidR="0038037A">
        <w:t xml:space="preserve">, </w:t>
      </w:r>
      <w:r w:rsidR="004D0E2B">
        <w:t>Ministarstvo poljoprivrede</w:t>
      </w:r>
      <w:r w:rsidR="007E254D">
        <w:rPr>
          <w:lang w:val="en-GB"/>
        </w:rPr>
        <w:t>, 2015.</w:t>
      </w:r>
    </w:p>
    <w:p w14:paraId="578990E6" w14:textId="58EFA5F9" w:rsidR="005E3C10" w:rsidRDefault="005E3C10" w:rsidP="00E00C7D">
      <w:pPr>
        <w:pStyle w:val="ListParagraph"/>
        <w:numPr>
          <w:ilvl w:val="0"/>
          <w:numId w:val="80"/>
        </w:numPr>
      </w:pPr>
      <w:bookmarkStart w:id="514" w:name="_Ref531607925"/>
      <w:r w:rsidRPr="005E3C10">
        <w:t>Nacionalni akcijski plan za obnovljive izvore energije do 2020. godine</w:t>
      </w:r>
      <w:r>
        <w:t>, MZOE, 2013.</w:t>
      </w:r>
      <w:bookmarkEnd w:id="514"/>
    </w:p>
    <w:p w14:paraId="4056C8E3" w14:textId="67ADFA1E" w:rsidR="00B21A16" w:rsidRDefault="00B21A16" w:rsidP="00E00C7D">
      <w:pPr>
        <w:pStyle w:val="ListParagraph"/>
        <w:numPr>
          <w:ilvl w:val="0"/>
          <w:numId w:val="80"/>
        </w:numPr>
      </w:pPr>
      <w:bookmarkStart w:id="515" w:name="_Ref531608078"/>
      <w:r>
        <w:t xml:space="preserve">3. </w:t>
      </w:r>
      <w:r w:rsidRPr="00B21A16">
        <w:t>Nacionalni akcijski plan za energetsku učinkovitost za razdoblje od 2014. do 2016. godine</w:t>
      </w:r>
      <w:r>
        <w:t xml:space="preserve">, MZOE, </w:t>
      </w:r>
      <w:r w:rsidRPr="00B21A16">
        <w:t>2014</w:t>
      </w:r>
      <w:bookmarkEnd w:id="515"/>
    </w:p>
    <w:p w14:paraId="3B1723D0" w14:textId="5741247A" w:rsidR="001749F6" w:rsidRDefault="001749F6" w:rsidP="006A54E2">
      <w:pPr>
        <w:pStyle w:val="ListParagraph"/>
        <w:numPr>
          <w:ilvl w:val="0"/>
          <w:numId w:val="80"/>
        </w:numPr>
      </w:pPr>
      <w:bookmarkStart w:id="516" w:name="_Ref531609660"/>
      <w:r>
        <w:t xml:space="preserve">Nacrt </w:t>
      </w:r>
      <w:r w:rsidRPr="001749F6">
        <w:t>4. nacionalnog plana energetske učinkovitosti, MZOE, 2017</w:t>
      </w:r>
      <w:bookmarkEnd w:id="516"/>
    </w:p>
    <w:p w14:paraId="79213375" w14:textId="6F66EF86" w:rsidR="00F20918" w:rsidRDefault="009927C2" w:rsidP="006A54E2">
      <w:pPr>
        <w:pStyle w:val="ListParagraph"/>
        <w:numPr>
          <w:ilvl w:val="0"/>
          <w:numId w:val="80"/>
        </w:numPr>
      </w:pPr>
      <w:bookmarkStart w:id="517" w:name="_Ref531872061"/>
      <w:r w:rsidRPr="009927C2">
        <w:t>Procjena potencijala za povećanje energetske učinkovitosti infrastrukture za električnu energiju</w:t>
      </w:r>
      <w:r>
        <w:t>, EIHP, 2016.</w:t>
      </w:r>
      <w:bookmarkEnd w:id="517"/>
    </w:p>
    <w:p w14:paraId="421E9FA2" w14:textId="285DE3ED" w:rsidR="00240E85" w:rsidRPr="0071225B" w:rsidRDefault="00B01FEC" w:rsidP="00240E85">
      <w:pPr>
        <w:pStyle w:val="ListParagraph"/>
        <w:numPr>
          <w:ilvl w:val="0"/>
          <w:numId w:val="80"/>
        </w:numPr>
      </w:pPr>
      <w:bookmarkStart w:id="518" w:name="_Ref531628971"/>
      <w:r w:rsidRPr="00976062">
        <w:t>Nacrt Dugoročne strategije za poticanje ulaganja u obnovu nacionalnog fonda zgrada Republike Hrvatske, MGIPU, 2017</w:t>
      </w:r>
      <w:r w:rsidR="00177508" w:rsidRPr="00976062">
        <w:t>.</w:t>
      </w:r>
      <w:bookmarkEnd w:id="518"/>
    </w:p>
    <w:p w14:paraId="7B9B6D2E" w14:textId="1CBC994F" w:rsidR="0071225B" w:rsidRPr="00CF2D4C" w:rsidRDefault="001E78AC" w:rsidP="00B01FEC">
      <w:pPr>
        <w:pStyle w:val="ListParagraph"/>
        <w:numPr>
          <w:ilvl w:val="0"/>
          <w:numId w:val="80"/>
        </w:numPr>
      </w:pPr>
      <w:bookmarkStart w:id="519" w:name="_Ref531867919"/>
      <w:r w:rsidRPr="001E78AC">
        <w:t>Akrap</w:t>
      </w:r>
      <w:r>
        <w:t>, A.;</w:t>
      </w:r>
      <w:r w:rsidRPr="001E78AC">
        <w:t xml:space="preserve"> Ivanda</w:t>
      </w:r>
      <w:r>
        <w:t>, K.</w:t>
      </w:r>
      <w:r w:rsidRPr="001E78AC">
        <w:t xml:space="preserve">: Projekcije stanovništva Republike Hrvatske, </w:t>
      </w:r>
      <w:r>
        <w:t>2018.</w:t>
      </w:r>
      <w:bookmarkEnd w:id="519"/>
    </w:p>
    <w:p w14:paraId="34FDCA4C" w14:textId="47AE8E85" w:rsidR="00184F37" w:rsidRDefault="00184F37" w:rsidP="00B01FEC">
      <w:pPr>
        <w:pStyle w:val="ListParagraph"/>
        <w:numPr>
          <w:ilvl w:val="0"/>
          <w:numId w:val="80"/>
        </w:numPr>
      </w:pPr>
      <w:bookmarkStart w:id="520" w:name="_Ref531862952"/>
      <w:r>
        <w:t>World Energy Outlook 2018</w:t>
      </w:r>
      <w:bookmarkEnd w:id="520"/>
      <w:r w:rsidR="00D47AA4">
        <w:t xml:space="preserve">, International Energy Agency, </w:t>
      </w:r>
      <w:r w:rsidR="005C61F7">
        <w:t>2018.</w:t>
      </w:r>
    </w:p>
    <w:p w14:paraId="0E9E52D8" w14:textId="2F01CDE9" w:rsidR="00DE41C8" w:rsidRDefault="00DE41C8" w:rsidP="00DE41C8"/>
    <w:p w14:paraId="734536E3" w14:textId="78ACC89E" w:rsidR="00DE41C8" w:rsidRDefault="00DE41C8" w:rsidP="00DE41C8">
      <w:pPr>
        <w:pStyle w:val="Heading1"/>
      </w:pPr>
      <w:bookmarkStart w:id="521" w:name="_Toc531935275"/>
      <w:bookmarkStart w:id="522" w:name="_Toc531945137"/>
      <w:r>
        <w:t>POPIS SLIKA</w:t>
      </w:r>
      <w:bookmarkEnd w:id="521"/>
      <w:bookmarkEnd w:id="522"/>
    </w:p>
    <w:p w14:paraId="5311B49B" w14:textId="2B0A2063" w:rsidR="00B02093" w:rsidRDefault="00A87274">
      <w:pPr>
        <w:pStyle w:val="TableofFigures"/>
        <w:rPr>
          <w:rFonts w:asciiTheme="minorHAnsi" w:eastAsiaTheme="minorEastAsia" w:hAnsiTheme="minorHAnsi" w:cstheme="minorBidi"/>
          <w:noProof/>
        </w:rPr>
      </w:pPr>
      <w:r>
        <w:fldChar w:fldCharType="begin"/>
      </w:r>
      <w:r>
        <w:instrText xml:space="preserve"> TOC \h \z \c "Slika" </w:instrText>
      </w:r>
      <w:r>
        <w:fldChar w:fldCharType="separate"/>
      </w:r>
      <w:hyperlink w:anchor="_Toc531935278" w:history="1">
        <w:r w:rsidR="00B02093" w:rsidRPr="003F6884">
          <w:rPr>
            <w:rStyle w:val="Hyperlink"/>
          </w:rPr>
          <w:t>Slika 1</w:t>
        </w:r>
        <w:r w:rsidR="00B02093" w:rsidRPr="003F6884">
          <w:rPr>
            <w:rStyle w:val="Hyperlink"/>
          </w:rPr>
          <w:noBreakHyphen/>
          <w:t>1 Osnovni pokazatelji razvoja potrošnje energije i ekonomski pokazatelji u RH u razdoblju 2011.-2016. godine</w:t>
        </w:r>
        <w:r w:rsidR="00B02093">
          <w:rPr>
            <w:noProof/>
            <w:webHidden/>
          </w:rPr>
          <w:tab/>
        </w:r>
        <w:r w:rsidR="00B02093">
          <w:rPr>
            <w:noProof/>
            <w:webHidden/>
          </w:rPr>
          <w:fldChar w:fldCharType="begin"/>
        </w:r>
        <w:r w:rsidR="00B02093">
          <w:rPr>
            <w:noProof/>
            <w:webHidden/>
          </w:rPr>
          <w:instrText xml:space="preserve"> PAGEREF _Toc531935278 \h </w:instrText>
        </w:r>
        <w:r w:rsidR="00B02093">
          <w:rPr>
            <w:noProof/>
            <w:webHidden/>
          </w:rPr>
        </w:r>
        <w:r w:rsidR="00B02093">
          <w:rPr>
            <w:noProof/>
            <w:webHidden/>
          </w:rPr>
          <w:fldChar w:fldCharType="separate"/>
        </w:r>
        <w:r w:rsidR="00E5423A">
          <w:rPr>
            <w:noProof/>
            <w:webHidden/>
          </w:rPr>
          <w:t>10</w:t>
        </w:r>
        <w:r w:rsidR="00B02093">
          <w:rPr>
            <w:noProof/>
            <w:webHidden/>
          </w:rPr>
          <w:fldChar w:fldCharType="end"/>
        </w:r>
      </w:hyperlink>
    </w:p>
    <w:p w14:paraId="694A7646" w14:textId="33E72D99" w:rsidR="00B02093" w:rsidRDefault="00185868">
      <w:pPr>
        <w:pStyle w:val="TableofFigures"/>
        <w:rPr>
          <w:rFonts w:asciiTheme="minorHAnsi" w:eastAsiaTheme="minorEastAsia" w:hAnsiTheme="minorHAnsi" w:cstheme="minorBidi"/>
          <w:noProof/>
        </w:rPr>
      </w:pPr>
      <w:hyperlink w:anchor="_Toc531935279" w:history="1">
        <w:r w:rsidR="00B02093" w:rsidRPr="003F6884">
          <w:rPr>
            <w:rStyle w:val="Hyperlink"/>
          </w:rPr>
          <w:t>Slika 1</w:t>
        </w:r>
        <w:r w:rsidR="00B02093" w:rsidRPr="003F6884">
          <w:rPr>
            <w:rStyle w:val="Hyperlink"/>
          </w:rPr>
          <w:noBreakHyphen/>
          <w:t>2 Proizvodnja primarne energije</w:t>
        </w:r>
        <w:r w:rsidR="00B02093">
          <w:rPr>
            <w:noProof/>
            <w:webHidden/>
          </w:rPr>
          <w:tab/>
        </w:r>
        <w:r w:rsidR="00B02093">
          <w:rPr>
            <w:noProof/>
            <w:webHidden/>
          </w:rPr>
          <w:fldChar w:fldCharType="begin"/>
        </w:r>
        <w:r w:rsidR="00B02093">
          <w:rPr>
            <w:noProof/>
            <w:webHidden/>
          </w:rPr>
          <w:instrText xml:space="preserve"> PAGEREF _Toc531935279 \h </w:instrText>
        </w:r>
        <w:r w:rsidR="00B02093">
          <w:rPr>
            <w:noProof/>
            <w:webHidden/>
          </w:rPr>
        </w:r>
        <w:r w:rsidR="00B02093">
          <w:rPr>
            <w:noProof/>
            <w:webHidden/>
          </w:rPr>
          <w:fldChar w:fldCharType="separate"/>
        </w:r>
        <w:r w:rsidR="00E5423A">
          <w:rPr>
            <w:noProof/>
            <w:webHidden/>
          </w:rPr>
          <w:t>11</w:t>
        </w:r>
        <w:r w:rsidR="00B02093">
          <w:rPr>
            <w:noProof/>
            <w:webHidden/>
          </w:rPr>
          <w:fldChar w:fldCharType="end"/>
        </w:r>
      </w:hyperlink>
    </w:p>
    <w:p w14:paraId="68A83EB5" w14:textId="42BE4ACF" w:rsidR="00B02093" w:rsidRDefault="00185868">
      <w:pPr>
        <w:pStyle w:val="TableofFigures"/>
        <w:rPr>
          <w:rFonts w:asciiTheme="minorHAnsi" w:eastAsiaTheme="minorEastAsia" w:hAnsiTheme="minorHAnsi" w:cstheme="minorBidi"/>
          <w:noProof/>
        </w:rPr>
      </w:pPr>
      <w:hyperlink w:anchor="_Toc531935280" w:history="1">
        <w:r w:rsidR="00B02093" w:rsidRPr="003F6884">
          <w:rPr>
            <w:rStyle w:val="Hyperlink"/>
          </w:rPr>
          <w:t>Slika 1</w:t>
        </w:r>
        <w:r w:rsidR="00B02093" w:rsidRPr="003F6884">
          <w:rPr>
            <w:rStyle w:val="Hyperlink"/>
          </w:rPr>
          <w:noBreakHyphen/>
          <w:t>3 Uvoz energije u Hrvatsku</w:t>
        </w:r>
        <w:r w:rsidR="00B02093">
          <w:rPr>
            <w:noProof/>
            <w:webHidden/>
          </w:rPr>
          <w:tab/>
        </w:r>
        <w:r w:rsidR="00B02093">
          <w:rPr>
            <w:noProof/>
            <w:webHidden/>
          </w:rPr>
          <w:fldChar w:fldCharType="begin"/>
        </w:r>
        <w:r w:rsidR="00B02093">
          <w:rPr>
            <w:noProof/>
            <w:webHidden/>
          </w:rPr>
          <w:instrText xml:space="preserve"> PAGEREF _Toc531935280 \h </w:instrText>
        </w:r>
        <w:r w:rsidR="00B02093">
          <w:rPr>
            <w:noProof/>
            <w:webHidden/>
          </w:rPr>
        </w:r>
        <w:r w:rsidR="00B02093">
          <w:rPr>
            <w:noProof/>
            <w:webHidden/>
          </w:rPr>
          <w:fldChar w:fldCharType="separate"/>
        </w:r>
        <w:r w:rsidR="00E5423A">
          <w:rPr>
            <w:noProof/>
            <w:webHidden/>
          </w:rPr>
          <w:t>12</w:t>
        </w:r>
        <w:r w:rsidR="00B02093">
          <w:rPr>
            <w:noProof/>
            <w:webHidden/>
          </w:rPr>
          <w:fldChar w:fldCharType="end"/>
        </w:r>
      </w:hyperlink>
    </w:p>
    <w:p w14:paraId="197A9972" w14:textId="15F1BC04" w:rsidR="00B02093" w:rsidRDefault="00185868">
      <w:pPr>
        <w:pStyle w:val="TableofFigures"/>
        <w:rPr>
          <w:rFonts w:asciiTheme="minorHAnsi" w:eastAsiaTheme="minorEastAsia" w:hAnsiTheme="minorHAnsi" w:cstheme="minorBidi"/>
          <w:noProof/>
        </w:rPr>
      </w:pPr>
      <w:hyperlink w:anchor="_Toc531935281" w:history="1">
        <w:r w:rsidR="00B02093" w:rsidRPr="003F6884">
          <w:rPr>
            <w:rStyle w:val="Hyperlink"/>
          </w:rPr>
          <w:t>Slika 2</w:t>
        </w:r>
        <w:r w:rsidR="00B02093" w:rsidRPr="003F6884">
          <w:rPr>
            <w:rStyle w:val="Hyperlink"/>
          </w:rPr>
          <w:noBreakHyphen/>
          <w:t>1. Indikativne putanje ciljeva udjela OIE za Scenarij i i Scenarij 2</w:t>
        </w:r>
        <w:r w:rsidR="00B02093">
          <w:rPr>
            <w:noProof/>
            <w:webHidden/>
          </w:rPr>
          <w:tab/>
        </w:r>
        <w:r w:rsidR="00B02093">
          <w:rPr>
            <w:noProof/>
            <w:webHidden/>
          </w:rPr>
          <w:fldChar w:fldCharType="begin"/>
        </w:r>
        <w:r w:rsidR="00B02093">
          <w:rPr>
            <w:noProof/>
            <w:webHidden/>
          </w:rPr>
          <w:instrText xml:space="preserve"> PAGEREF _Toc531935281 \h </w:instrText>
        </w:r>
        <w:r w:rsidR="00B02093">
          <w:rPr>
            <w:noProof/>
            <w:webHidden/>
          </w:rPr>
        </w:r>
        <w:r w:rsidR="00B02093">
          <w:rPr>
            <w:noProof/>
            <w:webHidden/>
          </w:rPr>
          <w:fldChar w:fldCharType="separate"/>
        </w:r>
        <w:r w:rsidR="00E5423A">
          <w:rPr>
            <w:noProof/>
            <w:webHidden/>
          </w:rPr>
          <w:t>38</w:t>
        </w:r>
        <w:r w:rsidR="00B02093">
          <w:rPr>
            <w:noProof/>
            <w:webHidden/>
          </w:rPr>
          <w:fldChar w:fldCharType="end"/>
        </w:r>
      </w:hyperlink>
    </w:p>
    <w:p w14:paraId="0F5D6F47" w14:textId="610D9B4D" w:rsidR="00B02093" w:rsidRDefault="00185868">
      <w:pPr>
        <w:pStyle w:val="TableofFigures"/>
        <w:rPr>
          <w:rFonts w:asciiTheme="minorHAnsi" w:eastAsiaTheme="minorEastAsia" w:hAnsiTheme="minorHAnsi" w:cstheme="minorBidi"/>
          <w:noProof/>
        </w:rPr>
      </w:pPr>
      <w:hyperlink w:anchor="_Toc531935282" w:history="1">
        <w:r w:rsidR="00B02093" w:rsidRPr="003F6884">
          <w:rPr>
            <w:rStyle w:val="Hyperlink"/>
          </w:rPr>
          <w:t>Slika 2</w:t>
        </w:r>
        <w:r w:rsidR="00B02093" w:rsidRPr="003F6884">
          <w:rPr>
            <w:rStyle w:val="Hyperlink"/>
          </w:rPr>
          <w:noBreakHyphen/>
          <w:t>2. Ocijenjeni doprinosi OIE tehnologija po sektorima – Scenarij 1</w:t>
        </w:r>
        <w:r w:rsidR="00B02093">
          <w:rPr>
            <w:noProof/>
            <w:webHidden/>
          </w:rPr>
          <w:tab/>
        </w:r>
        <w:r w:rsidR="00B02093">
          <w:rPr>
            <w:noProof/>
            <w:webHidden/>
          </w:rPr>
          <w:fldChar w:fldCharType="begin"/>
        </w:r>
        <w:r w:rsidR="00B02093">
          <w:rPr>
            <w:noProof/>
            <w:webHidden/>
          </w:rPr>
          <w:instrText xml:space="preserve"> PAGEREF _Toc531935282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0E82A780" w14:textId="77F40EEB" w:rsidR="00B02093" w:rsidRDefault="00185868">
      <w:pPr>
        <w:pStyle w:val="TableofFigures"/>
        <w:rPr>
          <w:rFonts w:asciiTheme="minorHAnsi" w:eastAsiaTheme="minorEastAsia" w:hAnsiTheme="minorHAnsi" w:cstheme="minorBidi"/>
          <w:noProof/>
        </w:rPr>
      </w:pPr>
      <w:hyperlink w:anchor="_Toc531935283" w:history="1">
        <w:r w:rsidR="00B02093" w:rsidRPr="003F6884">
          <w:rPr>
            <w:rStyle w:val="Hyperlink"/>
          </w:rPr>
          <w:t>Slika 2</w:t>
        </w:r>
        <w:r w:rsidR="00B02093" w:rsidRPr="003F6884">
          <w:rPr>
            <w:rStyle w:val="Hyperlink"/>
          </w:rPr>
          <w:noBreakHyphen/>
          <w:t>3. Ocijenjeni doprinosi OIE tehnologija po sektorima – Scenarij 2</w:t>
        </w:r>
        <w:r w:rsidR="00B02093">
          <w:rPr>
            <w:noProof/>
            <w:webHidden/>
          </w:rPr>
          <w:tab/>
        </w:r>
        <w:r w:rsidR="00B02093">
          <w:rPr>
            <w:noProof/>
            <w:webHidden/>
          </w:rPr>
          <w:fldChar w:fldCharType="begin"/>
        </w:r>
        <w:r w:rsidR="00B02093">
          <w:rPr>
            <w:noProof/>
            <w:webHidden/>
          </w:rPr>
          <w:instrText xml:space="preserve"> PAGEREF _Toc531935283 \h </w:instrText>
        </w:r>
        <w:r w:rsidR="00B02093">
          <w:rPr>
            <w:noProof/>
            <w:webHidden/>
          </w:rPr>
        </w:r>
        <w:r w:rsidR="00B02093">
          <w:rPr>
            <w:noProof/>
            <w:webHidden/>
          </w:rPr>
          <w:fldChar w:fldCharType="separate"/>
        </w:r>
        <w:r w:rsidR="00E5423A">
          <w:rPr>
            <w:noProof/>
            <w:webHidden/>
          </w:rPr>
          <w:t>40</w:t>
        </w:r>
        <w:r w:rsidR="00B02093">
          <w:rPr>
            <w:noProof/>
            <w:webHidden/>
          </w:rPr>
          <w:fldChar w:fldCharType="end"/>
        </w:r>
      </w:hyperlink>
    </w:p>
    <w:p w14:paraId="45608F86" w14:textId="71951FDB" w:rsidR="00B02093" w:rsidRDefault="00185868">
      <w:pPr>
        <w:pStyle w:val="TableofFigures"/>
        <w:rPr>
          <w:rFonts w:asciiTheme="minorHAnsi" w:eastAsiaTheme="minorEastAsia" w:hAnsiTheme="minorHAnsi" w:cstheme="minorBidi"/>
          <w:noProof/>
        </w:rPr>
      </w:pPr>
      <w:hyperlink w:anchor="_Toc531935284" w:history="1">
        <w:r w:rsidR="00B02093" w:rsidRPr="003F6884">
          <w:rPr>
            <w:rStyle w:val="Hyperlink"/>
          </w:rPr>
          <w:t>Slika 2</w:t>
        </w:r>
        <w:r w:rsidR="00B02093" w:rsidRPr="003F6884">
          <w:rPr>
            <w:rStyle w:val="Hyperlink"/>
          </w:rPr>
          <w:noBreakHyphen/>
          <w:t>4. Očekivana snaga elektrana u Scenariju 1</w:t>
        </w:r>
        <w:r w:rsidR="00B02093">
          <w:rPr>
            <w:noProof/>
            <w:webHidden/>
          </w:rPr>
          <w:tab/>
        </w:r>
        <w:r w:rsidR="00B02093">
          <w:rPr>
            <w:noProof/>
            <w:webHidden/>
          </w:rPr>
          <w:fldChar w:fldCharType="begin"/>
        </w:r>
        <w:r w:rsidR="00B02093">
          <w:rPr>
            <w:noProof/>
            <w:webHidden/>
          </w:rPr>
          <w:instrText xml:space="preserve"> PAGEREF _Toc531935284 \h </w:instrText>
        </w:r>
        <w:r w:rsidR="00B02093">
          <w:rPr>
            <w:noProof/>
            <w:webHidden/>
          </w:rPr>
        </w:r>
        <w:r w:rsidR="00B02093">
          <w:rPr>
            <w:noProof/>
            <w:webHidden/>
          </w:rPr>
          <w:fldChar w:fldCharType="separate"/>
        </w:r>
        <w:r w:rsidR="00E5423A">
          <w:rPr>
            <w:noProof/>
            <w:webHidden/>
          </w:rPr>
          <w:t>41</w:t>
        </w:r>
        <w:r w:rsidR="00B02093">
          <w:rPr>
            <w:noProof/>
            <w:webHidden/>
          </w:rPr>
          <w:fldChar w:fldCharType="end"/>
        </w:r>
      </w:hyperlink>
    </w:p>
    <w:p w14:paraId="246EE019" w14:textId="2C40CBDF" w:rsidR="00B02093" w:rsidRDefault="00185868">
      <w:pPr>
        <w:pStyle w:val="TableofFigures"/>
        <w:rPr>
          <w:rFonts w:asciiTheme="minorHAnsi" w:eastAsiaTheme="minorEastAsia" w:hAnsiTheme="minorHAnsi" w:cstheme="minorBidi"/>
          <w:noProof/>
        </w:rPr>
      </w:pPr>
      <w:hyperlink w:anchor="_Toc531935285" w:history="1">
        <w:r w:rsidR="00B02093" w:rsidRPr="003F6884">
          <w:rPr>
            <w:rStyle w:val="Hyperlink"/>
          </w:rPr>
          <w:t>Slika 2</w:t>
        </w:r>
        <w:r w:rsidR="00B02093" w:rsidRPr="003F6884">
          <w:rPr>
            <w:rStyle w:val="Hyperlink"/>
          </w:rPr>
          <w:noBreakHyphen/>
          <w:t>5. Okvirni nacionalni ciljevi energetske učinkovitosti u 2020. godini</w:t>
        </w:r>
        <w:r w:rsidR="00B02093">
          <w:rPr>
            <w:noProof/>
            <w:webHidden/>
          </w:rPr>
          <w:tab/>
        </w:r>
        <w:r w:rsidR="00B02093">
          <w:rPr>
            <w:noProof/>
            <w:webHidden/>
          </w:rPr>
          <w:fldChar w:fldCharType="begin"/>
        </w:r>
        <w:r w:rsidR="00B02093">
          <w:rPr>
            <w:noProof/>
            <w:webHidden/>
          </w:rPr>
          <w:instrText xml:space="preserve"> PAGEREF _Toc531935285 \h </w:instrText>
        </w:r>
        <w:r w:rsidR="00B02093">
          <w:rPr>
            <w:noProof/>
            <w:webHidden/>
          </w:rPr>
        </w:r>
        <w:r w:rsidR="00B02093">
          <w:rPr>
            <w:noProof/>
            <w:webHidden/>
          </w:rPr>
          <w:fldChar w:fldCharType="separate"/>
        </w:r>
        <w:r w:rsidR="00E5423A">
          <w:rPr>
            <w:noProof/>
            <w:webHidden/>
          </w:rPr>
          <w:t>43</w:t>
        </w:r>
        <w:r w:rsidR="00B02093">
          <w:rPr>
            <w:noProof/>
            <w:webHidden/>
          </w:rPr>
          <w:fldChar w:fldCharType="end"/>
        </w:r>
      </w:hyperlink>
    </w:p>
    <w:p w14:paraId="4C97DF72" w14:textId="5F37E8E1" w:rsidR="00B02093" w:rsidRDefault="00185868">
      <w:pPr>
        <w:pStyle w:val="TableofFigures"/>
        <w:rPr>
          <w:rFonts w:asciiTheme="minorHAnsi" w:eastAsiaTheme="minorEastAsia" w:hAnsiTheme="minorHAnsi" w:cstheme="minorBidi"/>
          <w:noProof/>
        </w:rPr>
      </w:pPr>
      <w:hyperlink w:anchor="_Toc531935286" w:history="1">
        <w:r w:rsidR="00B02093" w:rsidRPr="003F6884">
          <w:rPr>
            <w:rStyle w:val="Hyperlink"/>
          </w:rPr>
          <w:t>Slika 2</w:t>
        </w:r>
        <w:r w:rsidR="00B02093" w:rsidRPr="003F6884">
          <w:rPr>
            <w:rStyle w:val="Hyperlink"/>
          </w:rPr>
          <w:noBreakHyphen/>
          <w:t>6. Kretanje potrošnje energije u razdoblju od 2020. do 2030. godine</w:t>
        </w:r>
        <w:r w:rsidR="00B02093">
          <w:rPr>
            <w:noProof/>
            <w:webHidden/>
          </w:rPr>
          <w:tab/>
        </w:r>
        <w:r w:rsidR="00B02093">
          <w:rPr>
            <w:noProof/>
            <w:webHidden/>
          </w:rPr>
          <w:fldChar w:fldCharType="begin"/>
        </w:r>
        <w:r w:rsidR="00B02093">
          <w:rPr>
            <w:noProof/>
            <w:webHidden/>
          </w:rPr>
          <w:instrText xml:space="preserve"> PAGEREF _Toc531935286 \h </w:instrText>
        </w:r>
        <w:r w:rsidR="00B02093">
          <w:rPr>
            <w:noProof/>
            <w:webHidden/>
          </w:rPr>
        </w:r>
        <w:r w:rsidR="00B02093">
          <w:rPr>
            <w:noProof/>
            <w:webHidden/>
          </w:rPr>
          <w:fldChar w:fldCharType="separate"/>
        </w:r>
        <w:r w:rsidR="00E5423A">
          <w:rPr>
            <w:noProof/>
            <w:webHidden/>
          </w:rPr>
          <w:t>44</w:t>
        </w:r>
        <w:r w:rsidR="00B02093">
          <w:rPr>
            <w:noProof/>
            <w:webHidden/>
          </w:rPr>
          <w:fldChar w:fldCharType="end"/>
        </w:r>
      </w:hyperlink>
    </w:p>
    <w:p w14:paraId="7963F360" w14:textId="0AA8FBED" w:rsidR="00B02093" w:rsidRDefault="00185868">
      <w:pPr>
        <w:pStyle w:val="TableofFigures"/>
        <w:rPr>
          <w:rFonts w:asciiTheme="minorHAnsi" w:eastAsiaTheme="minorEastAsia" w:hAnsiTheme="minorHAnsi" w:cstheme="minorBidi"/>
          <w:noProof/>
        </w:rPr>
      </w:pPr>
      <w:hyperlink w:anchor="_Toc531935287" w:history="1">
        <w:r w:rsidR="00B02093" w:rsidRPr="003F6884">
          <w:rPr>
            <w:rStyle w:val="Hyperlink"/>
          </w:rPr>
          <w:t>Slika 2</w:t>
        </w:r>
        <w:r w:rsidR="00B02093" w:rsidRPr="003F6884">
          <w:rPr>
            <w:rStyle w:val="Hyperlink"/>
          </w:rPr>
          <w:noBreakHyphen/>
          <w:t>7. Vlastita opskrbljenost energijom – Scenarij 1</w:t>
        </w:r>
        <w:r w:rsidR="00B02093">
          <w:rPr>
            <w:noProof/>
            <w:webHidden/>
          </w:rPr>
          <w:tab/>
        </w:r>
        <w:r w:rsidR="00B02093">
          <w:rPr>
            <w:noProof/>
            <w:webHidden/>
          </w:rPr>
          <w:fldChar w:fldCharType="begin"/>
        </w:r>
        <w:r w:rsidR="00B02093">
          <w:rPr>
            <w:noProof/>
            <w:webHidden/>
          </w:rPr>
          <w:instrText xml:space="preserve"> PAGEREF _Toc531935287 \h </w:instrText>
        </w:r>
        <w:r w:rsidR="00B02093">
          <w:rPr>
            <w:noProof/>
            <w:webHidden/>
          </w:rPr>
        </w:r>
        <w:r w:rsidR="00B02093">
          <w:rPr>
            <w:noProof/>
            <w:webHidden/>
          </w:rPr>
          <w:fldChar w:fldCharType="separate"/>
        </w:r>
        <w:r w:rsidR="00E5423A">
          <w:rPr>
            <w:noProof/>
            <w:webHidden/>
          </w:rPr>
          <w:t>51</w:t>
        </w:r>
        <w:r w:rsidR="00B02093">
          <w:rPr>
            <w:noProof/>
            <w:webHidden/>
          </w:rPr>
          <w:fldChar w:fldCharType="end"/>
        </w:r>
      </w:hyperlink>
    </w:p>
    <w:p w14:paraId="0A7C9759" w14:textId="0911E3F9" w:rsidR="00B02093" w:rsidRDefault="00185868">
      <w:pPr>
        <w:pStyle w:val="TableofFigures"/>
        <w:rPr>
          <w:rFonts w:asciiTheme="minorHAnsi" w:eastAsiaTheme="minorEastAsia" w:hAnsiTheme="minorHAnsi" w:cstheme="minorBidi"/>
          <w:noProof/>
        </w:rPr>
      </w:pPr>
      <w:hyperlink w:anchor="_Toc531935288" w:history="1">
        <w:r w:rsidR="00B02093" w:rsidRPr="003F6884">
          <w:rPr>
            <w:rStyle w:val="Hyperlink"/>
          </w:rPr>
          <w:t>Slika 2</w:t>
        </w:r>
        <w:r w:rsidR="00B02093" w:rsidRPr="003F6884">
          <w:rPr>
            <w:rStyle w:val="Hyperlink"/>
          </w:rPr>
          <w:noBreakHyphen/>
          <w:t>8. Vlastita opskrbljenost energijom – Scenarij 2</w:t>
        </w:r>
        <w:r w:rsidR="00B02093">
          <w:rPr>
            <w:noProof/>
            <w:webHidden/>
          </w:rPr>
          <w:tab/>
        </w:r>
        <w:r w:rsidR="00B02093">
          <w:rPr>
            <w:noProof/>
            <w:webHidden/>
          </w:rPr>
          <w:fldChar w:fldCharType="begin"/>
        </w:r>
        <w:r w:rsidR="00B02093">
          <w:rPr>
            <w:noProof/>
            <w:webHidden/>
          </w:rPr>
          <w:instrText xml:space="preserve"> PAGEREF _Toc531935288 \h </w:instrText>
        </w:r>
        <w:r w:rsidR="00B02093">
          <w:rPr>
            <w:noProof/>
            <w:webHidden/>
          </w:rPr>
        </w:r>
        <w:r w:rsidR="00B02093">
          <w:rPr>
            <w:noProof/>
            <w:webHidden/>
          </w:rPr>
          <w:fldChar w:fldCharType="separate"/>
        </w:r>
        <w:r w:rsidR="00E5423A">
          <w:rPr>
            <w:noProof/>
            <w:webHidden/>
          </w:rPr>
          <w:t>51</w:t>
        </w:r>
        <w:r w:rsidR="00B02093">
          <w:rPr>
            <w:noProof/>
            <w:webHidden/>
          </w:rPr>
          <w:fldChar w:fldCharType="end"/>
        </w:r>
      </w:hyperlink>
    </w:p>
    <w:p w14:paraId="68C6F357" w14:textId="1BCB9957" w:rsidR="00B02093" w:rsidRDefault="00185868">
      <w:pPr>
        <w:pStyle w:val="TableofFigures"/>
        <w:rPr>
          <w:rFonts w:asciiTheme="minorHAnsi" w:eastAsiaTheme="minorEastAsia" w:hAnsiTheme="minorHAnsi" w:cstheme="minorBidi"/>
          <w:noProof/>
        </w:rPr>
      </w:pPr>
      <w:hyperlink w:anchor="_Toc531935289" w:history="1">
        <w:r w:rsidR="00B02093" w:rsidRPr="003F6884">
          <w:rPr>
            <w:rStyle w:val="Hyperlink"/>
          </w:rPr>
          <w:t>Slika 2</w:t>
        </w:r>
        <w:r w:rsidR="00B02093" w:rsidRPr="003F6884">
          <w:rPr>
            <w:rStyle w:val="Hyperlink"/>
          </w:rPr>
          <w:noBreakHyphen/>
          <w:t>9. Projekcija proizvodnje nafte i kondenzata do 2050. godine</w:t>
        </w:r>
        <w:r w:rsidR="00B02093">
          <w:rPr>
            <w:noProof/>
            <w:webHidden/>
          </w:rPr>
          <w:tab/>
        </w:r>
        <w:r w:rsidR="00B02093">
          <w:rPr>
            <w:noProof/>
            <w:webHidden/>
          </w:rPr>
          <w:fldChar w:fldCharType="begin"/>
        </w:r>
        <w:r w:rsidR="00B02093">
          <w:rPr>
            <w:noProof/>
            <w:webHidden/>
          </w:rPr>
          <w:instrText xml:space="preserve"> PAGEREF _Toc531935289 \h </w:instrText>
        </w:r>
        <w:r w:rsidR="00B02093">
          <w:rPr>
            <w:noProof/>
            <w:webHidden/>
          </w:rPr>
        </w:r>
        <w:r w:rsidR="00B02093">
          <w:rPr>
            <w:noProof/>
            <w:webHidden/>
          </w:rPr>
          <w:fldChar w:fldCharType="separate"/>
        </w:r>
        <w:r w:rsidR="00E5423A">
          <w:rPr>
            <w:noProof/>
            <w:webHidden/>
          </w:rPr>
          <w:t>52</w:t>
        </w:r>
        <w:r w:rsidR="00B02093">
          <w:rPr>
            <w:noProof/>
            <w:webHidden/>
          </w:rPr>
          <w:fldChar w:fldCharType="end"/>
        </w:r>
      </w:hyperlink>
    </w:p>
    <w:p w14:paraId="337251C8" w14:textId="11C024DA" w:rsidR="00B02093" w:rsidRDefault="00185868">
      <w:pPr>
        <w:pStyle w:val="TableofFigures"/>
        <w:rPr>
          <w:rFonts w:asciiTheme="minorHAnsi" w:eastAsiaTheme="minorEastAsia" w:hAnsiTheme="minorHAnsi" w:cstheme="minorBidi"/>
          <w:noProof/>
        </w:rPr>
      </w:pPr>
      <w:hyperlink w:anchor="_Toc531935290" w:history="1">
        <w:r w:rsidR="00B02093" w:rsidRPr="003F6884">
          <w:rPr>
            <w:rStyle w:val="Hyperlink"/>
          </w:rPr>
          <w:t>Slika 2</w:t>
        </w:r>
        <w:r w:rsidR="00B02093" w:rsidRPr="003F6884">
          <w:rPr>
            <w:rStyle w:val="Hyperlink"/>
          </w:rPr>
          <w:noBreakHyphen/>
          <w:t>10. Projekcija proizvodnje prirodnog plina do 2050. godine</w:t>
        </w:r>
        <w:r w:rsidR="00B02093">
          <w:rPr>
            <w:noProof/>
            <w:webHidden/>
          </w:rPr>
          <w:tab/>
        </w:r>
        <w:r w:rsidR="00B02093">
          <w:rPr>
            <w:noProof/>
            <w:webHidden/>
          </w:rPr>
          <w:fldChar w:fldCharType="begin"/>
        </w:r>
        <w:r w:rsidR="00B02093">
          <w:rPr>
            <w:noProof/>
            <w:webHidden/>
          </w:rPr>
          <w:instrText xml:space="preserve"> PAGEREF _Toc531935290 \h </w:instrText>
        </w:r>
        <w:r w:rsidR="00B02093">
          <w:rPr>
            <w:noProof/>
            <w:webHidden/>
          </w:rPr>
        </w:r>
        <w:r w:rsidR="00B02093">
          <w:rPr>
            <w:noProof/>
            <w:webHidden/>
          </w:rPr>
          <w:fldChar w:fldCharType="separate"/>
        </w:r>
        <w:r w:rsidR="00E5423A">
          <w:rPr>
            <w:noProof/>
            <w:webHidden/>
          </w:rPr>
          <w:t>53</w:t>
        </w:r>
        <w:r w:rsidR="00B02093">
          <w:rPr>
            <w:noProof/>
            <w:webHidden/>
          </w:rPr>
          <w:fldChar w:fldCharType="end"/>
        </w:r>
      </w:hyperlink>
    </w:p>
    <w:p w14:paraId="43B84531" w14:textId="5F16EA5C" w:rsidR="00B02093" w:rsidRDefault="00185868">
      <w:pPr>
        <w:pStyle w:val="TableofFigures"/>
        <w:rPr>
          <w:rFonts w:asciiTheme="minorHAnsi" w:eastAsiaTheme="minorEastAsia" w:hAnsiTheme="minorHAnsi" w:cstheme="minorBidi"/>
          <w:noProof/>
        </w:rPr>
      </w:pPr>
      <w:hyperlink w:anchor="_Toc531935291" w:history="1">
        <w:r w:rsidR="00B02093" w:rsidRPr="003F6884">
          <w:rPr>
            <w:rStyle w:val="Hyperlink"/>
          </w:rPr>
          <w:t>Slika 4</w:t>
        </w:r>
        <w:r w:rsidR="00B02093" w:rsidRPr="003F6884">
          <w:rPr>
            <w:rStyle w:val="Hyperlink"/>
          </w:rPr>
          <w:noBreakHyphen/>
          <w:t>1 Projekcija broja stanovnika u RH do 2050. godine za tri varijante</w:t>
        </w:r>
        <w:r w:rsidR="00B02093">
          <w:rPr>
            <w:noProof/>
            <w:webHidden/>
          </w:rPr>
          <w:tab/>
        </w:r>
        <w:r w:rsidR="00B02093">
          <w:rPr>
            <w:noProof/>
            <w:webHidden/>
          </w:rPr>
          <w:fldChar w:fldCharType="begin"/>
        </w:r>
        <w:r w:rsidR="00B02093">
          <w:rPr>
            <w:noProof/>
            <w:webHidden/>
          </w:rPr>
          <w:instrText xml:space="preserve"> PAGEREF _Toc531935291 \h </w:instrText>
        </w:r>
        <w:r w:rsidR="00B02093">
          <w:rPr>
            <w:noProof/>
            <w:webHidden/>
          </w:rPr>
        </w:r>
        <w:r w:rsidR="00B02093">
          <w:rPr>
            <w:noProof/>
            <w:webHidden/>
          </w:rPr>
          <w:fldChar w:fldCharType="separate"/>
        </w:r>
        <w:r w:rsidR="00E5423A">
          <w:rPr>
            <w:noProof/>
            <w:webHidden/>
          </w:rPr>
          <w:t>96</w:t>
        </w:r>
        <w:r w:rsidR="00B02093">
          <w:rPr>
            <w:noProof/>
            <w:webHidden/>
          </w:rPr>
          <w:fldChar w:fldCharType="end"/>
        </w:r>
      </w:hyperlink>
    </w:p>
    <w:p w14:paraId="0F4332FC" w14:textId="12FD7E46" w:rsidR="00B02093" w:rsidRDefault="00185868">
      <w:pPr>
        <w:pStyle w:val="TableofFigures"/>
        <w:rPr>
          <w:rFonts w:asciiTheme="minorHAnsi" w:eastAsiaTheme="minorEastAsia" w:hAnsiTheme="minorHAnsi" w:cstheme="minorBidi"/>
          <w:noProof/>
        </w:rPr>
      </w:pPr>
      <w:hyperlink w:anchor="_Toc531935292" w:history="1">
        <w:r w:rsidR="00B02093" w:rsidRPr="003F6884">
          <w:rPr>
            <w:rStyle w:val="Hyperlink"/>
          </w:rPr>
          <w:t>Slika 4</w:t>
        </w:r>
        <w:r w:rsidR="00B02093" w:rsidRPr="003F6884">
          <w:rPr>
            <w:rStyle w:val="Hyperlink"/>
          </w:rPr>
          <w:noBreakHyphen/>
          <w:t>2. Projekcija BDP-a temeljem srednjih demografskih projekcija (za baznu i rastuću produktivnost)</w:t>
        </w:r>
        <w:r w:rsidR="00B02093">
          <w:rPr>
            <w:noProof/>
            <w:webHidden/>
          </w:rPr>
          <w:tab/>
        </w:r>
        <w:r w:rsidR="00B02093">
          <w:rPr>
            <w:noProof/>
            <w:webHidden/>
          </w:rPr>
          <w:fldChar w:fldCharType="begin"/>
        </w:r>
        <w:r w:rsidR="00B02093">
          <w:rPr>
            <w:noProof/>
            <w:webHidden/>
          </w:rPr>
          <w:instrText xml:space="preserve"> PAGEREF _Toc531935292 \h </w:instrText>
        </w:r>
        <w:r w:rsidR="00B02093">
          <w:rPr>
            <w:noProof/>
            <w:webHidden/>
          </w:rPr>
        </w:r>
        <w:r w:rsidR="00B02093">
          <w:rPr>
            <w:noProof/>
            <w:webHidden/>
          </w:rPr>
          <w:fldChar w:fldCharType="separate"/>
        </w:r>
        <w:r w:rsidR="00E5423A">
          <w:rPr>
            <w:noProof/>
            <w:webHidden/>
          </w:rPr>
          <w:t>97</w:t>
        </w:r>
        <w:r w:rsidR="00B02093">
          <w:rPr>
            <w:noProof/>
            <w:webHidden/>
          </w:rPr>
          <w:fldChar w:fldCharType="end"/>
        </w:r>
      </w:hyperlink>
    </w:p>
    <w:p w14:paraId="20079A48" w14:textId="734E8505" w:rsidR="00B02093" w:rsidRDefault="00185868">
      <w:pPr>
        <w:pStyle w:val="TableofFigures"/>
        <w:rPr>
          <w:rFonts w:asciiTheme="minorHAnsi" w:eastAsiaTheme="minorEastAsia" w:hAnsiTheme="minorHAnsi" w:cstheme="minorBidi"/>
          <w:noProof/>
        </w:rPr>
      </w:pPr>
      <w:hyperlink w:anchor="_Toc531935293" w:history="1">
        <w:r w:rsidR="00B02093" w:rsidRPr="003F6884">
          <w:rPr>
            <w:rStyle w:val="Hyperlink"/>
          </w:rPr>
          <w:t>Slika 4</w:t>
        </w:r>
        <w:r w:rsidR="00B02093" w:rsidRPr="003F6884">
          <w:rPr>
            <w:rStyle w:val="Hyperlink"/>
          </w:rPr>
          <w:noBreakHyphen/>
          <w:t>3. Specifična investicija u OIE tehnologije</w:t>
        </w:r>
        <w:r w:rsidR="00B02093">
          <w:rPr>
            <w:noProof/>
            <w:webHidden/>
          </w:rPr>
          <w:tab/>
        </w:r>
        <w:r w:rsidR="00B02093">
          <w:rPr>
            <w:noProof/>
            <w:webHidden/>
          </w:rPr>
          <w:fldChar w:fldCharType="begin"/>
        </w:r>
        <w:r w:rsidR="00B02093">
          <w:rPr>
            <w:noProof/>
            <w:webHidden/>
          </w:rPr>
          <w:instrText xml:space="preserve"> PAGEREF _Toc531935293 \h </w:instrText>
        </w:r>
        <w:r w:rsidR="00B02093">
          <w:rPr>
            <w:noProof/>
            <w:webHidden/>
          </w:rPr>
        </w:r>
        <w:r w:rsidR="00B02093">
          <w:rPr>
            <w:noProof/>
            <w:webHidden/>
          </w:rPr>
          <w:fldChar w:fldCharType="separate"/>
        </w:r>
        <w:r w:rsidR="00E5423A">
          <w:rPr>
            <w:noProof/>
            <w:webHidden/>
          </w:rPr>
          <w:t>99</w:t>
        </w:r>
        <w:r w:rsidR="00B02093">
          <w:rPr>
            <w:noProof/>
            <w:webHidden/>
          </w:rPr>
          <w:fldChar w:fldCharType="end"/>
        </w:r>
      </w:hyperlink>
    </w:p>
    <w:p w14:paraId="5EB6807D" w14:textId="365AF371" w:rsidR="00B02093" w:rsidRDefault="00185868">
      <w:pPr>
        <w:pStyle w:val="TableofFigures"/>
        <w:rPr>
          <w:rFonts w:asciiTheme="minorHAnsi" w:eastAsiaTheme="minorEastAsia" w:hAnsiTheme="minorHAnsi" w:cstheme="minorBidi"/>
          <w:noProof/>
        </w:rPr>
      </w:pPr>
      <w:hyperlink w:anchor="_Toc531935294" w:history="1">
        <w:r w:rsidR="00B02093" w:rsidRPr="003F6884">
          <w:rPr>
            <w:rStyle w:val="Hyperlink"/>
          </w:rPr>
          <w:t>Slika 4</w:t>
        </w:r>
        <w:r w:rsidR="00B02093" w:rsidRPr="003F6884">
          <w:rPr>
            <w:rStyle w:val="Hyperlink"/>
          </w:rPr>
          <w:noBreakHyphen/>
          <w:t>4. Specifična investicija u elektrane na fosilna goriva i nuklearne elektrane</w:t>
        </w:r>
        <w:r w:rsidR="00B02093">
          <w:rPr>
            <w:noProof/>
            <w:webHidden/>
          </w:rPr>
          <w:tab/>
        </w:r>
        <w:r w:rsidR="00B02093">
          <w:rPr>
            <w:noProof/>
            <w:webHidden/>
          </w:rPr>
          <w:fldChar w:fldCharType="begin"/>
        </w:r>
        <w:r w:rsidR="00B02093">
          <w:rPr>
            <w:noProof/>
            <w:webHidden/>
          </w:rPr>
          <w:instrText xml:space="preserve"> PAGEREF _Toc531935294 \h </w:instrText>
        </w:r>
        <w:r w:rsidR="00B02093">
          <w:rPr>
            <w:noProof/>
            <w:webHidden/>
          </w:rPr>
        </w:r>
        <w:r w:rsidR="00B02093">
          <w:rPr>
            <w:noProof/>
            <w:webHidden/>
          </w:rPr>
          <w:fldChar w:fldCharType="separate"/>
        </w:r>
        <w:r w:rsidR="00E5423A">
          <w:rPr>
            <w:noProof/>
            <w:webHidden/>
          </w:rPr>
          <w:t>99</w:t>
        </w:r>
        <w:r w:rsidR="00B02093">
          <w:rPr>
            <w:noProof/>
            <w:webHidden/>
          </w:rPr>
          <w:fldChar w:fldCharType="end"/>
        </w:r>
      </w:hyperlink>
    </w:p>
    <w:p w14:paraId="1A6C2E6D" w14:textId="001BD408" w:rsidR="00B02093" w:rsidRDefault="00185868">
      <w:pPr>
        <w:pStyle w:val="TableofFigures"/>
        <w:rPr>
          <w:rFonts w:asciiTheme="minorHAnsi" w:eastAsiaTheme="minorEastAsia" w:hAnsiTheme="minorHAnsi" w:cstheme="minorBidi"/>
          <w:noProof/>
        </w:rPr>
      </w:pPr>
      <w:hyperlink w:anchor="_Toc531935295" w:history="1">
        <w:r w:rsidR="00B02093" w:rsidRPr="003F6884">
          <w:rPr>
            <w:rStyle w:val="Hyperlink"/>
          </w:rPr>
          <w:t>Slika 4</w:t>
        </w:r>
        <w:r w:rsidR="00B02093" w:rsidRPr="003F6884">
          <w:rPr>
            <w:rStyle w:val="Hyperlink"/>
          </w:rPr>
          <w:noBreakHyphen/>
          <w:t>5. Cijene fosilnih goriva do 2050. godine</w:t>
        </w:r>
        <w:r w:rsidR="00B02093">
          <w:rPr>
            <w:noProof/>
            <w:webHidden/>
          </w:rPr>
          <w:tab/>
        </w:r>
        <w:r w:rsidR="00B02093">
          <w:rPr>
            <w:noProof/>
            <w:webHidden/>
          </w:rPr>
          <w:fldChar w:fldCharType="begin"/>
        </w:r>
        <w:r w:rsidR="00B02093">
          <w:rPr>
            <w:noProof/>
            <w:webHidden/>
          </w:rPr>
          <w:instrText xml:space="preserve"> PAGEREF _Toc531935295 \h </w:instrText>
        </w:r>
        <w:r w:rsidR="00B02093">
          <w:rPr>
            <w:noProof/>
            <w:webHidden/>
          </w:rPr>
        </w:r>
        <w:r w:rsidR="00B02093">
          <w:rPr>
            <w:noProof/>
            <w:webHidden/>
          </w:rPr>
          <w:fldChar w:fldCharType="separate"/>
        </w:r>
        <w:r w:rsidR="00E5423A">
          <w:rPr>
            <w:noProof/>
            <w:webHidden/>
          </w:rPr>
          <w:t>100</w:t>
        </w:r>
        <w:r w:rsidR="00B02093">
          <w:rPr>
            <w:noProof/>
            <w:webHidden/>
          </w:rPr>
          <w:fldChar w:fldCharType="end"/>
        </w:r>
      </w:hyperlink>
    </w:p>
    <w:p w14:paraId="433DDE78" w14:textId="4B36B3F5" w:rsidR="00B02093" w:rsidRDefault="00185868">
      <w:pPr>
        <w:pStyle w:val="TableofFigures"/>
        <w:rPr>
          <w:rFonts w:asciiTheme="minorHAnsi" w:eastAsiaTheme="minorEastAsia" w:hAnsiTheme="minorHAnsi" w:cstheme="minorBidi"/>
          <w:noProof/>
        </w:rPr>
      </w:pPr>
      <w:hyperlink w:anchor="_Toc531935296" w:history="1">
        <w:r w:rsidR="00B02093" w:rsidRPr="003F6884">
          <w:rPr>
            <w:rStyle w:val="Hyperlink"/>
          </w:rPr>
          <w:t>Slika 4</w:t>
        </w:r>
        <w:r w:rsidR="00B02093" w:rsidRPr="003F6884">
          <w:rPr>
            <w:rStyle w:val="Hyperlink"/>
          </w:rPr>
          <w:noBreakHyphen/>
          <w:t>6. Očekivana cijena emisijskih jedinica do 2050. godine</w:t>
        </w:r>
        <w:r w:rsidR="00B02093">
          <w:rPr>
            <w:noProof/>
            <w:webHidden/>
          </w:rPr>
          <w:tab/>
        </w:r>
        <w:r w:rsidR="00B02093">
          <w:rPr>
            <w:noProof/>
            <w:webHidden/>
          </w:rPr>
          <w:fldChar w:fldCharType="begin"/>
        </w:r>
        <w:r w:rsidR="00B02093">
          <w:rPr>
            <w:noProof/>
            <w:webHidden/>
          </w:rPr>
          <w:instrText xml:space="preserve"> PAGEREF _Toc531935296 \h </w:instrText>
        </w:r>
        <w:r w:rsidR="00B02093">
          <w:rPr>
            <w:noProof/>
            <w:webHidden/>
          </w:rPr>
        </w:r>
        <w:r w:rsidR="00B02093">
          <w:rPr>
            <w:noProof/>
            <w:webHidden/>
          </w:rPr>
          <w:fldChar w:fldCharType="separate"/>
        </w:r>
        <w:r w:rsidR="00E5423A">
          <w:rPr>
            <w:noProof/>
            <w:webHidden/>
          </w:rPr>
          <w:t>101</w:t>
        </w:r>
        <w:r w:rsidR="00B02093">
          <w:rPr>
            <w:noProof/>
            <w:webHidden/>
          </w:rPr>
          <w:fldChar w:fldCharType="end"/>
        </w:r>
      </w:hyperlink>
    </w:p>
    <w:p w14:paraId="378C7763" w14:textId="55ECDC87" w:rsidR="00B02093" w:rsidRDefault="00185868">
      <w:pPr>
        <w:pStyle w:val="TableofFigures"/>
        <w:rPr>
          <w:rFonts w:asciiTheme="minorHAnsi" w:eastAsiaTheme="minorEastAsia" w:hAnsiTheme="minorHAnsi" w:cstheme="minorBidi"/>
          <w:noProof/>
        </w:rPr>
      </w:pPr>
      <w:hyperlink w:anchor="_Toc531935297" w:history="1">
        <w:r w:rsidR="00B02093" w:rsidRPr="003F6884">
          <w:rPr>
            <w:rStyle w:val="Hyperlink"/>
          </w:rPr>
          <w:t>Slika 4</w:t>
        </w:r>
        <w:r w:rsidR="00B02093" w:rsidRPr="003F6884">
          <w:rPr>
            <w:rStyle w:val="Hyperlink"/>
          </w:rPr>
          <w:noBreakHyphen/>
          <w:t>7. Trend emisija stakleničkih plinova u Republici Hrvatskoj</w:t>
        </w:r>
        <w:r w:rsidR="00B02093">
          <w:rPr>
            <w:noProof/>
            <w:webHidden/>
          </w:rPr>
          <w:tab/>
        </w:r>
        <w:r w:rsidR="00B02093">
          <w:rPr>
            <w:noProof/>
            <w:webHidden/>
          </w:rPr>
          <w:fldChar w:fldCharType="begin"/>
        </w:r>
        <w:r w:rsidR="00B02093">
          <w:rPr>
            <w:noProof/>
            <w:webHidden/>
          </w:rPr>
          <w:instrText xml:space="preserve"> PAGEREF _Toc531935297 \h </w:instrText>
        </w:r>
        <w:r w:rsidR="00B02093">
          <w:rPr>
            <w:noProof/>
            <w:webHidden/>
          </w:rPr>
        </w:r>
        <w:r w:rsidR="00B02093">
          <w:rPr>
            <w:noProof/>
            <w:webHidden/>
          </w:rPr>
          <w:fldChar w:fldCharType="separate"/>
        </w:r>
        <w:r w:rsidR="00E5423A">
          <w:rPr>
            <w:noProof/>
            <w:webHidden/>
          </w:rPr>
          <w:t>102</w:t>
        </w:r>
        <w:r w:rsidR="00B02093">
          <w:rPr>
            <w:noProof/>
            <w:webHidden/>
          </w:rPr>
          <w:fldChar w:fldCharType="end"/>
        </w:r>
      </w:hyperlink>
    </w:p>
    <w:p w14:paraId="22CCE9FB" w14:textId="57B259BB" w:rsidR="00B02093" w:rsidRDefault="00185868">
      <w:pPr>
        <w:pStyle w:val="TableofFigures"/>
        <w:rPr>
          <w:rFonts w:asciiTheme="minorHAnsi" w:eastAsiaTheme="minorEastAsia" w:hAnsiTheme="minorHAnsi" w:cstheme="minorBidi"/>
          <w:noProof/>
        </w:rPr>
      </w:pPr>
      <w:hyperlink w:anchor="_Toc531935298" w:history="1">
        <w:r w:rsidR="00B02093" w:rsidRPr="003F6884">
          <w:rPr>
            <w:rStyle w:val="Hyperlink"/>
          </w:rPr>
          <w:t>Slika 4</w:t>
        </w:r>
        <w:r w:rsidR="00B02093" w:rsidRPr="003F6884">
          <w:rPr>
            <w:rStyle w:val="Hyperlink"/>
          </w:rPr>
          <w:noBreakHyphen/>
          <w:t>8. Projekcija emisija stakleničkih plinova, uz postojeće mjere, u Republici Hrvatskoj</w:t>
        </w:r>
        <w:r w:rsidR="00B02093">
          <w:rPr>
            <w:noProof/>
            <w:webHidden/>
          </w:rPr>
          <w:tab/>
        </w:r>
        <w:r w:rsidR="00B02093">
          <w:rPr>
            <w:noProof/>
            <w:webHidden/>
          </w:rPr>
          <w:fldChar w:fldCharType="begin"/>
        </w:r>
        <w:r w:rsidR="00B02093">
          <w:rPr>
            <w:noProof/>
            <w:webHidden/>
          </w:rPr>
          <w:instrText xml:space="preserve"> PAGEREF _Toc531935298 \h </w:instrText>
        </w:r>
        <w:r w:rsidR="00B02093">
          <w:rPr>
            <w:noProof/>
            <w:webHidden/>
          </w:rPr>
        </w:r>
        <w:r w:rsidR="00B02093">
          <w:rPr>
            <w:noProof/>
            <w:webHidden/>
          </w:rPr>
          <w:fldChar w:fldCharType="separate"/>
        </w:r>
        <w:r w:rsidR="00E5423A">
          <w:rPr>
            <w:noProof/>
            <w:webHidden/>
          </w:rPr>
          <w:t>103</w:t>
        </w:r>
        <w:r w:rsidR="00B02093">
          <w:rPr>
            <w:noProof/>
            <w:webHidden/>
          </w:rPr>
          <w:fldChar w:fldCharType="end"/>
        </w:r>
      </w:hyperlink>
    </w:p>
    <w:p w14:paraId="2A3913EF" w14:textId="795B9045" w:rsidR="00B02093" w:rsidRDefault="00185868">
      <w:pPr>
        <w:pStyle w:val="TableofFigures"/>
        <w:rPr>
          <w:rFonts w:asciiTheme="minorHAnsi" w:eastAsiaTheme="minorEastAsia" w:hAnsiTheme="minorHAnsi" w:cstheme="minorBidi"/>
          <w:noProof/>
        </w:rPr>
      </w:pPr>
      <w:hyperlink w:anchor="_Toc531935299" w:history="1">
        <w:r w:rsidR="00B02093" w:rsidRPr="003F6884">
          <w:rPr>
            <w:rStyle w:val="Hyperlink"/>
          </w:rPr>
          <w:t>Slika 4</w:t>
        </w:r>
        <w:r w:rsidR="00B02093" w:rsidRPr="003F6884">
          <w:rPr>
            <w:rStyle w:val="Hyperlink"/>
          </w:rPr>
          <w:noBreakHyphen/>
          <w:t>9. Očekivana putanje za udjele OIE za scenarij s postojećim mjerama</w:t>
        </w:r>
        <w:r w:rsidR="00B02093">
          <w:rPr>
            <w:noProof/>
            <w:webHidden/>
          </w:rPr>
          <w:tab/>
        </w:r>
        <w:r w:rsidR="00B02093">
          <w:rPr>
            <w:noProof/>
            <w:webHidden/>
          </w:rPr>
          <w:fldChar w:fldCharType="begin"/>
        </w:r>
        <w:r w:rsidR="00B02093">
          <w:rPr>
            <w:noProof/>
            <w:webHidden/>
          </w:rPr>
          <w:instrText xml:space="preserve"> PAGEREF _Toc531935299 \h </w:instrText>
        </w:r>
        <w:r w:rsidR="00B02093">
          <w:rPr>
            <w:noProof/>
            <w:webHidden/>
          </w:rPr>
        </w:r>
        <w:r w:rsidR="00B02093">
          <w:rPr>
            <w:noProof/>
            <w:webHidden/>
          </w:rPr>
          <w:fldChar w:fldCharType="separate"/>
        </w:r>
        <w:r w:rsidR="00E5423A">
          <w:rPr>
            <w:noProof/>
            <w:webHidden/>
          </w:rPr>
          <w:t>104</w:t>
        </w:r>
        <w:r w:rsidR="00B02093">
          <w:rPr>
            <w:noProof/>
            <w:webHidden/>
          </w:rPr>
          <w:fldChar w:fldCharType="end"/>
        </w:r>
      </w:hyperlink>
    </w:p>
    <w:p w14:paraId="6ABE71D1" w14:textId="3959EEB7" w:rsidR="00B02093" w:rsidRDefault="00185868">
      <w:pPr>
        <w:pStyle w:val="TableofFigures"/>
        <w:rPr>
          <w:rFonts w:asciiTheme="minorHAnsi" w:eastAsiaTheme="minorEastAsia" w:hAnsiTheme="minorHAnsi" w:cstheme="minorBidi"/>
          <w:noProof/>
        </w:rPr>
      </w:pPr>
      <w:hyperlink w:anchor="_Toc531935300" w:history="1">
        <w:r w:rsidR="00B02093" w:rsidRPr="003F6884">
          <w:rPr>
            <w:rStyle w:val="Hyperlink"/>
          </w:rPr>
          <w:t>Slika 4</w:t>
        </w:r>
        <w:r w:rsidR="00B02093" w:rsidRPr="003F6884">
          <w:rPr>
            <w:rStyle w:val="Hyperlink"/>
          </w:rPr>
          <w:noBreakHyphen/>
          <w:t>10. Ocijenjeni doprinosi OIE tehnologija po sektorima – Scenarij s postojećim mjerama</w:t>
        </w:r>
        <w:r w:rsidR="00B02093">
          <w:rPr>
            <w:noProof/>
            <w:webHidden/>
          </w:rPr>
          <w:tab/>
        </w:r>
        <w:r w:rsidR="00B02093">
          <w:rPr>
            <w:noProof/>
            <w:webHidden/>
          </w:rPr>
          <w:fldChar w:fldCharType="begin"/>
        </w:r>
        <w:r w:rsidR="00B02093">
          <w:rPr>
            <w:noProof/>
            <w:webHidden/>
          </w:rPr>
          <w:instrText xml:space="preserve"> PAGEREF _Toc531935300 \h </w:instrText>
        </w:r>
        <w:r w:rsidR="00B02093">
          <w:rPr>
            <w:noProof/>
            <w:webHidden/>
          </w:rPr>
        </w:r>
        <w:r w:rsidR="00B02093">
          <w:rPr>
            <w:noProof/>
            <w:webHidden/>
          </w:rPr>
          <w:fldChar w:fldCharType="separate"/>
        </w:r>
        <w:r w:rsidR="00E5423A">
          <w:rPr>
            <w:noProof/>
            <w:webHidden/>
          </w:rPr>
          <w:t>105</w:t>
        </w:r>
        <w:r w:rsidR="00B02093">
          <w:rPr>
            <w:noProof/>
            <w:webHidden/>
          </w:rPr>
          <w:fldChar w:fldCharType="end"/>
        </w:r>
      </w:hyperlink>
    </w:p>
    <w:p w14:paraId="27214F65" w14:textId="6EA4A7A9" w:rsidR="00B02093" w:rsidRDefault="00185868">
      <w:pPr>
        <w:pStyle w:val="TableofFigures"/>
        <w:rPr>
          <w:rFonts w:asciiTheme="minorHAnsi" w:eastAsiaTheme="minorEastAsia" w:hAnsiTheme="minorHAnsi" w:cstheme="minorBidi"/>
          <w:noProof/>
        </w:rPr>
      </w:pPr>
      <w:hyperlink w:anchor="_Toc531935301" w:history="1">
        <w:r w:rsidR="00B02093" w:rsidRPr="003F6884">
          <w:rPr>
            <w:rStyle w:val="Hyperlink"/>
          </w:rPr>
          <w:t>Slika 4</w:t>
        </w:r>
        <w:r w:rsidR="00B02093" w:rsidRPr="003F6884">
          <w:rPr>
            <w:rStyle w:val="Hyperlink"/>
          </w:rPr>
          <w:noBreakHyphen/>
          <w:t>11. Očekivana snaga elektrana u Scenariju s postojećim mjerama</w:t>
        </w:r>
        <w:r w:rsidR="00B02093">
          <w:rPr>
            <w:noProof/>
            <w:webHidden/>
          </w:rPr>
          <w:tab/>
        </w:r>
        <w:r w:rsidR="00B02093">
          <w:rPr>
            <w:noProof/>
            <w:webHidden/>
          </w:rPr>
          <w:fldChar w:fldCharType="begin"/>
        </w:r>
        <w:r w:rsidR="00B02093">
          <w:rPr>
            <w:noProof/>
            <w:webHidden/>
          </w:rPr>
          <w:instrText xml:space="preserve"> PAGEREF _Toc531935301 \h </w:instrText>
        </w:r>
        <w:r w:rsidR="00B02093">
          <w:rPr>
            <w:noProof/>
            <w:webHidden/>
          </w:rPr>
        </w:r>
        <w:r w:rsidR="00B02093">
          <w:rPr>
            <w:noProof/>
            <w:webHidden/>
          </w:rPr>
          <w:fldChar w:fldCharType="separate"/>
        </w:r>
        <w:r w:rsidR="00E5423A">
          <w:rPr>
            <w:noProof/>
            <w:webHidden/>
          </w:rPr>
          <w:t>106</w:t>
        </w:r>
        <w:r w:rsidR="00B02093">
          <w:rPr>
            <w:noProof/>
            <w:webHidden/>
          </w:rPr>
          <w:fldChar w:fldCharType="end"/>
        </w:r>
      </w:hyperlink>
    </w:p>
    <w:p w14:paraId="43EFA1D2" w14:textId="2E6FF6B7" w:rsidR="00B02093" w:rsidRDefault="00185868">
      <w:pPr>
        <w:pStyle w:val="TableofFigures"/>
        <w:rPr>
          <w:rFonts w:asciiTheme="minorHAnsi" w:eastAsiaTheme="minorEastAsia" w:hAnsiTheme="minorHAnsi" w:cstheme="minorBidi"/>
          <w:noProof/>
        </w:rPr>
      </w:pPr>
      <w:hyperlink w:anchor="_Toc531935302" w:history="1">
        <w:r w:rsidR="00B02093" w:rsidRPr="003F6884">
          <w:rPr>
            <w:rStyle w:val="Hyperlink"/>
          </w:rPr>
          <w:t>Slika 4</w:t>
        </w:r>
        <w:r w:rsidR="00B02093" w:rsidRPr="003F6884">
          <w:rPr>
            <w:rStyle w:val="Hyperlink"/>
          </w:rPr>
          <w:noBreakHyphen/>
          <w:t>12: Projekcija potrošnje energije do 2040. godine uz postojeće politike, mjere i programe energetske učinkovitosti</w:t>
        </w:r>
        <w:r w:rsidR="00B02093">
          <w:rPr>
            <w:noProof/>
            <w:webHidden/>
          </w:rPr>
          <w:tab/>
        </w:r>
        <w:r w:rsidR="00B02093">
          <w:rPr>
            <w:noProof/>
            <w:webHidden/>
          </w:rPr>
          <w:fldChar w:fldCharType="begin"/>
        </w:r>
        <w:r w:rsidR="00B02093">
          <w:rPr>
            <w:noProof/>
            <w:webHidden/>
          </w:rPr>
          <w:instrText xml:space="preserve"> PAGEREF _Toc531935302 \h </w:instrText>
        </w:r>
        <w:r w:rsidR="00B02093">
          <w:rPr>
            <w:noProof/>
            <w:webHidden/>
          </w:rPr>
        </w:r>
        <w:r w:rsidR="00B02093">
          <w:rPr>
            <w:noProof/>
            <w:webHidden/>
          </w:rPr>
          <w:fldChar w:fldCharType="separate"/>
        </w:r>
        <w:r w:rsidR="00E5423A">
          <w:rPr>
            <w:noProof/>
            <w:webHidden/>
          </w:rPr>
          <w:t>108</w:t>
        </w:r>
        <w:r w:rsidR="00B02093">
          <w:rPr>
            <w:noProof/>
            <w:webHidden/>
          </w:rPr>
          <w:fldChar w:fldCharType="end"/>
        </w:r>
      </w:hyperlink>
    </w:p>
    <w:p w14:paraId="5B1FBDBE" w14:textId="18B67138" w:rsidR="00B02093" w:rsidRDefault="00185868">
      <w:pPr>
        <w:pStyle w:val="TableofFigures"/>
        <w:rPr>
          <w:rFonts w:asciiTheme="minorHAnsi" w:eastAsiaTheme="minorEastAsia" w:hAnsiTheme="minorHAnsi" w:cstheme="minorBidi"/>
          <w:noProof/>
        </w:rPr>
      </w:pPr>
      <w:hyperlink w:anchor="_Toc531935303" w:history="1">
        <w:r w:rsidR="00B02093" w:rsidRPr="003F6884">
          <w:rPr>
            <w:rStyle w:val="Hyperlink"/>
          </w:rPr>
          <w:t>Slika 4</w:t>
        </w:r>
        <w:r w:rsidR="00B02093" w:rsidRPr="003F6884">
          <w:rPr>
            <w:rStyle w:val="Hyperlink"/>
          </w:rPr>
          <w:noBreakHyphen/>
          <w:t>13: Usporedba projekcija potrošnje energije do 2040. godine uz postojeće i uz dodatne politike, mjere i programe energetske učinkovitosti</w:t>
        </w:r>
        <w:r w:rsidR="00B02093">
          <w:rPr>
            <w:noProof/>
            <w:webHidden/>
          </w:rPr>
          <w:tab/>
        </w:r>
        <w:r w:rsidR="00B02093">
          <w:rPr>
            <w:noProof/>
            <w:webHidden/>
          </w:rPr>
          <w:fldChar w:fldCharType="begin"/>
        </w:r>
        <w:r w:rsidR="00B02093">
          <w:rPr>
            <w:noProof/>
            <w:webHidden/>
          </w:rPr>
          <w:instrText xml:space="preserve"> PAGEREF _Toc531935303 \h </w:instrText>
        </w:r>
        <w:r w:rsidR="00B02093">
          <w:rPr>
            <w:noProof/>
            <w:webHidden/>
          </w:rPr>
        </w:r>
        <w:r w:rsidR="00B02093">
          <w:rPr>
            <w:noProof/>
            <w:webHidden/>
          </w:rPr>
          <w:fldChar w:fldCharType="separate"/>
        </w:r>
        <w:r w:rsidR="00E5423A">
          <w:rPr>
            <w:noProof/>
            <w:webHidden/>
          </w:rPr>
          <w:t>110</w:t>
        </w:r>
        <w:r w:rsidR="00B02093">
          <w:rPr>
            <w:noProof/>
            <w:webHidden/>
          </w:rPr>
          <w:fldChar w:fldCharType="end"/>
        </w:r>
      </w:hyperlink>
    </w:p>
    <w:p w14:paraId="6BBF14A9" w14:textId="7B10BC47" w:rsidR="00B02093" w:rsidRDefault="00185868">
      <w:pPr>
        <w:pStyle w:val="TableofFigures"/>
        <w:rPr>
          <w:rFonts w:asciiTheme="minorHAnsi" w:eastAsiaTheme="minorEastAsia" w:hAnsiTheme="minorHAnsi" w:cstheme="minorBidi"/>
          <w:noProof/>
        </w:rPr>
      </w:pPr>
      <w:hyperlink w:anchor="_Toc531935304" w:history="1">
        <w:r w:rsidR="00B02093" w:rsidRPr="003F6884">
          <w:rPr>
            <w:rStyle w:val="Hyperlink"/>
          </w:rPr>
          <w:t>Slika 4</w:t>
        </w:r>
        <w:r w:rsidR="00B02093" w:rsidRPr="003F6884">
          <w:rPr>
            <w:rStyle w:val="Hyperlink"/>
          </w:rPr>
          <w:noBreakHyphen/>
          <w:t>14. Očekivana proizvodnja primarne energije – Scenarij s postojećim mjerama</w:t>
        </w:r>
        <w:r w:rsidR="00B02093">
          <w:rPr>
            <w:noProof/>
            <w:webHidden/>
          </w:rPr>
          <w:tab/>
        </w:r>
        <w:r w:rsidR="00B02093">
          <w:rPr>
            <w:noProof/>
            <w:webHidden/>
          </w:rPr>
          <w:fldChar w:fldCharType="begin"/>
        </w:r>
        <w:r w:rsidR="00B02093">
          <w:rPr>
            <w:noProof/>
            <w:webHidden/>
          </w:rPr>
          <w:instrText xml:space="preserve"> PAGEREF _Toc531935304 \h </w:instrText>
        </w:r>
        <w:r w:rsidR="00B02093">
          <w:rPr>
            <w:noProof/>
            <w:webHidden/>
          </w:rPr>
        </w:r>
        <w:r w:rsidR="00B02093">
          <w:rPr>
            <w:noProof/>
            <w:webHidden/>
          </w:rPr>
          <w:fldChar w:fldCharType="separate"/>
        </w:r>
        <w:r w:rsidR="00E5423A">
          <w:rPr>
            <w:noProof/>
            <w:webHidden/>
          </w:rPr>
          <w:t>111</w:t>
        </w:r>
        <w:r w:rsidR="00B02093">
          <w:rPr>
            <w:noProof/>
            <w:webHidden/>
          </w:rPr>
          <w:fldChar w:fldCharType="end"/>
        </w:r>
      </w:hyperlink>
    </w:p>
    <w:p w14:paraId="1C889427" w14:textId="3192167D" w:rsidR="00B02093" w:rsidRDefault="00185868">
      <w:pPr>
        <w:pStyle w:val="TableofFigures"/>
        <w:rPr>
          <w:rFonts w:asciiTheme="minorHAnsi" w:eastAsiaTheme="minorEastAsia" w:hAnsiTheme="minorHAnsi" w:cstheme="minorBidi"/>
          <w:noProof/>
        </w:rPr>
      </w:pPr>
      <w:hyperlink w:anchor="_Toc531935305" w:history="1">
        <w:r w:rsidR="00B02093" w:rsidRPr="003F6884">
          <w:rPr>
            <w:rStyle w:val="Hyperlink"/>
          </w:rPr>
          <w:t>Slika 4</w:t>
        </w:r>
        <w:r w:rsidR="00B02093" w:rsidRPr="003F6884">
          <w:rPr>
            <w:rStyle w:val="Hyperlink"/>
          </w:rPr>
          <w:noBreakHyphen/>
          <w:t>15. Očekivana ukupna potrošnja energije – Scenarij s postojećim mjerama</w:t>
        </w:r>
        <w:r w:rsidR="00B02093">
          <w:rPr>
            <w:noProof/>
            <w:webHidden/>
          </w:rPr>
          <w:tab/>
        </w:r>
        <w:r w:rsidR="00B02093">
          <w:rPr>
            <w:noProof/>
            <w:webHidden/>
          </w:rPr>
          <w:fldChar w:fldCharType="begin"/>
        </w:r>
        <w:r w:rsidR="00B02093">
          <w:rPr>
            <w:noProof/>
            <w:webHidden/>
          </w:rPr>
          <w:instrText xml:space="preserve"> PAGEREF _Toc531935305 \h </w:instrText>
        </w:r>
        <w:r w:rsidR="00B02093">
          <w:rPr>
            <w:noProof/>
            <w:webHidden/>
          </w:rPr>
        </w:r>
        <w:r w:rsidR="00B02093">
          <w:rPr>
            <w:noProof/>
            <w:webHidden/>
          </w:rPr>
          <w:fldChar w:fldCharType="separate"/>
        </w:r>
        <w:r w:rsidR="00E5423A">
          <w:rPr>
            <w:noProof/>
            <w:webHidden/>
          </w:rPr>
          <w:t>112</w:t>
        </w:r>
        <w:r w:rsidR="00B02093">
          <w:rPr>
            <w:noProof/>
            <w:webHidden/>
          </w:rPr>
          <w:fldChar w:fldCharType="end"/>
        </w:r>
      </w:hyperlink>
    </w:p>
    <w:p w14:paraId="3EA86047" w14:textId="547C7CFC" w:rsidR="00B02093" w:rsidRDefault="00185868">
      <w:pPr>
        <w:pStyle w:val="TableofFigures"/>
        <w:rPr>
          <w:rFonts w:asciiTheme="minorHAnsi" w:eastAsiaTheme="minorEastAsia" w:hAnsiTheme="minorHAnsi" w:cstheme="minorBidi"/>
          <w:noProof/>
        </w:rPr>
      </w:pPr>
      <w:hyperlink w:anchor="_Toc531935306" w:history="1">
        <w:r w:rsidR="00B02093" w:rsidRPr="003F6884">
          <w:rPr>
            <w:rStyle w:val="Hyperlink"/>
          </w:rPr>
          <w:t>Slika 4</w:t>
        </w:r>
        <w:r w:rsidR="00B02093" w:rsidRPr="003F6884">
          <w:rPr>
            <w:rStyle w:val="Hyperlink"/>
          </w:rPr>
          <w:noBreakHyphen/>
          <w:t>16. Očekivana proizvodnja energije, uvoz energije i vlastita opskrbljenost svim oblicima energije – Scenarij s postojećim mjerama</w:t>
        </w:r>
        <w:r w:rsidR="00B02093">
          <w:rPr>
            <w:noProof/>
            <w:webHidden/>
          </w:rPr>
          <w:tab/>
        </w:r>
        <w:r w:rsidR="00B02093">
          <w:rPr>
            <w:noProof/>
            <w:webHidden/>
          </w:rPr>
          <w:fldChar w:fldCharType="begin"/>
        </w:r>
        <w:r w:rsidR="00B02093">
          <w:rPr>
            <w:noProof/>
            <w:webHidden/>
          </w:rPr>
          <w:instrText xml:space="preserve"> PAGEREF _Toc531935306 \h </w:instrText>
        </w:r>
        <w:r w:rsidR="00B02093">
          <w:rPr>
            <w:noProof/>
            <w:webHidden/>
          </w:rPr>
        </w:r>
        <w:r w:rsidR="00B02093">
          <w:rPr>
            <w:noProof/>
            <w:webHidden/>
          </w:rPr>
          <w:fldChar w:fldCharType="separate"/>
        </w:r>
        <w:r w:rsidR="00E5423A">
          <w:rPr>
            <w:noProof/>
            <w:webHidden/>
          </w:rPr>
          <w:t>112</w:t>
        </w:r>
        <w:r w:rsidR="00B02093">
          <w:rPr>
            <w:noProof/>
            <w:webHidden/>
          </w:rPr>
          <w:fldChar w:fldCharType="end"/>
        </w:r>
      </w:hyperlink>
    </w:p>
    <w:p w14:paraId="5C8261E7" w14:textId="4027775F" w:rsidR="00B02093" w:rsidRDefault="00185868">
      <w:pPr>
        <w:pStyle w:val="TableofFigures"/>
        <w:rPr>
          <w:rFonts w:asciiTheme="minorHAnsi" w:eastAsiaTheme="minorEastAsia" w:hAnsiTheme="minorHAnsi" w:cstheme="minorBidi"/>
          <w:noProof/>
        </w:rPr>
      </w:pPr>
      <w:hyperlink w:anchor="_Toc531935307" w:history="1">
        <w:r w:rsidR="00B02093" w:rsidRPr="003F6884">
          <w:rPr>
            <w:rStyle w:val="Hyperlink"/>
          </w:rPr>
          <w:t>Slika 4</w:t>
        </w:r>
        <w:r w:rsidR="00B02093" w:rsidRPr="003F6884">
          <w:rPr>
            <w:rStyle w:val="Hyperlink"/>
          </w:rPr>
          <w:noBreakHyphen/>
          <w:t>17. Hrvatska prijenosna elektroenergetska mreža</w:t>
        </w:r>
        <w:r w:rsidR="00B02093">
          <w:rPr>
            <w:noProof/>
            <w:webHidden/>
          </w:rPr>
          <w:tab/>
        </w:r>
        <w:r w:rsidR="00B02093">
          <w:rPr>
            <w:noProof/>
            <w:webHidden/>
          </w:rPr>
          <w:fldChar w:fldCharType="begin"/>
        </w:r>
        <w:r w:rsidR="00B02093">
          <w:rPr>
            <w:noProof/>
            <w:webHidden/>
          </w:rPr>
          <w:instrText xml:space="preserve"> PAGEREF _Toc531935307 \h </w:instrText>
        </w:r>
        <w:r w:rsidR="00B02093">
          <w:rPr>
            <w:noProof/>
            <w:webHidden/>
          </w:rPr>
        </w:r>
        <w:r w:rsidR="00B02093">
          <w:rPr>
            <w:noProof/>
            <w:webHidden/>
          </w:rPr>
          <w:fldChar w:fldCharType="separate"/>
        </w:r>
        <w:r w:rsidR="00E5423A">
          <w:rPr>
            <w:noProof/>
            <w:webHidden/>
          </w:rPr>
          <w:t>115</w:t>
        </w:r>
        <w:r w:rsidR="00B02093">
          <w:rPr>
            <w:noProof/>
            <w:webHidden/>
          </w:rPr>
          <w:fldChar w:fldCharType="end"/>
        </w:r>
      </w:hyperlink>
    </w:p>
    <w:p w14:paraId="10F2BA28" w14:textId="437FE1B4" w:rsidR="00B02093" w:rsidRDefault="00185868">
      <w:pPr>
        <w:pStyle w:val="TableofFigures"/>
        <w:rPr>
          <w:rFonts w:asciiTheme="minorHAnsi" w:eastAsiaTheme="minorEastAsia" w:hAnsiTheme="minorHAnsi" w:cstheme="minorBidi"/>
          <w:noProof/>
        </w:rPr>
      </w:pPr>
      <w:hyperlink w:anchor="_Toc531935308" w:history="1">
        <w:r w:rsidR="00B02093" w:rsidRPr="003F6884">
          <w:rPr>
            <w:rStyle w:val="Hyperlink"/>
          </w:rPr>
          <w:t>Slika 4</w:t>
        </w:r>
        <w:r w:rsidR="00B02093" w:rsidRPr="003F6884">
          <w:rPr>
            <w:rStyle w:val="Hyperlink"/>
          </w:rPr>
          <w:noBreakHyphen/>
          <w:t>18. Plinski transportni sustav u Republici Hrvatskoj</w:t>
        </w:r>
        <w:r w:rsidR="00B02093">
          <w:rPr>
            <w:noProof/>
            <w:webHidden/>
          </w:rPr>
          <w:tab/>
        </w:r>
        <w:r w:rsidR="00B02093">
          <w:rPr>
            <w:noProof/>
            <w:webHidden/>
          </w:rPr>
          <w:fldChar w:fldCharType="begin"/>
        </w:r>
        <w:r w:rsidR="00B02093">
          <w:rPr>
            <w:noProof/>
            <w:webHidden/>
          </w:rPr>
          <w:instrText xml:space="preserve"> PAGEREF _Toc531935308 \h </w:instrText>
        </w:r>
        <w:r w:rsidR="00B02093">
          <w:rPr>
            <w:noProof/>
            <w:webHidden/>
          </w:rPr>
        </w:r>
        <w:r w:rsidR="00B02093">
          <w:rPr>
            <w:noProof/>
            <w:webHidden/>
          </w:rPr>
          <w:fldChar w:fldCharType="separate"/>
        </w:r>
        <w:r w:rsidR="00E5423A">
          <w:rPr>
            <w:noProof/>
            <w:webHidden/>
          </w:rPr>
          <w:t>117</w:t>
        </w:r>
        <w:r w:rsidR="00B02093">
          <w:rPr>
            <w:noProof/>
            <w:webHidden/>
          </w:rPr>
          <w:fldChar w:fldCharType="end"/>
        </w:r>
      </w:hyperlink>
    </w:p>
    <w:p w14:paraId="4ADC3ED6" w14:textId="2AD6C86D" w:rsidR="00B02093" w:rsidRDefault="00185868">
      <w:pPr>
        <w:pStyle w:val="TableofFigures"/>
        <w:rPr>
          <w:rFonts w:asciiTheme="minorHAnsi" w:eastAsiaTheme="minorEastAsia" w:hAnsiTheme="minorHAnsi" w:cstheme="minorBidi"/>
          <w:noProof/>
        </w:rPr>
      </w:pPr>
      <w:hyperlink w:anchor="_Toc531935309" w:history="1">
        <w:r w:rsidR="00B02093" w:rsidRPr="003F6884">
          <w:rPr>
            <w:rStyle w:val="Hyperlink"/>
          </w:rPr>
          <w:t>Slika 4</w:t>
        </w:r>
        <w:r w:rsidR="00B02093" w:rsidRPr="003F6884">
          <w:rPr>
            <w:rStyle w:val="Hyperlink"/>
          </w:rPr>
          <w:noBreakHyphen/>
          <w:t xml:space="preserve">19. </w:t>
        </w:r>
        <w:r w:rsidR="00B02093" w:rsidRPr="003F6884">
          <w:rPr>
            <w:rStyle w:val="Hyperlink"/>
            <w:rFonts w:cs="Arial"/>
          </w:rPr>
          <w:t>Predvidiva topologija 400 kV i 220 kV mreže na području RH 2030. godine</w:t>
        </w:r>
        <w:r w:rsidR="00B02093">
          <w:rPr>
            <w:noProof/>
            <w:webHidden/>
          </w:rPr>
          <w:tab/>
        </w:r>
        <w:r w:rsidR="00B02093">
          <w:rPr>
            <w:noProof/>
            <w:webHidden/>
          </w:rPr>
          <w:fldChar w:fldCharType="begin"/>
        </w:r>
        <w:r w:rsidR="00B02093">
          <w:rPr>
            <w:noProof/>
            <w:webHidden/>
          </w:rPr>
          <w:instrText xml:space="preserve"> PAGEREF _Toc531935309 \h </w:instrText>
        </w:r>
        <w:r w:rsidR="00B02093">
          <w:rPr>
            <w:noProof/>
            <w:webHidden/>
          </w:rPr>
        </w:r>
        <w:r w:rsidR="00B02093">
          <w:rPr>
            <w:noProof/>
            <w:webHidden/>
          </w:rPr>
          <w:fldChar w:fldCharType="separate"/>
        </w:r>
        <w:r w:rsidR="00E5423A">
          <w:rPr>
            <w:noProof/>
            <w:webHidden/>
          </w:rPr>
          <w:t>118</w:t>
        </w:r>
        <w:r w:rsidR="00B02093">
          <w:rPr>
            <w:noProof/>
            <w:webHidden/>
          </w:rPr>
          <w:fldChar w:fldCharType="end"/>
        </w:r>
      </w:hyperlink>
    </w:p>
    <w:p w14:paraId="7E637B52" w14:textId="30FD8EE9" w:rsidR="00B02093" w:rsidRDefault="00185868">
      <w:pPr>
        <w:pStyle w:val="TableofFigures"/>
        <w:rPr>
          <w:rFonts w:asciiTheme="minorHAnsi" w:eastAsiaTheme="minorEastAsia" w:hAnsiTheme="minorHAnsi" w:cstheme="minorBidi"/>
          <w:noProof/>
        </w:rPr>
      </w:pPr>
      <w:hyperlink w:anchor="_Toc531935310" w:history="1">
        <w:r w:rsidR="00B02093" w:rsidRPr="003F6884">
          <w:rPr>
            <w:rStyle w:val="Hyperlink"/>
          </w:rPr>
          <w:t>Slika 4</w:t>
        </w:r>
        <w:r w:rsidR="00B02093" w:rsidRPr="003F6884">
          <w:rPr>
            <w:rStyle w:val="Hyperlink"/>
          </w:rPr>
          <w:noBreakHyphen/>
          <w:t>20. Cijene električne energije za kupce u Hrvatskoj u kategoriji kućanstvo</w:t>
        </w:r>
        <w:r w:rsidR="00B02093">
          <w:rPr>
            <w:noProof/>
            <w:webHidden/>
          </w:rPr>
          <w:tab/>
        </w:r>
        <w:r w:rsidR="00B02093">
          <w:rPr>
            <w:noProof/>
            <w:webHidden/>
          </w:rPr>
          <w:fldChar w:fldCharType="begin"/>
        </w:r>
        <w:r w:rsidR="00B02093">
          <w:rPr>
            <w:noProof/>
            <w:webHidden/>
          </w:rPr>
          <w:instrText xml:space="preserve"> PAGEREF _Toc531935310 \h </w:instrText>
        </w:r>
        <w:r w:rsidR="00B02093">
          <w:rPr>
            <w:noProof/>
            <w:webHidden/>
          </w:rPr>
        </w:r>
        <w:r w:rsidR="00B02093">
          <w:rPr>
            <w:noProof/>
            <w:webHidden/>
          </w:rPr>
          <w:fldChar w:fldCharType="separate"/>
        </w:r>
        <w:r w:rsidR="00E5423A">
          <w:rPr>
            <w:noProof/>
            <w:webHidden/>
          </w:rPr>
          <w:t>121</w:t>
        </w:r>
        <w:r w:rsidR="00B02093">
          <w:rPr>
            <w:noProof/>
            <w:webHidden/>
          </w:rPr>
          <w:fldChar w:fldCharType="end"/>
        </w:r>
      </w:hyperlink>
    </w:p>
    <w:p w14:paraId="497EE1FD" w14:textId="2C48868F" w:rsidR="00B02093" w:rsidRDefault="00185868">
      <w:pPr>
        <w:pStyle w:val="TableofFigures"/>
        <w:rPr>
          <w:rFonts w:asciiTheme="minorHAnsi" w:eastAsiaTheme="minorEastAsia" w:hAnsiTheme="minorHAnsi" w:cstheme="minorBidi"/>
          <w:noProof/>
        </w:rPr>
      </w:pPr>
      <w:hyperlink w:anchor="_Toc531935311" w:history="1">
        <w:r w:rsidR="00B02093" w:rsidRPr="003F6884">
          <w:rPr>
            <w:rStyle w:val="Hyperlink"/>
          </w:rPr>
          <w:t>Slika 4</w:t>
        </w:r>
        <w:r w:rsidR="00B02093" w:rsidRPr="003F6884">
          <w:rPr>
            <w:rStyle w:val="Hyperlink"/>
          </w:rPr>
          <w:noBreakHyphen/>
          <w:t>21. Cijene električne energije za kupce u Hrvatskoj u kategoriji poduzetništvo</w:t>
        </w:r>
        <w:r w:rsidR="00B02093">
          <w:rPr>
            <w:noProof/>
            <w:webHidden/>
          </w:rPr>
          <w:tab/>
        </w:r>
        <w:r w:rsidR="00B02093">
          <w:rPr>
            <w:noProof/>
            <w:webHidden/>
          </w:rPr>
          <w:fldChar w:fldCharType="begin"/>
        </w:r>
        <w:r w:rsidR="00B02093">
          <w:rPr>
            <w:noProof/>
            <w:webHidden/>
          </w:rPr>
          <w:instrText xml:space="preserve"> PAGEREF _Toc531935311 \h </w:instrText>
        </w:r>
        <w:r w:rsidR="00B02093">
          <w:rPr>
            <w:noProof/>
            <w:webHidden/>
          </w:rPr>
        </w:r>
        <w:r w:rsidR="00B02093">
          <w:rPr>
            <w:noProof/>
            <w:webHidden/>
          </w:rPr>
          <w:fldChar w:fldCharType="separate"/>
        </w:r>
        <w:r w:rsidR="00E5423A">
          <w:rPr>
            <w:noProof/>
            <w:webHidden/>
          </w:rPr>
          <w:t>121</w:t>
        </w:r>
        <w:r w:rsidR="00B02093">
          <w:rPr>
            <w:noProof/>
            <w:webHidden/>
          </w:rPr>
          <w:fldChar w:fldCharType="end"/>
        </w:r>
      </w:hyperlink>
    </w:p>
    <w:p w14:paraId="23B081A6" w14:textId="540E5A53" w:rsidR="00B02093" w:rsidRDefault="00185868">
      <w:pPr>
        <w:pStyle w:val="TableofFigures"/>
        <w:rPr>
          <w:rFonts w:asciiTheme="minorHAnsi" w:eastAsiaTheme="minorEastAsia" w:hAnsiTheme="minorHAnsi" w:cstheme="minorBidi"/>
          <w:noProof/>
        </w:rPr>
      </w:pPr>
      <w:hyperlink w:anchor="_Toc531935312" w:history="1">
        <w:r w:rsidR="00B02093" w:rsidRPr="003F6884">
          <w:rPr>
            <w:rStyle w:val="Hyperlink"/>
          </w:rPr>
          <w:t>Slika 4</w:t>
        </w:r>
        <w:r w:rsidR="00B02093" w:rsidRPr="003F6884">
          <w:rPr>
            <w:rStyle w:val="Hyperlink"/>
          </w:rPr>
          <w:noBreakHyphen/>
          <w:t>22. Cijene prirodnog plina za kupce u Hrvatskoj u kategoriji kućanstvo</w:t>
        </w:r>
        <w:r w:rsidR="00B02093">
          <w:rPr>
            <w:noProof/>
            <w:webHidden/>
          </w:rPr>
          <w:tab/>
        </w:r>
        <w:r w:rsidR="00B02093">
          <w:rPr>
            <w:noProof/>
            <w:webHidden/>
          </w:rPr>
          <w:fldChar w:fldCharType="begin"/>
        </w:r>
        <w:r w:rsidR="00B02093">
          <w:rPr>
            <w:noProof/>
            <w:webHidden/>
          </w:rPr>
          <w:instrText xml:space="preserve"> PAGEREF _Toc531935312 \h </w:instrText>
        </w:r>
        <w:r w:rsidR="00B02093">
          <w:rPr>
            <w:noProof/>
            <w:webHidden/>
          </w:rPr>
        </w:r>
        <w:r w:rsidR="00B02093">
          <w:rPr>
            <w:noProof/>
            <w:webHidden/>
          </w:rPr>
          <w:fldChar w:fldCharType="separate"/>
        </w:r>
        <w:r w:rsidR="00E5423A">
          <w:rPr>
            <w:noProof/>
            <w:webHidden/>
          </w:rPr>
          <w:t>122</w:t>
        </w:r>
        <w:r w:rsidR="00B02093">
          <w:rPr>
            <w:noProof/>
            <w:webHidden/>
          </w:rPr>
          <w:fldChar w:fldCharType="end"/>
        </w:r>
      </w:hyperlink>
    </w:p>
    <w:p w14:paraId="456A95DF" w14:textId="748FB2AE" w:rsidR="00B02093" w:rsidRDefault="00185868">
      <w:pPr>
        <w:pStyle w:val="TableofFigures"/>
        <w:rPr>
          <w:rFonts w:asciiTheme="minorHAnsi" w:eastAsiaTheme="minorEastAsia" w:hAnsiTheme="minorHAnsi" w:cstheme="minorBidi"/>
          <w:noProof/>
        </w:rPr>
      </w:pPr>
      <w:hyperlink w:anchor="_Toc531935313" w:history="1">
        <w:r w:rsidR="00B02093" w:rsidRPr="003F6884">
          <w:rPr>
            <w:rStyle w:val="Hyperlink"/>
          </w:rPr>
          <w:t>Slika 4</w:t>
        </w:r>
        <w:r w:rsidR="00B02093" w:rsidRPr="003F6884">
          <w:rPr>
            <w:rStyle w:val="Hyperlink"/>
          </w:rPr>
          <w:noBreakHyphen/>
          <w:t>23. Cijene prirodnog plina za kupce u Hrvatskoj u kategoriji poduzetništvo</w:t>
        </w:r>
        <w:r w:rsidR="00B02093">
          <w:rPr>
            <w:noProof/>
            <w:webHidden/>
          </w:rPr>
          <w:tab/>
        </w:r>
        <w:r w:rsidR="00B02093">
          <w:rPr>
            <w:noProof/>
            <w:webHidden/>
          </w:rPr>
          <w:fldChar w:fldCharType="begin"/>
        </w:r>
        <w:r w:rsidR="00B02093">
          <w:rPr>
            <w:noProof/>
            <w:webHidden/>
          </w:rPr>
          <w:instrText xml:space="preserve"> PAGEREF _Toc531935313 \h </w:instrText>
        </w:r>
        <w:r w:rsidR="00B02093">
          <w:rPr>
            <w:noProof/>
            <w:webHidden/>
          </w:rPr>
        </w:r>
        <w:r w:rsidR="00B02093">
          <w:rPr>
            <w:noProof/>
            <w:webHidden/>
          </w:rPr>
          <w:fldChar w:fldCharType="separate"/>
        </w:r>
        <w:r w:rsidR="00E5423A">
          <w:rPr>
            <w:noProof/>
            <w:webHidden/>
          </w:rPr>
          <w:t>122</w:t>
        </w:r>
        <w:r w:rsidR="00B02093">
          <w:rPr>
            <w:noProof/>
            <w:webHidden/>
          </w:rPr>
          <w:fldChar w:fldCharType="end"/>
        </w:r>
      </w:hyperlink>
    </w:p>
    <w:p w14:paraId="25045A50" w14:textId="2D82E716" w:rsidR="00B02093" w:rsidRDefault="00185868">
      <w:pPr>
        <w:pStyle w:val="TableofFigures"/>
        <w:rPr>
          <w:rFonts w:asciiTheme="minorHAnsi" w:eastAsiaTheme="minorEastAsia" w:hAnsiTheme="minorHAnsi" w:cstheme="minorBidi"/>
          <w:noProof/>
        </w:rPr>
      </w:pPr>
      <w:hyperlink w:anchor="_Toc531935314" w:history="1">
        <w:r w:rsidR="00B02093" w:rsidRPr="003F6884">
          <w:rPr>
            <w:rStyle w:val="Hyperlink"/>
          </w:rPr>
          <w:t>Slika 4</w:t>
        </w:r>
        <w:r w:rsidR="00B02093" w:rsidRPr="003F6884">
          <w:rPr>
            <w:rStyle w:val="Hyperlink"/>
          </w:rPr>
          <w:noBreakHyphen/>
          <w:t>24. Cijene električne energije za kupce u Hrvatskoj u kategoriji poduzetništvo</w:t>
        </w:r>
        <w:r w:rsidR="00B02093">
          <w:rPr>
            <w:noProof/>
            <w:webHidden/>
          </w:rPr>
          <w:tab/>
        </w:r>
        <w:r w:rsidR="00B02093">
          <w:rPr>
            <w:noProof/>
            <w:webHidden/>
          </w:rPr>
          <w:fldChar w:fldCharType="begin"/>
        </w:r>
        <w:r w:rsidR="00B02093">
          <w:rPr>
            <w:noProof/>
            <w:webHidden/>
          </w:rPr>
          <w:instrText xml:space="preserve"> PAGEREF _Toc531935314 \h </w:instrText>
        </w:r>
        <w:r w:rsidR="00B02093">
          <w:rPr>
            <w:noProof/>
            <w:webHidden/>
          </w:rPr>
        </w:r>
        <w:r w:rsidR="00B02093">
          <w:rPr>
            <w:noProof/>
            <w:webHidden/>
          </w:rPr>
          <w:fldChar w:fldCharType="separate"/>
        </w:r>
        <w:r w:rsidR="00E5423A">
          <w:rPr>
            <w:noProof/>
            <w:webHidden/>
          </w:rPr>
          <w:t>123</w:t>
        </w:r>
        <w:r w:rsidR="00B02093">
          <w:rPr>
            <w:noProof/>
            <w:webHidden/>
          </w:rPr>
          <w:fldChar w:fldCharType="end"/>
        </w:r>
      </w:hyperlink>
    </w:p>
    <w:p w14:paraId="330981C9" w14:textId="0B065928" w:rsidR="00B02093" w:rsidRDefault="00185868">
      <w:pPr>
        <w:pStyle w:val="TableofFigures"/>
        <w:rPr>
          <w:rFonts w:asciiTheme="minorHAnsi" w:eastAsiaTheme="minorEastAsia" w:hAnsiTheme="minorHAnsi" w:cstheme="minorBidi"/>
          <w:noProof/>
        </w:rPr>
      </w:pPr>
      <w:hyperlink w:anchor="_Toc531935315" w:history="1">
        <w:r w:rsidR="00B02093" w:rsidRPr="003F6884">
          <w:rPr>
            <w:rStyle w:val="Hyperlink"/>
          </w:rPr>
          <w:t>Slika 4</w:t>
        </w:r>
        <w:r w:rsidR="00B02093" w:rsidRPr="003F6884">
          <w:rPr>
            <w:rStyle w:val="Hyperlink"/>
          </w:rPr>
          <w:noBreakHyphen/>
          <w:t>25. Projekcije cijena prirodnog plina prema World Energy Outlook 2018</w:t>
        </w:r>
        <w:r w:rsidR="00B02093">
          <w:rPr>
            <w:noProof/>
            <w:webHidden/>
          </w:rPr>
          <w:tab/>
        </w:r>
        <w:r w:rsidR="00B02093">
          <w:rPr>
            <w:noProof/>
            <w:webHidden/>
          </w:rPr>
          <w:fldChar w:fldCharType="begin"/>
        </w:r>
        <w:r w:rsidR="00B02093">
          <w:rPr>
            <w:noProof/>
            <w:webHidden/>
          </w:rPr>
          <w:instrText xml:space="preserve"> PAGEREF _Toc531935315 \h </w:instrText>
        </w:r>
        <w:r w:rsidR="00B02093">
          <w:rPr>
            <w:noProof/>
            <w:webHidden/>
          </w:rPr>
        </w:r>
        <w:r w:rsidR="00B02093">
          <w:rPr>
            <w:noProof/>
            <w:webHidden/>
          </w:rPr>
          <w:fldChar w:fldCharType="separate"/>
        </w:r>
        <w:r w:rsidR="00E5423A">
          <w:rPr>
            <w:noProof/>
            <w:webHidden/>
          </w:rPr>
          <w:t>123</w:t>
        </w:r>
        <w:r w:rsidR="00B02093">
          <w:rPr>
            <w:noProof/>
            <w:webHidden/>
          </w:rPr>
          <w:fldChar w:fldCharType="end"/>
        </w:r>
      </w:hyperlink>
    </w:p>
    <w:p w14:paraId="0EC4C3E1" w14:textId="73C4229D" w:rsidR="00B02093" w:rsidRDefault="00185868">
      <w:pPr>
        <w:pStyle w:val="TableofFigures"/>
        <w:rPr>
          <w:rFonts w:asciiTheme="minorHAnsi" w:eastAsiaTheme="minorEastAsia" w:hAnsiTheme="minorHAnsi" w:cstheme="minorBidi"/>
          <w:noProof/>
        </w:rPr>
      </w:pPr>
      <w:hyperlink w:anchor="_Toc531935316" w:history="1">
        <w:r w:rsidR="00B02093" w:rsidRPr="003F6884">
          <w:rPr>
            <w:rStyle w:val="Hyperlink"/>
          </w:rPr>
          <w:t>Slika 5</w:t>
        </w:r>
        <w:r w:rsidR="00B02093" w:rsidRPr="003F6884">
          <w:rPr>
            <w:rStyle w:val="Hyperlink"/>
          </w:rPr>
          <w:noBreakHyphen/>
          <w:t>1. Projekcije emisija stakleničkih za scenarij s postojećim mjerama i scenarije s dodatnim mjerama – energetski izvori</w:t>
        </w:r>
        <w:r w:rsidR="00B02093">
          <w:rPr>
            <w:noProof/>
            <w:webHidden/>
          </w:rPr>
          <w:tab/>
        </w:r>
        <w:r w:rsidR="00B02093">
          <w:rPr>
            <w:noProof/>
            <w:webHidden/>
          </w:rPr>
          <w:fldChar w:fldCharType="begin"/>
        </w:r>
        <w:r w:rsidR="00B02093">
          <w:rPr>
            <w:noProof/>
            <w:webHidden/>
          </w:rPr>
          <w:instrText xml:space="preserve"> PAGEREF _Toc531935316 \h </w:instrText>
        </w:r>
        <w:r w:rsidR="00B02093">
          <w:rPr>
            <w:noProof/>
            <w:webHidden/>
          </w:rPr>
        </w:r>
        <w:r w:rsidR="00B02093">
          <w:rPr>
            <w:noProof/>
            <w:webHidden/>
          </w:rPr>
          <w:fldChar w:fldCharType="separate"/>
        </w:r>
        <w:r w:rsidR="00E5423A">
          <w:rPr>
            <w:noProof/>
            <w:webHidden/>
          </w:rPr>
          <w:t>126</w:t>
        </w:r>
        <w:r w:rsidR="00B02093">
          <w:rPr>
            <w:noProof/>
            <w:webHidden/>
          </w:rPr>
          <w:fldChar w:fldCharType="end"/>
        </w:r>
      </w:hyperlink>
    </w:p>
    <w:p w14:paraId="2D9B49A2" w14:textId="731ED73F" w:rsidR="00B02093" w:rsidRDefault="00185868">
      <w:pPr>
        <w:pStyle w:val="TableofFigures"/>
        <w:rPr>
          <w:rFonts w:asciiTheme="minorHAnsi" w:eastAsiaTheme="minorEastAsia" w:hAnsiTheme="minorHAnsi" w:cstheme="minorBidi"/>
          <w:noProof/>
        </w:rPr>
      </w:pPr>
      <w:hyperlink w:anchor="_Toc531935317" w:history="1">
        <w:r w:rsidR="00B02093" w:rsidRPr="003F6884">
          <w:rPr>
            <w:rStyle w:val="Hyperlink"/>
          </w:rPr>
          <w:t>Slika 5</w:t>
        </w:r>
        <w:r w:rsidR="00B02093" w:rsidRPr="003F6884">
          <w:rPr>
            <w:rStyle w:val="Hyperlink"/>
          </w:rPr>
          <w:noBreakHyphen/>
          <w:t>2. Projekcije emisija stakleničkih za scenarij s postojećim mjerama i scenarij s dodatnim mjerama – ne-energetski izvori</w:t>
        </w:r>
        <w:r w:rsidR="00B02093">
          <w:rPr>
            <w:noProof/>
            <w:webHidden/>
          </w:rPr>
          <w:tab/>
        </w:r>
        <w:r w:rsidR="00B02093">
          <w:rPr>
            <w:noProof/>
            <w:webHidden/>
          </w:rPr>
          <w:fldChar w:fldCharType="begin"/>
        </w:r>
        <w:r w:rsidR="00B02093">
          <w:rPr>
            <w:noProof/>
            <w:webHidden/>
          </w:rPr>
          <w:instrText xml:space="preserve"> PAGEREF _Toc531935317 \h </w:instrText>
        </w:r>
        <w:r w:rsidR="00B02093">
          <w:rPr>
            <w:noProof/>
            <w:webHidden/>
          </w:rPr>
        </w:r>
        <w:r w:rsidR="00B02093">
          <w:rPr>
            <w:noProof/>
            <w:webHidden/>
          </w:rPr>
          <w:fldChar w:fldCharType="separate"/>
        </w:r>
        <w:r w:rsidR="00E5423A">
          <w:rPr>
            <w:noProof/>
            <w:webHidden/>
          </w:rPr>
          <w:t>127</w:t>
        </w:r>
        <w:r w:rsidR="00B02093">
          <w:rPr>
            <w:noProof/>
            <w:webHidden/>
          </w:rPr>
          <w:fldChar w:fldCharType="end"/>
        </w:r>
      </w:hyperlink>
    </w:p>
    <w:p w14:paraId="39649CDA" w14:textId="5756C708" w:rsidR="00B02093" w:rsidRDefault="00185868">
      <w:pPr>
        <w:pStyle w:val="TableofFigures"/>
        <w:rPr>
          <w:rFonts w:asciiTheme="minorHAnsi" w:eastAsiaTheme="minorEastAsia" w:hAnsiTheme="minorHAnsi" w:cstheme="minorBidi"/>
          <w:noProof/>
        </w:rPr>
      </w:pPr>
      <w:hyperlink w:anchor="_Toc531935318" w:history="1">
        <w:r w:rsidR="00B02093" w:rsidRPr="003F6884">
          <w:rPr>
            <w:rStyle w:val="Hyperlink"/>
          </w:rPr>
          <w:t>Slika 5</w:t>
        </w:r>
        <w:r w:rsidR="00B02093" w:rsidRPr="003F6884">
          <w:rPr>
            <w:rStyle w:val="Hyperlink"/>
          </w:rPr>
          <w:noBreakHyphen/>
          <w:t>3. Projekcija ukupnih emisija stakleničkih plinova, za scenarij s postojećim mjerama i scenarij s dodatnim mjerama</w:t>
        </w:r>
        <w:r w:rsidR="00B02093">
          <w:rPr>
            <w:noProof/>
            <w:webHidden/>
          </w:rPr>
          <w:tab/>
        </w:r>
        <w:r w:rsidR="00B02093">
          <w:rPr>
            <w:noProof/>
            <w:webHidden/>
          </w:rPr>
          <w:fldChar w:fldCharType="begin"/>
        </w:r>
        <w:r w:rsidR="00B02093">
          <w:rPr>
            <w:noProof/>
            <w:webHidden/>
          </w:rPr>
          <w:instrText xml:space="preserve"> PAGEREF _Toc531935318 \h </w:instrText>
        </w:r>
        <w:r w:rsidR="00B02093">
          <w:rPr>
            <w:noProof/>
            <w:webHidden/>
          </w:rPr>
        </w:r>
        <w:r w:rsidR="00B02093">
          <w:rPr>
            <w:noProof/>
            <w:webHidden/>
          </w:rPr>
          <w:fldChar w:fldCharType="separate"/>
        </w:r>
        <w:r w:rsidR="00E5423A">
          <w:rPr>
            <w:noProof/>
            <w:webHidden/>
          </w:rPr>
          <w:t>128</w:t>
        </w:r>
        <w:r w:rsidR="00B02093">
          <w:rPr>
            <w:noProof/>
            <w:webHidden/>
          </w:rPr>
          <w:fldChar w:fldCharType="end"/>
        </w:r>
      </w:hyperlink>
    </w:p>
    <w:p w14:paraId="63E2183B" w14:textId="225B348D" w:rsidR="00B02093" w:rsidRDefault="00185868">
      <w:pPr>
        <w:pStyle w:val="TableofFigures"/>
        <w:rPr>
          <w:rFonts w:asciiTheme="minorHAnsi" w:eastAsiaTheme="minorEastAsia" w:hAnsiTheme="minorHAnsi" w:cstheme="minorBidi"/>
          <w:noProof/>
        </w:rPr>
      </w:pPr>
      <w:hyperlink w:anchor="_Toc531935319" w:history="1">
        <w:r w:rsidR="00B02093" w:rsidRPr="003F6884">
          <w:rPr>
            <w:rStyle w:val="Hyperlink"/>
          </w:rPr>
          <w:t>Slika 5</w:t>
        </w:r>
        <w:r w:rsidR="00B02093" w:rsidRPr="003F6884">
          <w:rPr>
            <w:rStyle w:val="Hyperlink"/>
          </w:rPr>
          <w:noBreakHyphen/>
          <w:t>4.Projekcija emisija stakleničkih plinova iz ETS sektora i sektora izvan ETS-a, za scenarij s postojećim mjerama i dva scenarija s dodatnim mjerama</w:t>
        </w:r>
        <w:r w:rsidR="00B02093">
          <w:rPr>
            <w:noProof/>
            <w:webHidden/>
          </w:rPr>
          <w:tab/>
        </w:r>
        <w:r w:rsidR="00B02093">
          <w:rPr>
            <w:noProof/>
            <w:webHidden/>
          </w:rPr>
          <w:fldChar w:fldCharType="begin"/>
        </w:r>
        <w:r w:rsidR="00B02093">
          <w:rPr>
            <w:noProof/>
            <w:webHidden/>
          </w:rPr>
          <w:instrText xml:space="preserve"> PAGEREF _Toc531935319 \h </w:instrText>
        </w:r>
        <w:r w:rsidR="00B02093">
          <w:rPr>
            <w:noProof/>
            <w:webHidden/>
          </w:rPr>
        </w:r>
        <w:r w:rsidR="00B02093">
          <w:rPr>
            <w:noProof/>
            <w:webHidden/>
          </w:rPr>
          <w:fldChar w:fldCharType="separate"/>
        </w:r>
        <w:r w:rsidR="00E5423A">
          <w:rPr>
            <w:noProof/>
            <w:webHidden/>
          </w:rPr>
          <w:t>128</w:t>
        </w:r>
        <w:r w:rsidR="00B02093">
          <w:rPr>
            <w:noProof/>
            <w:webHidden/>
          </w:rPr>
          <w:fldChar w:fldCharType="end"/>
        </w:r>
      </w:hyperlink>
    </w:p>
    <w:p w14:paraId="73C882BF" w14:textId="18AFA845" w:rsidR="00B02093" w:rsidRDefault="00185868">
      <w:pPr>
        <w:pStyle w:val="TableofFigures"/>
        <w:rPr>
          <w:rFonts w:asciiTheme="minorHAnsi" w:eastAsiaTheme="minorEastAsia" w:hAnsiTheme="minorHAnsi" w:cstheme="minorBidi"/>
          <w:noProof/>
        </w:rPr>
      </w:pPr>
      <w:hyperlink w:anchor="_Toc531935320" w:history="1">
        <w:r w:rsidR="00B02093" w:rsidRPr="003F6884">
          <w:rPr>
            <w:rStyle w:val="Hyperlink"/>
          </w:rPr>
          <w:t>Slika 5</w:t>
        </w:r>
        <w:r w:rsidR="00B02093" w:rsidRPr="003F6884">
          <w:rPr>
            <w:rStyle w:val="Hyperlink"/>
          </w:rPr>
          <w:noBreakHyphen/>
          <w:t>5Projekcija emisija stakleničkih plinova iz ETS sektora, za scenarij s postojećim mjerama i scenarij s dodatnim mjerama</w:t>
        </w:r>
        <w:r w:rsidR="00B02093">
          <w:rPr>
            <w:noProof/>
            <w:webHidden/>
          </w:rPr>
          <w:tab/>
        </w:r>
        <w:r w:rsidR="00B02093">
          <w:rPr>
            <w:noProof/>
            <w:webHidden/>
          </w:rPr>
          <w:fldChar w:fldCharType="begin"/>
        </w:r>
        <w:r w:rsidR="00B02093">
          <w:rPr>
            <w:noProof/>
            <w:webHidden/>
          </w:rPr>
          <w:instrText xml:space="preserve"> PAGEREF _Toc531935320 \h </w:instrText>
        </w:r>
        <w:r w:rsidR="00B02093">
          <w:rPr>
            <w:noProof/>
            <w:webHidden/>
          </w:rPr>
        </w:r>
        <w:r w:rsidR="00B02093">
          <w:rPr>
            <w:noProof/>
            <w:webHidden/>
          </w:rPr>
          <w:fldChar w:fldCharType="separate"/>
        </w:r>
        <w:r w:rsidR="00E5423A">
          <w:rPr>
            <w:noProof/>
            <w:webHidden/>
          </w:rPr>
          <w:t>129</w:t>
        </w:r>
        <w:r w:rsidR="00B02093">
          <w:rPr>
            <w:noProof/>
            <w:webHidden/>
          </w:rPr>
          <w:fldChar w:fldCharType="end"/>
        </w:r>
      </w:hyperlink>
    </w:p>
    <w:p w14:paraId="17994472" w14:textId="29879FFF" w:rsidR="00DE41C8" w:rsidRPr="00DE41C8" w:rsidRDefault="00A87274">
      <w:r>
        <w:fldChar w:fldCharType="end"/>
      </w:r>
    </w:p>
    <w:p w14:paraId="1068B6CD" w14:textId="60BD2F48" w:rsidR="00DE41C8" w:rsidRDefault="00DE41C8" w:rsidP="00CF2D4C">
      <w:pPr>
        <w:pStyle w:val="Heading1"/>
      </w:pPr>
      <w:bookmarkStart w:id="523" w:name="_Toc531935276"/>
      <w:bookmarkStart w:id="524" w:name="_Toc531945138"/>
      <w:r>
        <w:t>POPIS TABLICA</w:t>
      </w:r>
      <w:bookmarkEnd w:id="523"/>
      <w:bookmarkEnd w:id="524"/>
    </w:p>
    <w:p w14:paraId="33272719" w14:textId="47062F22" w:rsidR="00B02093" w:rsidRDefault="00A87274">
      <w:pPr>
        <w:pStyle w:val="TableofFigures"/>
        <w:rPr>
          <w:rFonts w:asciiTheme="minorHAnsi" w:eastAsiaTheme="minorEastAsia" w:hAnsiTheme="minorHAnsi" w:cstheme="minorBidi"/>
          <w:noProof/>
        </w:rPr>
      </w:pPr>
      <w:r>
        <w:fldChar w:fldCharType="begin"/>
      </w:r>
      <w:r>
        <w:instrText xml:space="preserve"> TOC \h \z \c "Tablica" </w:instrText>
      </w:r>
      <w:r>
        <w:fldChar w:fldCharType="separate"/>
      </w:r>
      <w:hyperlink w:anchor="_Toc531935321" w:history="1">
        <w:r w:rsidR="00B02093" w:rsidRPr="004B0B15">
          <w:rPr>
            <w:rStyle w:val="Hyperlink"/>
          </w:rPr>
          <w:t>Tablica 1</w:t>
        </w:r>
        <w:r w:rsidR="00B02093" w:rsidRPr="004B0B15">
          <w:rPr>
            <w:rStyle w:val="Hyperlink"/>
          </w:rPr>
          <w:noBreakHyphen/>
          <w:t>1 Ciljevi smanjenja emisija stakleničkih plinova za RH u 2030. godini</w:t>
        </w:r>
        <w:r w:rsidR="00B02093">
          <w:rPr>
            <w:noProof/>
            <w:webHidden/>
          </w:rPr>
          <w:tab/>
        </w:r>
        <w:r w:rsidR="00B02093">
          <w:rPr>
            <w:noProof/>
            <w:webHidden/>
          </w:rPr>
          <w:fldChar w:fldCharType="begin"/>
        </w:r>
        <w:r w:rsidR="00B02093">
          <w:rPr>
            <w:noProof/>
            <w:webHidden/>
          </w:rPr>
          <w:instrText xml:space="preserve"> PAGEREF _Toc531935321 \h </w:instrText>
        </w:r>
        <w:r w:rsidR="00B02093">
          <w:rPr>
            <w:noProof/>
            <w:webHidden/>
          </w:rPr>
        </w:r>
        <w:r w:rsidR="00B02093">
          <w:rPr>
            <w:noProof/>
            <w:webHidden/>
          </w:rPr>
          <w:fldChar w:fldCharType="separate"/>
        </w:r>
        <w:r w:rsidR="00E5423A">
          <w:rPr>
            <w:noProof/>
            <w:webHidden/>
          </w:rPr>
          <w:t>6</w:t>
        </w:r>
        <w:r w:rsidR="00B02093">
          <w:rPr>
            <w:noProof/>
            <w:webHidden/>
          </w:rPr>
          <w:fldChar w:fldCharType="end"/>
        </w:r>
      </w:hyperlink>
    </w:p>
    <w:p w14:paraId="0013BDB5" w14:textId="00D0B1F1" w:rsidR="00B02093" w:rsidRDefault="00185868">
      <w:pPr>
        <w:pStyle w:val="TableofFigures"/>
        <w:rPr>
          <w:rFonts w:asciiTheme="minorHAnsi" w:eastAsiaTheme="minorEastAsia" w:hAnsiTheme="minorHAnsi" w:cstheme="minorBidi"/>
          <w:noProof/>
        </w:rPr>
      </w:pPr>
      <w:hyperlink w:anchor="_Toc531935322" w:history="1">
        <w:r w:rsidR="00B02093" w:rsidRPr="004B0B15">
          <w:rPr>
            <w:rStyle w:val="Hyperlink"/>
          </w:rPr>
          <w:t>Tablica 1</w:t>
        </w:r>
        <w:r w:rsidR="00B02093" w:rsidRPr="004B0B15">
          <w:rPr>
            <w:rStyle w:val="Hyperlink"/>
          </w:rPr>
          <w:noBreakHyphen/>
          <w:t>2 Projekcije vrijednosti ključnih indikatora, Zelena knjiga</w:t>
        </w:r>
        <w:r w:rsidR="00B02093">
          <w:rPr>
            <w:noProof/>
            <w:webHidden/>
          </w:rPr>
          <w:tab/>
        </w:r>
        <w:r w:rsidR="00B02093">
          <w:rPr>
            <w:noProof/>
            <w:webHidden/>
          </w:rPr>
          <w:fldChar w:fldCharType="begin"/>
        </w:r>
        <w:r w:rsidR="00B02093">
          <w:rPr>
            <w:noProof/>
            <w:webHidden/>
          </w:rPr>
          <w:instrText xml:space="preserve"> PAGEREF _Toc531935322 \h </w:instrText>
        </w:r>
        <w:r w:rsidR="00B02093">
          <w:rPr>
            <w:noProof/>
            <w:webHidden/>
          </w:rPr>
        </w:r>
        <w:r w:rsidR="00B02093">
          <w:rPr>
            <w:noProof/>
            <w:webHidden/>
          </w:rPr>
          <w:fldChar w:fldCharType="separate"/>
        </w:r>
        <w:r w:rsidR="00E5423A">
          <w:rPr>
            <w:noProof/>
            <w:webHidden/>
          </w:rPr>
          <w:t>7</w:t>
        </w:r>
        <w:r w:rsidR="00B02093">
          <w:rPr>
            <w:noProof/>
            <w:webHidden/>
          </w:rPr>
          <w:fldChar w:fldCharType="end"/>
        </w:r>
      </w:hyperlink>
    </w:p>
    <w:p w14:paraId="10617125" w14:textId="7FC24AF0" w:rsidR="00B02093" w:rsidRDefault="00185868">
      <w:pPr>
        <w:pStyle w:val="TableofFigures"/>
        <w:rPr>
          <w:rFonts w:asciiTheme="minorHAnsi" w:eastAsiaTheme="minorEastAsia" w:hAnsiTheme="minorHAnsi" w:cstheme="minorBidi"/>
          <w:noProof/>
        </w:rPr>
      </w:pPr>
      <w:hyperlink w:anchor="_Toc531935323" w:history="1">
        <w:r w:rsidR="00B02093" w:rsidRPr="004B0B15">
          <w:rPr>
            <w:rStyle w:val="Hyperlink"/>
          </w:rPr>
          <w:t>Tablica 1</w:t>
        </w:r>
        <w:r w:rsidR="00B02093" w:rsidRPr="004B0B15">
          <w:rPr>
            <w:rStyle w:val="Hyperlink"/>
          </w:rPr>
          <w:noBreakHyphen/>
          <w:t>3 Pregled mjera</w:t>
        </w:r>
        <w:r w:rsidR="00B02093">
          <w:rPr>
            <w:noProof/>
            <w:webHidden/>
          </w:rPr>
          <w:tab/>
        </w:r>
        <w:r w:rsidR="00B02093">
          <w:rPr>
            <w:noProof/>
            <w:webHidden/>
          </w:rPr>
          <w:fldChar w:fldCharType="begin"/>
        </w:r>
        <w:r w:rsidR="00B02093">
          <w:rPr>
            <w:noProof/>
            <w:webHidden/>
          </w:rPr>
          <w:instrText xml:space="preserve"> PAGEREF _Toc531935323 \h </w:instrText>
        </w:r>
        <w:r w:rsidR="00B02093">
          <w:rPr>
            <w:noProof/>
            <w:webHidden/>
          </w:rPr>
        </w:r>
        <w:r w:rsidR="00B02093">
          <w:rPr>
            <w:noProof/>
            <w:webHidden/>
          </w:rPr>
          <w:fldChar w:fldCharType="separate"/>
        </w:r>
        <w:r w:rsidR="00E5423A">
          <w:rPr>
            <w:noProof/>
            <w:webHidden/>
          </w:rPr>
          <w:t>7</w:t>
        </w:r>
        <w:r w:rsidR="00B02093">
          <w:rPr>
            <w:noProof/>
            <w:webHidden/>
          </w:rPr>
          <w:fldChar w:fldCharType="end"/>
        </w:r>
      </w:hyperlink>
    </w:p>
    <w:p w14:paraId="053E4840" w14:textId="3602CB8F" w:rsidR="00B02093" w:rsidRDefault="00185868">
      <w:pPr>
        <w:pStyle w:val="TableofFigures"/>
        <w:rPr>
          <w:rFonts w:asciiTheme="minorHAnsi" w:eastAsiaTheme="minorEastAsia" w:hAnsiTheme="minorHAnsi" w:cstheme="minorBidi"/>
          <w:noProof/>
        </w:rPr>
      </w:pPr>
      <w:hyperlink w:anchor="_Toc531935324" w:history="1">
        <w:r w:rsidR="00B02093" w:rsidRPr="004B0B15">
          <w:rPr>
            <w:rStyle w:val="Hyperlink"/>
          </w:rPr>
          <w:t>Tablica 1</w:t>
        </w:r>
        <w:r w:rsidR="00B02093" w:rsidRPr="004B0B15">
          <w:rPr>
            <w:rStyle w:val="Hyperlink"/>
          </w:rPr>
          <w:noBreakHyphen/>
          <w:t>4 Trenutne mjere unutar dimenzije „dekarbonizacija“</w:t>
        </w:r>
        <w:r w:rsidR="00B02093">
          <w:rPr>
            <w:noProof/>
            <w:webHidden/>
          </w:rPr>
          <w:tab/>
        </w:r>
        <w:r w:rsidR="00B02093">
          <w:rPr>
            <w:noProof/>
            <w:webHidden/>
          </w:rPr>
          <w:fldChar w:fldCharType="begin"/>
        </w:r>
        <w:r w:rsidR="00B02093">
          <w:rPr>
            <w:noProof/>
            <w:webHidden/>
          </w:rPr>
          <w:instrText xml:space="preserve"> PAGEREF _Toc531935324 \h </w:instrText>
        </w:r>
        <w:r w:rsidR="00B02093">
          <w:rPr>
            <w:noProof/>
            <w:webHidden/>
          </w:rPr>
        </w:r>
        <w:r w:rsidR="00B02093">
          <w:rPr>
            <w:noProof/>
            <w:webHidden/>
          </w:rPr>
          <w:fldChar w:fldCharType="separate"/>
        </w:r>
        <w:r w:rsidR="00E5423A">
          <w:rPr>
            <w:noProof/>
            <w:webHidden/>
          </w:rPr>
          <w:t>14</w:t>
        </w:r>
        <w:r w:rsidR="00B02093">
          <w:rPr>
            <w:noProof/>
            <w:webHidden/>
          </w:rPr>
          <w:fldChar w:fldCharType="end"/>
        </w:r>
      </w:hyperlink>
    </w:p>
    <w:p w14:paraId="41667C09" w14:textId="76651127" w:rsidR="00B02093" w:rsidRDefault="00185868">
      <w:pPr>
        <w:pStyle w:val="TableofFigures"/>
        <w:rPr>
          <w:rFonts w:asciiTheme="minorHAnsi" w:eastAsiaTheme="minorEastAsia" w:hAnsiTheme="minorHAnsi" w:cstheme="minorBidi"/>
          <w:noProof/>
        </w:rPr>
      </w:pPr>
      <w:hyperlink w:anchor="_Toc531935325" w:history="1">
        <w:r w:rsidR="00B02093" w:rsidRPr="004B0B15">
          <w:rPr>
            <w:rStyle w:val="Hyperlink"/>
          </w:rPr>
          <w:t>Tablica 1</w:t>
        </w:r>
        <w:r w:rsidR="00B02093" w:rsidRPr="004B0B15">
          <w:rPr>
            <w:rStyle w:val="Hyperlink"/>
          </w:rPr>
          <w:noBreakHyphen/>
          <w:t>5 Pregled postojećih regulatornih mjera energetske učinkovitosti</w:t>
        </w:r>
        <w:r w:rsidR="00B02093">
          <w:rPr>
            <w:noProof/>
            <w:webHidden/>
          </w:rPr>
          <w:tab/>
        </w:r>
        <w:r w:rsidR="00B02093">
          <w:rPr>
            <w:noProof/>
            <w:webHidden/>
          </w:rPr>
          <w:fldChar w:fldCharType="begin"/>
        </w:r>
        <w:r w:rsidR="00B02093">
          <w:rPr>
            <w:noProof/>
            <w:webHidden/>
          </w:rPr>
          <w:instrText xml:space="preserve"> PAGEREF _Toc531935325 \h </w:instrText>
        </w:r>
        <w:r w:rsidR="00B02093">
          <w:rPr>
            <w:noProof/>
            <w:webHidden/>
          </w:rPr>
        </w:r>
        <w:r w:rsidR="00B02093">
          <w:rPr>
            <w:noProof/>
            <w:webHidden/>
          </w:rPr>
          <w:fldChar w:fldCharType="separate"/>
        </w:r>
        <w:r w:rsidR="00E5423A">
          <w:rPr>
            <w:noProof/>
            <w:webHidden/>
          </w:rPr>
          <w:t>21</w:t>
        </w:r>
        <w:r w:rsidR="00B02093">
          <w:rPr>
            <w:noProof/>
            <w:webHidden/>
          </w:rPr>
          <w:fldChar w:fldCharType="end"/>
        </w:r>
      </w:hyperlink>
    </w:p>
    <w:p w14:paraId="13B1432D" w14:textId="7CBA5866" w:rsidR="00B02093" w:rsidRDefault="00185868">
      <w:pPr>
        <w:pStyle w:val="TableofFigures"/>
        <w:rPr>
          <w:rFonts w:asciiTheme="minorHAnsi" w:eastAsiaTheme="minorEastAsia" w:hAnsiTheme="minorHAnsi" w:cstheme="minorBidi"/>
          <w:noProof/>
        </w:rPr>
      </w:pPr>
      <w:hyperlink w:anchor="_Toc531935326" w:history="1">
        <w:r w:rsidR="00B02093" w:rsidRPr="004B0B15">
          <w:rPr>
            <w:rStyle w:val="Hyperlink"/>
          </w:rPr>
          <w:t>Tablica 1</w:t>
        </w:r>
        <w:r w:rsidR="00B02093" w:rsidRPr="004B0B15">
          <w:rPr>
            <w:rStyle w:val="Hyperlink"/>
          </w:rPr>
          <w:noBreakHyphen/>
          <w:t>6 Pregled postojećih ne-regulatornih mjera energetske učinkovitosti po sektorima neposredne potrošnje (bez prometa)</w:t>
        </w:r>
        <w:r w:rsidR="00B02093">
          <w:rPr>
            <w:noProof/>
            <w:webHidden/>
          </w:rPr>
          <w:tab/>
        </w:r>
        <w:r w:rsidR="00B02093">
          <w:rPr>
            <w:noProof/>
            <w:webHidden/>
          </w:rPr>
          <w:fldChar w:fldCharType="begin"/>
        </w:r>
        <w:r w:rsidR="00B02093">
          <w:rPr>
            <w:noProof/>
            <w:webHidden/>
          </w:rPr>
          <w:instrText xml:space="preserve"> PAGEREF _Toc531935326 \h </w:instrText>
        </w:r>
        <w:r w:rsidR="00B02093">
          <w:rPr>
            <w:noProof/>
            <w:webHidden/>
          </w:rPr>
        </w:r>
        <w:r w:rsidR="00B02093">
          <w:rPr>
            <w:noProof/>
            <w:webHidden/>
          </w:rPr>
          <w:fldChar w:fldCharType="separate"/>
        </w:r>
        <w:r w:rsidR="00E5423A">
          <w:rPr>
            <w:noProof/>
            <w:webHidden/>
          </w:rPr>
          <w:t>23</w:t>
        </w:r>
        <w:r w:rsidR="00B02093">
          <w:rPr>
            <w:noProof/>
            <w:webHidden/>
          </w:rPr>
          <w:fldChar w:fldCharType="end"/>
        </w:r>
      </w:hyperlink>
    </w:p>
    <w:p w14:paraId="126AD7D0" w14:textId="501B7711" w:rsidR="00B02093" w:rsidRDefault="00185868">
      <w:pPr>
        <w:pStyle w:val="TableofFigures"/>
        <w:rPr>
          <w:rFonts w:asciiTheme="minorHAnsi" w:eastAsiaTheme="minorEastAsia" w:hAnsiTheme="minorHAnsi" w:cstheme="minorBidi"/>
          <w:noProof/>
        </w:rPr>
      </w:pPr>
      <w:hyperlink w:anchor="_Toc531935327" w:history="1">
        <w:r w:rsidR="00B02093" w:rsidRPr="004B0B15">
          <w:rPr>
            <w:rStyle w:val="Hyperlink"/>
          </w:rPr>
          <w:t>Tablica 1</w:t>
        </w:r>
        <w:r w:rsidR="00B02093" w:rsidRPr="004B0B15">
          <w:rPr>
            <w:rStyle w:val="Hyperlink"/>
          </w:rPr>
          <w:noBreakHyphen/>
          <w:t>7 Pregled postojećih međusektorskih mjera energetske učinkovitosti</w:t>
        </w:r>
        <w:r w:rsidR="00B02093">
          <w:rPr>
            <w:noProof/>
            <w:webHidden/>
          </w:rPr>
          <w:tab/>
        </w:r>
        <w:r w:rsidR="00B02093">
          <w:rPr>
            <w:noProof/>
            <w:webHidden/>
          </w:rPr>
          <w:fldChar w:fldCharType="begin"/>
        </w:r>
        <w:r w:rsidR="00B02093">
          <w:rPr>
            <w:noProof/>
            <w:webHidden/>
          </w:rPr>
          <w:instrText xml:space="preserve"> PAGEREF _Toc531935327 \h </w:instrText>
        </w:r>
        <w:r w:rsidR="00B02093">
          <w:rPr>
            <w:noProof/>
            <w:webHidden/>
          </w:rPr>
        </w:r>
        <w:r w:rsidR="00B02093">
          <w:rPr>
            <w:noProof/>
            <w:webHidden/>
          </w:rPr>
          <w:fldChar w:fldCharType="separate"/>
        </w:r>
        <w:r w:rsidR="00E5423A">
          <w:rPr>
            <w:noProof/>
            <w:webHidden/>
          </w:rPr>
          <w:t>24</w:t>
        </w:r>
        <w:r w:rsidR="00B02093">
          <w:rPr>
            <w:noProof/>
            <w:webHidden/>
          </w:rPr>
          <w:fldChar w:fldCharType="end"/>
        </w:r>
      </w:hyperlink>
    </w:p>
    <w:p w14:paraId="27E5FE76" w14:textId="2D9C8EFB" w:rsidR="00B02093" w:rsidRDefault="00185868">
      <w:pPr>
        <w:pStyle w:val="TableofFigures"/>
        <w:rPr>
          <w:rFonts w:asciiTheme="minorHAnsi" w:eastAsiaTheme="minorEastAsia" w:hAnsiTheme="minorHAnsi" w:cstheme="minorBidi"/>
          <w:noProof/>
        </w:rPr>
      </w:pPr>
      <w:hyperlink w:anchor="_Toc531935328" w:history="1">
        <w:r w:rsidR="00B02093" w:rsidRPr="004B0B15">
          <w:rPr>
            <w:rStyle w:val="Hyperlink"/>
          </w:rPr>
          <w:t>Tablica 1</w:t>
        </w:r>
        <w:r w:rsidR="00B02093" w:rsidRPr="004B0B15">
          <w:rPr>
            <w:rStyle w:val="Hyperlink"/>
          </w:rPr>
          <w:noBreakHyphen/>
          <w:t>8 Pregled postojećih mjera energetske učinkovitosti za energetsku infrastrukturu</w:t>
        </w:r>
        <w:r w:rsidR="00B02093">
          <w:rPr>
            <w:noProof/>
            <w:webHidden/>
          </w:rPr>
          <w:tab/>
        </w:r>
        <w:r w:rsidR="00B02093">
          <w:rPr>
            <w:noProof/>
            <w:webHidden/>
          </w:rPr>
          <w:fldChar w:fldCharType="begin"/>
        </w:r>
        <w:r w:rsidR="00B02093">
          <w:rPr>
            <w:noProof/>
            <w:webHidden/>
          </w:rPr>
          <w:instrText xml:space="preserve"> PAGEREF _Toc531935328 \h </w:instrText>
        </w:r>
        <w:r w:rsidR="00B02093">
          <w:rPr>
            <w:noProof/>
            <w:webHidden/>
          </w:rPr>
        </w:r>
        <w:r w:rsidR="00B02093">
          <w:rPr>
            <w:noProof/>
            <w:webHidden/>
          </w:rPr>
          <w:fldChar w:fldCharType="separate"/>
        </w:r>
        <w:r w:rsidR="00E5423A">
          <w:rPr>
            <w:noProof/>
            <w:webHidden/>
          </w:rPr>
          <w:t>25</w:t>
        </w:r>
        <w:r w:rsidR="00B02093">
          <w:rPr>
            <w:noProof/>
            <w:webHidden/>
          </w:rPr>
          <w:fldChar w:fldCharType="end"/>
        </w:r>
      </w:hyperlink>
    </w:p>
    <w:p w14:paraId="3D5FBBAD" w14:textId="4EF9E5EE" w:rsidR="00B02093" w:rsidRDefault="00185868">
      <w:pPr>
        <w:pStyle w:val="TableofFigures"/>
        <w:rPr>
          <w:rFonts w:asciiTheme="minorHAnsi" w:eastAsiaTheme="minorEastAsia" w:hAnsiTheme="minorHAnsi" w:cstheme="minorBidi"/>
          <w:noProof/>
        </w:rPr>
      </w:pPr>
      <w:hyperlink w:anchor="_Toc531935329" w:history="1">
        <w:r w:rsidR="00B02093" w:rsidRPr="004B0B15">
          <w:rPr>
            <w:rStyle w:val="Hyperlink"/>
          </w:rPr>
          <w:t>Tablica 1</w:t>
        </w:r>
        <w:r w:rsidR="00B02093" w:rsidRPr="004B0B15">
          <w:rPr>
            <w:rStyle w:val="Hyperlink"/>
          </w:rPr>
          <w:noBreakHyphen/>
          <w:t>9 Postojeće mjere osiguranja energetske sigurnosti</w:t>
        </w:r>
        <w:r w:rsidR="00B02093">
          <w:rPr>
            <w:noProof/>
            <w:webHidden/>
          </w:rPr>
          <w:tab/>
        </w:r>
        <w:r w:rsidR="00B02093">
          <w:rPr>
            <w:noProof/>
            <w:webHidden/>
          </w:rPr>
          <w:fldChar w:fldCharType="begin"/>
        </w:r>
        <w:r w:rsidR="00B02093">
          <w:rPr>
            <w:noProof/>
            <w:webHidden/>
          </w:rPr>
          <w:instrText xml:space="preserve"> PAGEREF _Toc531935329 \h </w:instrText>
        </w:r>
        <w:r w:rsidR="00B02093">
          <w:rPr>
            <w:noProof/>
            <w:webHidden/>
          </w:rPr>
        </w:r>
        <w:r w:rsidR="00B02093">
          <w:rPr>
            <w:noProof/>
            <w:webHidden/>
          </w:rPr>
          <w:fldChar w:fldCharType="separate"/>
        </w:r>
        <w:r w:rsidR="00E5423A">
          <w:rPr>
            <w:noProof/>
            <w:webHidden/>
          </w:rPr>
          <w:t>27</w:t>
        </w:r>
        <w:r w:rsidR="00B02093">
          <w:rPr>
            <w:noProof/>
            <w:webHidden/>
          </w:rPr>
          <w:fldChar w:fldCharType="end"/>
        </w:r>
      </w:hyperlink>
    </w:p>
    <w:p w14:paraId="1CAFA847" w14:textId="0D731BAB" w:rsidR="00B02093" w:rsidRDefault="00185868">
      <w:pPr>
        <w:pStyle w:val="TableofFigures"/>
        <w:rPr>
          <w:rFonts w:asciiTheme="minorHAnsi" w:eastAsiaTheme="minorEastAsia" w:hAnsiTheme="minorHAnsi" w:cstheme="minorBidi"/>
          <w:noProof/>
        </w:rPr>
      </w:pPr>
      <w:hyperlink w:anchor="_Toc531935330" w:history="1">
        <w:r w:rsidR="00B02093" w:rsidRPr="004B0B15">
          <w:rPr>
            <w:rStyle w:val="Hyperlink"/>
          </w:rPr>
          <w:t>Tablica 1</w:t>
        </w:r>
        <w:r w:rsidR="00B02093" w:rsidRPr="004B0B15">
          <w:rPr>
            <w:rStyle w:val="Hyperlink"/>
          </w:rPr>
          <w:noBreakHyphen/>
          <w:t>10 Postojeće mjere za infrastrukturu za prijenos energije</w:t>
        </w:r>
        <w:r w:rsidR="00B02093">
          <w:rPr>
            <w:noProof/>
            <w:webHidden/>
          </w:rPr>
          <w:tab/>
        </w:r>
        <w:r w:rsidR="00B02093">
          <w:rPr>
            <w:noProof/>
            <w:webHidden/>
          </w:rPr>
          <w:fldChar w:fldCharType="begin"/>
        </w:r>
        <w:r w:rsidR="00B02093">
          <w:rPr>
            <w:noProof/>
            <w:webHidden/>
          </w:rPr>
          <w:instrText xml:space="preserve"> PAGEREF _Toc531935330 \h </w:instrText>
        </w:r>
        <w:r w:rsidR="00B02093">
          <w:rPr>
            <w:noProof/>
            <w:webHidden/>
          </w:rPr>
        </w:r>
        <w:r w:rsidR="00B02093">
          <w:rPr>
            <w:noProof/>
            <w:webHidden/>
          </w:rPr>
          <w:fldChar w:fldCharType="separate"/>
        </w:r>
        <w:r w:rsidR="00E5423A">
          <w:rPr>
            <w:noProof/>
            <w:webHidden/>
          </w:rPr>
          <w:t>29</w:t>
        </w:r>
        <w:r w:rsidR="00B02093">
          <w:rPr>
            <w:noProof/>
            <w:webHidden/>
          </w:rPr>
          <w:fldChar w:fldCharType="end"/>
        </w:r>
      </w:hyperlink>
    </w:p>
    <w:p w14:paraId="19D769C3" w14:textId="5B1DD1CF" w:rsidR="00B02093" w:rsidRDefault="00185868">
      <w:pPr>
        <w:pStyle w:val="TableofFigures"/>
        <w:rPr>
          <w:rFonts w:asciiTheme="minorHAnsi" w:eastAsiaTheme="minorEastAsia" w:hAnsiTheme="minorHAnsi" w:cstheme="minorBidi"/>
          <w:noProof/>
        </w:rPr>
      </w:pPr>
      <w:hyperlink w:anchor="_Toc531935331" w:history="1">
        <w:r w:rsidR="00B02093" w:rsidRPr="004B0B15">
          <w:rPr>
            <w:rStyle w:val="Hyperlink"/>
          </w:rPr>
          <w:t>Tablica 1</w:t>
        </w:r>
        <w:r w:rsidR="00B02093" w:rsidRPr="004B0B15">
          <w:rPr>
            <w:rStyle w:val="Hyperlink"/>
          </w:rPr>
          <w:noBreakHyphen/>
          <w:t>11 Postojeće mjere zaštite potrošača</w:t>
        </w:r>
        <w:r w:rsidR="00B02093">
          <w:rPr>
            <w:noProof/>
            <w:webHidden/>
          </w:rPr>
          <w:tab/>
        </w:r>
        <w:r w:rsidR="00B02093">
          <w:rPr>
            <w:noProof/>
            <w:webHidden/>
          </w:rPr>
          <w:fldChar w:fldCharType="begin"/>
        </w:r>
        <w:r w:rsidR="00B02093">
          <w:rPr>
            <w:noProof/>
            <w:webHidden/>
          </w:rPr>
          <w:instrText xml:space="preserve"> PAGEREF _Toc531935331 \h </w:instrText>
        </w:r>
        <w:r w:rsidR="00B02093">
          <w:rPr>
            <w:noProof/>
            <w:webHidden/>
          </w:rPr>
        </w:r>
        <w:r w:rsidR="00B02093">
          <w:rPr>
            <w:noProof/>
            <w:webHidden/>
          </w:rPr>
          <w:fldChar w:fldCharType="separate"/>
        </w:r>
        <w:r w:rsidR="00E5423A">
          <w:rPr>
            <w:noProof/>
            <w:webHidden/>
          </w:rPr>
          <w:t>31</w:t>
        </w:r>
        <w:r w:rsidR="00B02093">
          <w:rPr>
            <w:noProof/>
            <w:webHidden/>
          </w:rPr>
          <w:fldChar w:fldCharType="end"/>
        </w:r>
      </w:hyperlink>
    </w:p>
    <w:p w14:paraId="780119A1" w14:textId="7B18FE6E" w:rsidR="00B02093" w:rsidRDefault="00185868">
      <w:pPr>
        <w:pStyle w:val="TableofFigures"/>
        <w:rPr>
          <w:rFonts w:asciiTheme="minorHAnsi" w:eastAsiaTheme="minorEastAsia" w:hAnsiTheme="minorHAnsi" w:cstheme="minorBidi"/>
          <w:noProof/>
        </w:rPr>
      </w:pPr>
      <w:hyperlink w:anchor="_Toc531935332" w:history="1">
        <w:r w:rsidR="00B02093" w:rsidRPr="004B0B15">
          <w:rPr>
            <w:rStyle w:val="Hyperlink"/>
          </w:rPr>
          <w:t>Tablica 1</w:t>
        </w:r>
        <w:r w:rsidR="00B02093" w:rsidRPr="004B0B15">
          <w:rPr>
            <w:rStyle w:val="Hyperlink"/>
          </w:rPr>
          <w:noBreakHyphen/>
          <w:t>12 Postojeće mjere suzbijanja energetskog siromaštva</w:t>
        </w:r>
        <w:r w:rsidR="00B02093">
          <w:rPr>
            <w:noProof/>
            <w:webHidden/>
          </w:rPr>
          <w:tab/>
        </w:r>
        <w:r w:rsidR="00B02093">
          <w:rPr>
            <w:noProof/>
            <w:webHidden/>
          </w:rPr>
          <w:fldChar w:fldCharType="begin"/>
        </w:r>
        <w:r w:rsidR="00B02093">
          <w:rPr>
            <w:noProof/>
            <w:webHidden/>
          </w:rPr>
          <w:instrText xml:space="preserve"> PAGEREF _Toc531935332 \h </w:instrText>
        </w:r>
        <w:r w:rsidR="00B02093">
          <w:rPr>
            <w:noProof/>
            <w:webHidden/>
          </w:rPr>
        </w:r>
        <w:r w:rsidR="00B02093">
          <w:rPr>
            <w:noProof/>
            <w:webHidden/>
          </w:rPr>
          <w:fldChar w:fldCharType="separate"/>
        </w:r>
        <w:r w:rsidR="00E5423A">
          <w:rPr>
            <w:noProof/>
            <w:webHidden/>
          </w:rPr>
          <w:t>31</w:t>
        </w:r>
        <w:r w:rsidR="00B02093">
          <w:rPr>
            <w:noProof/>
            <w:webHidden/>
          </w:rPr>
          <w:fldChar w:fldCharType="end"/>
        </w:r>
      </w:hyperlink>
    </w:p>
    <w:p w14:paraId="5D4133BE" w14:textId="6F3D0F1C" w:rsidR="00B02093" w:rsidRDefault="00185868">
      <w:pPr>
        <w:pStyle w:val="TableofFigures"/>
        <w:rPr>
          <w:rFonts w:asciiTheme="minorHAnsi" w:eastAsiaTheme="minorEastAsia" w:hAnsiTheme="minorHAnsi" w:cstheme="minorBidi"/>
          <w:noProof/>
        </w:rPr>
      </w:pPr>
      <w:hyperlink w:anchor="_Toc531935333" w:history="1">
        <w:r w:rsidR="00B02093" w:rsidRPr="004B0B15">
          <w:rPr>
            <w:rStyle w:val="Hyperlink"/>
          </w:rPr>
          <w:t>Tablica 2</w:t>
        </w:r>
        <w:r w:rsidR="00B02093" w:rsidRPr="004B0B15">
          <w:rPr>
            <w:rStyle w:val="Hyperlink"/>
          </w:rPr>
          <w:noBreakHyphen/>
          <w:t>1. Indikativni nacionalni ciljevi za udjele OIE do 2030. godine</w:t>
        </w:r>
        <w:r w:rsidR="00B02093">
          <w:rPr>
            <w:noProof/>
            <w:webHidden/>
          </w:rPr>
          <w:tab/>
        </w:r>
        <w:r w:rsidR="00B02093">
          <w:rPr>
            <w:noProof/>
            <w:webHidden/>
          </w:rPr>
          <w:fldChar w:fldCharType="begin"/>
        </w:r>
        <w:r w:rsidR="00B02093">
          <w:rPr>
            <w:noProof/>
            <w:webHidden/>
          </w:rPr>
          <w:instrText xml:space="preserve"> PAGEREF _Toc531935333 \h </w:instrText>
        </w:r>
        <w:r w:rsidR="00B02093">
          <w:rPr>
            <w:noProof/>
            <w:webHidden/>
          </w:rPr>
        </w:r>
        <w:r w:rsidR="00B02093">
          <w:rPr>
            <w:noProof/>
            <w:webHidden/>
          </w:rPr>
          <w:fldChar w:fldCharType="separate"/>
        </w:r>
        <w:r w:rsidR="00E5423A">
          <w:rPr>
            <w:noProof/>
            <w:webHidden/>
          </w:rPr>
          <w:t>38</w:t>
        </w:r>
        <w:r w:rsidR="00B02093">
          <w:rPr>
            <w:noProof/>
            <w:webHidden/>
          </w:rPr>
          <w:fldChar w:fldCharType="end"/>
        </w:r>
      </w:hyperlink>
    </w:p>
    <w:p w14:paraId="296ADC69" w14:textId="1A3A40A8" w:rsidR="00B02093" w:rsidRDefault="00185868">
      <w:pPr>
        <w:pStyle w:val="TableofFigures"/>
        <w:rPr>
          <w:rFonts w:asciiTheme="minorHAnsi" w:eastAsiaTheme="minorEastAsia" w:hAnsiTheme="minorHAnsi" w:cstheme="minorBidi"/>
          <w:noProof/>
        </w:rPr>
      </w:pPr>
      <w:hyperlink w:anchor="_Toc531935334" w:history="1">
        <w:r w:rsidR="00B02093" w:rsidRPr="004B0B15">
          <w:rPr>
            <w:rStyle w:val="Hyperlink"/>
          </w:rPr>
          <w:t>Tablica 2</w:t>
        </w:r>
        <w:r w:rsidR="00B02093" w:rsidRPr="004B0B15">
          <w:rPr>
            <w:rStyle w:val="Hyperlink"/>
          </w:rPr>
          <w:noBreakHyphen/>
          <w:t>2. Ocijenjeni doprinos tehnologija za OIE – Scenarij 1</w:t>
        </w:r>
        <w:r w:rsidR="00B02093">
          <w:rPr>
            <w:noProof/>
            <w:webHidden/>
          </w:rPr>
          <w:tab/>
        </w:r>
        <w:r w:rsidR="00B02093">
          <w:rPr>
            <w:noProof/>
            <w:webHidden/>
          </w:rPr>
          <w:fldChar w:fldCharType="begin"/>
        </w:r>
        <w:r w:rsidR="00B02093">
          <w:rPr>
            <w:noProof/>
            <w:webHidden/>
          </w:rPr>
          <w:instrText xml:space="preserve"> PAGEREF _Toc531935334 \h </w:instrText>
        </w:r>
        <w:r w:rsidR="00B02093">
          <w:rPr>
            <w:noProof/>
            <w:webHidden/>
          </w:rPr>
        </w:r>
        <w:r w:rsidR="00B02093">
          <w:rPr>
            <w:noProof/>
            <w:webHidden/>
          </w:rPr>
          <w:fldChar w:fldCharType="separate"/>
        </w:r>
        <w:r w:rsidR="00E5423A">
          <w:rPr>
            <w:noProof/>
            <w:webHidden/>
          </w:rPr>
          <w:t>38</w:t>
        </w:r>
        <w:r w:rsidR="00B02093">
          <w:rPr>
            <w:noProof/>
            <w:webHidden/>
          </w:rPr>
          <w:fldChar w:fldCharType="end"/>
        </w:r>
      </w:hyperlink>
    </w:p>
    <w:p w14:paraId="03968090" w14:textId="710D8229" w:rsidR="00B02093" w:rsidRDefault="00185868">
      <w:pPr>
        <w:pStyle w:val="TableofFigures"/>
        <w:rPr>
          <w:rFonts w:asciiTheme="minorHAnsi" w:eastAsiaTheme="minorEastAsia" w:hAnsiTheme="minorHAnsi" w:cstheme="minorBidi"/>
          <w:noProof/>
        </w:rPr>
      </w:pPr>
      <w:hyperlink w:anchor="_Toc531935335" w:history="1">
        <w:r w:rsidR="00B02093" w:rsidRPr="004B0B15">
          <w:rPr>
            <w:rStyle w:val="Hyperlink"/>
          </w:rPr>
          <w:t>Tablica 2</w:t>
        </w:r>
        <w:r w:rsidR="00B02093" w:rsidRPr="004B0B15">
          <w:rPr>
            <w:rStyle w:val="Hyperlink"/>
          </w:rPr>
          <w:noBreakHyphen/>
          <w:t>3. Ocijenjeni doprinos tehnologija za OIE u električnoj energiji – Scenarij 1</w:t>
        </w:r>
        <w:r w:rsidR="00B02093">
          <w:rPr>
            <w:noProof/>
            <w:webHidden/>
          </w:rPr>
          <w:tab/>
        </w:r>
        <w:r w:rsidR="00B02093">
          <w:rPr>
            <w:noProof/>
            <w:webHidden/>
          </w:rPr>
          <w:fldChar w:fldCharType="begin"/>
        </w:r>
        <w:r w:rsidR="00B02093">
          <w:rPr>
            <w:noProof/>
            <w:webHidden/>
          </w:rPr>
          <w:instrText xml:space="preserve"> PAGEREF _Toc531935335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3FCED4AD" w14:textId="03826EF9" w:rsidR="00B02093" w:rsidRDefault="00185868">
      <w:pPr>
        <w:pStyle w:val="TableofFigures"/>
        <w:rPr>
          <w:rFonts w:asciiTheme="minorHAnsi" w:eastAsiaTheme="minorEastAsia" w:hAnsiTheme="minorHAnsi" w:cstheme="minorBidi"/>
          <w:noProof/>
        </w:rPr>
      </w:pPr>
      <w:hyperlink w:anchor="_Toc531935336" w:history="1">
        <w:r w:rsidR="00B02093" w:rsidRPr="004B0B15">
          <w:rPr>
            <w:rStyle w:val="Hyperlink"/>
          </w:rPr>
          <w:t>Tablica 2</w:t>
        </w:r>
        <w:r w:rsidR="00B02093" w:rsidRPr="004B0B15">
          <w:rPr>
            <w:rStyle w:val="Hyperlink"/>
          </w:rPr>
          <w:noBreakHyphen/>
          <w:t>4. Ocijenjeni doprinos tehnologija za OIE u grijanju i hlađenju – Scenarij 1</w:t>
        </w:r>
        <w:r w:rsidR="00B02093">
          <w:rPr>
            <w:noProof/>
            <w:webHidden/>
          </w:rPr>
          <w:tab/>
        </w:r>
        <w:r w:rsidR="00B02093">
          <w:rPr>
            <w:noProof/>
            <w:webHidden/>
          </w:rPr>
          <w:fldChar w:fldCharType="begin"/>
        </w:r>
        <w:r w:rsidR="00B02093">
          <w:rPr>
            <w:noProof/>
            <w:webHidden/>
          </w:rPr>
          <w:instrText xml:space="preserve"> PAGEREF _Toc531935336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7CC1CBCF" w14:textId="07803698" w:rsidR="00B02093" w:rsidRDefault="00185868">
      <w:pPr>
        <w:pStyle w:val="TableofFigures"/>
        <w:rPr>
          <w:rFonts w:asciiTheme="minorHAnsi" w:eastAsiaTheme="minorEastAsia" w:hAnsiTheme="minorHAnsi" w:cstheme="minorBidi"/>
          <w:noProof/>
        </w:rPr>
      </w:pPr>
      <w:hyperlink w:anchor="_Toc531935337" w:history="1">
        <w:r w:rsidR="00B02093" w:rsidRPr="004B0B15">
          <w:rPr>
            <w:rStyle w:val="Hyperlink"/>
          </w:rPr>
          <w:t>Tablica 2</w:t>
        </w:r>
        <w:r w:rsidR="00B02093" w:rsidRPr="004B0B15">
          <w:rPr>
            <w:rStyle w:val="Hyperlink"/>
          </w:rPr>
          <w:noBreakHyphen/>
          <w:t>5. Ocijenjeni doprinos tehnologija za OIE u prometu – Scenarij 1</w:t>
        </w:r>
        <w:r w:rsidR="00B02093">
          <w:rPr>
            <w:noProof/>
            <w:webHidden/>
          </w:rPr>
          <w:tab/>
        </w:r>
        <w:r w:rsidR="00B02093">
          <w:rPr>
            <w:noProof/>
            <w:webHidden/>
          </w:rPr>
          <w:fldChar w:fldCharType="begin"/>
        </w:r>
        <w:r w:rsidR="00B02093">
          <w:rPr>
            <w:noProof/>
            <w:webHidden/>
          </w:rPr>
          <w:instrText xml:space="preserve"> PAGEREF _Toc531935337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31B4B1AC" w14:textId="120B06B1" w:rsidR="00B02093" w:rsidRDefault="00185868">
      <w:pPr>
        <w:pStyle w:val="TableofFigures"/>
        <w:rPr>
          <w:rFonts w:asciiTheme="minorHAnsi" w:eastAsiaTheme="minorEastAsia" w:hAnsiTheme="minorHAnsi" w:cstheme="minorBidi"/>
          <w:noProof/>
        </w:rPr>
      </w:pPr>
      <w:hyperlink w:anchor="_Toc531935338" w:history="1">
        <w:r w:rsidR="00B02093" w:rsidRPr="004B0B15">
          <w:rPr>
            <w:rStyle w:val="Hyperlink"/>
          </w:rPr>
          <w:t>Tablica 2</w:t>
        </w:r>
        <w:r w:rsidR="00B02093" w:rsidRPr="004B0B15">
          <w:rPr>
            <w:rStyle w:val="Hyperlink"/>
          </w:rPr>
          <w:noBreakHyphen/>
          <w:t>6. Ocijenjeni doprinos tehnologija za OIE – Scenarij 2</w:t>
        </w:r>
        <w:r w:rsidR="00B02093">
          <w:rPr>
            <w:noProof/>
            <w:webHidden/>
          </w:rPr>
          <w:tab/>
        </w:r>
        <w:r w:rsidR="00B02093">
          <w:rPr>
            <w:noProof/>
            <w:webHidden/>
          </w:rPr>
          <w:fldChar w:fldCharType="begin"/>
        </w:r>
        <w:r w:rsidR="00B02093">
          <w:rPr>
            <w:noProof/>
            <w:webHidden/>
          </w:rPr>
          <w:instrText xml:space="preserve"> PAGEREF _Toc531935338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7C10D57E" w14:textId="12E7AF9D" w:rsidR="00B02093" w:rsidRDefault="00185868">
      <w:pPr>
        <w:pStyle w:val="TableofFigures"/>
        <w:rPr>
          <w:rFonts w:asciiTheme="minorHAnsi" w:eastAsiaTheme="minorEastAsia" w:hAnsiTheme="minorHAnsi" w:cstheme="minorBidi"/>
          <w:noProof/>
        </w:rPr>
      </w:pPr>
      <w:hyperlink w:anchor="_Toc531935339" w:history="1">
        <w:r w:rsidR="00B02093" w:rsidRPr="004B0B15">
          <w:rPr>
            <w:rStyle w:val="Hyperlink"/>
          </w:rPr>
          <w:t>Tablica 2</w:t>
        </w:r>
        <w:r w:rsidR="00B02093" w:rsidRPr="004B0B15">
          <w:rPr>
            <w:rStyle w:val="Hyperlink"/>
          </w:rPr>
          <w:noBreakHyphen/>
          <w:t>7. Ocijenjeni doprinos tehnologija za OIE u električnoj energiji – Scenarij 2</w:t>
        </w:r>
        <w:r w:rsidR="00B02093">
          <w:rPr>
            <w:noProof/>
            <w:webHidden/>
          </w:rPr>
          <w:tab/>
        </w:r>
        <w:r w:rsidR="00B02093">
          <w:rPr>
            <w:noProof/>
            <w:webHidden/>
          </w:rPr>
          <w:fldChar w:fldCharType="begin"/>
        </w:r>
        <w:r w:rsidR="00B02093">
          <w:rPr>
            <w:noProof/>
            <w:webHidden/>
          </w:rPr>
          <w:instrText xml:space="preserve"> PAGEREF _Toc531935339 \h </w:instrText>
        </w:r>
        <w:r w:rsidR="00B02093">
          <w:rPr>
            <w:noProof/>
            <w:webHidden/>
          </w:rPr>
        </w:r>
        <w:r w:rsidR="00B02093">
          <w:rPr>
            <w:noProof/>
            <w:webHidden/>
          </w:rPr>
          <w:fldChar w:fldCharType="separate"/>
        </w:r>
        <w:r w:rsidR="00E5423A">
          <w:rPr>
            <w:noProof/>
            <w:webHidden/>
          </w:rPr>
          <w:t>39</w:t>
        </w:r>
        <w:r w:rsidR="00B02093">
          <w:rPr>
            <w:noProof/>
            <w:webHidden/>
          </w:rPr>
          <w:fldChar w:fldCharType="end"/>
        </w:r>
      </w:hyperlink>
    </w:p>
    <w:p w14:paraId="2CDB43F4" w14:textId="50062979" w:rsidR="00B02093" w:rsidRDefault="00185868">
      <w:pPr>
        <w:pStyle w:val="TableofFigures"/>
        <w:rPr>
          <w:rFonts w:asciiTheme="minorHAnsi" w:eastAsiaTheme="minorEastAsia" w:hAnsiTheme="minorHAnsi" w:cstheme="minorBidi"/>
          <w:noProof/>
        </w:rPr>
      </w:pPr>
      <w:hyperlink w:anchor="_Toc531935340" w:history="1">
        <w:r w:rsidR="00B02093" w:rsidRPr="004B0B15">
          <w:rPr>
            <w:rStyle w:val="Hyperlink"/>
          </w:rPr>
          <w:t>Tablica 2</w:t>
        </w:r>
        <w:r w:rsidR="00B02093" w:rsidRPr="004B0B15">
          <w:rPr>
            <w:rStyle w:val="Hyperlink"/>
          </w:rPr>
          <w:noBreakHyphen/>
          <w:t>8. Ocijenjeni doprinos tehnologija za OIE u grijanju i hlađenju – Scenarij 2</w:t>
        </w:r>
        <w:r w:rsidR="00B02093">
          <w:rPr>
            <w:noProof/>
            <w:webHidden/>
          </w:rPr>
          <w:tab/>
        </w:r>
        <w:r w:rsidR="00B02093">
          <w:rPr>
            <w:noProof/>
            <w:webHidden/>
          </w:rPr>
          <w:fldChar w:fldCharType="begin"/>
        </w:r>
        <w:r w:rsidR="00B02093">
          <w:rPr>
            <w:noProof/>
            <w:webHidden/>
          </w:rPr>
          <w:instrText xml:space="preserve"> PAGEREF _Toc531935340 \h </w:instrText>
        </w:r>
        <w:r w:rsidR="00B02093">
          <w:rPr>
            <w:noProof/>
            <w:webHidden/>
          </w:rPr>
        </w:r>
        <w:r w:rsidR="00B02093">
          <w:rPr>
            <w:noProof/>
            <w:webHidden/>
          </w:rPr>
          <w:fldChar w:fldCharType="separate"/>
        </w:r>
        <w:r w:rsidR="00E5423A">
          <w:rPr>
            <w:noProof/>
            <w:webHidden/>
          </w:rPr>
          <w:t>40</w:t>
        </w:r>
        <w:r w:rsidR="00B02093">
          <w:rPr>
            <w:noProof/>
            <w:webHidden/>
          </w:rPr>
          <w:fldChar w:fldCharType="end"/>
        </w:r>
      </w:hyperlink>
    </w:p>
    <w:p w14:paraId="72CAA0CF" w14:textId="0750DDB5" w:rsidR="00B02093" w:rsidRDefault="00185868">
      <w:pPr>
        <w:pStyle w:val="TableofFigures"/>
        <w:rPr>
          <w:rFonts w:asciiTheme="minorHAnsi" w:eastAsiaTheme="minorEastAsia" w:hAnsiTheme="minorHAnsi" w:cstheme="minorBidi"/>
          <w:noProof/>
        </w:rPr>
      </w:pPr>
      <w:hyperlink w:anchor="_Toc531935341" w:history="1">
        <w:r w:rsidR="00B02093" w:rsidRPr="004B0B15">
          <w:rPr>
            <w:rStyle w:val="Hyperlink"/>
          </w:rPr>
          <w:t>Tablica 2</w:t>
        </w:r>
        <w:r w:rsidR="00B02093" w:rsidRPr="004B0B15">
          <w:rPr>
            <w:rStyle w:val="Hyperlink"/>
          </w:rPr>
          <w:noBreakHyphen/>
          <w:t>9. Ocijenjeni doprinos tehnologija za OIE u prometu – Scenarij 2</w:t>
        </w:r>
        <w:r w:rsidR="00B02093">
          <w:rPr>
            <w:noProof/>
            <w:webHidden/>
          </w:rPr>
          <w:tab/>
        </w:r>
        <w:r w:rsidR="00B02093">
          <w:rPr>
            <w:noProof/>
            <w:webHidden/>
          </w:rPr>
          <w:fldChar w:fldCharType="begin"/>
        </w:r>
        <w:r w:rsidR="00B02093">
          <w:rPr>
            <w:noProof/>
            <w:webHidden/>
          </w:rPr>
          <w:instrText xml:space="preserve"> PAGEREF _Toc531935341 \h </w:instrText>
        </w:r>
        <w:r w:rsidR="00B02093">
          <w:rPr>
            <w:noProof/>
            <w:webHidden/>
          </w:rPr>
        </w:r>
        <w:r w:rsidR="00B02093">
          <w:rPr>
            <w:noProof/>
            <w:webHidden/>
          </w:rPr>
          <w:fldChar w:fldCharType="separate"/>
        </w:r>
        <w:r w:rsidR="00E5423A">
          <w:rPr>
            <w:noProof/>
            <w:webHidden/>
          </w:rPr>
          <w:t>40</w:t>
        </w:r>
        <w:r w:rsidR="00B02093">
          <w:rPr>
            <w:noProof/>
            <w:webHidden/>
          </w:rPr>
          <w:fldChar w:fldCharType="end"/>
        </w:r>
      </w:hyperlink>
    </w:p>
    <w:p w14:paraId="628815BD" w14:textId="362CB91E" w:rsidR="00B02093" w:rsidRDefault="00185868">
      <w:pPr>
        <w:pStyle w:val="TableofFigures"/>
        <w:rPr>
          <w:rFonts w:asciiTheme="minorHAnsi" w:eastAsiaTheme="minorEastAsia" w:hAnsiTheme="minorHAnsi" w:cstheme="minorBidi"/>
          <w:noProof/>
        </w:rPr>
      </w:pPr>
      <w:hyperlink w:anchor="_Toc531935342" w:history="1">
        <w:r w:rsidR="00B02093" w:rsidRPr="004B0B15">
          <w:rPr>
            <w:rStyle w:val="Hyperlink"/>
          </w:rPr>
          <w:t>Tablica 2</w:t>
        </w:r>
        <w:r w:rsidR="00B02093" w:rsidRPr="004B0B15">
          <w:rPr>
            <w:rStyle w:val="Hyperlink"/>
          </w:rPr>
          <w:noBreakHyphen/>
          <w:t>10. Očekivana snaga elektrana u Scenariju 1</w:t>
        </w:r>
        <w:r w:rsidR="00B02093">
          <w:rPr>
            <w:noProof/>
            <w:webHidden/>
          </w:rPr>
          <w:tab/>
        </w:r>
        <w:r w:rsidR="00B02093">
          <w:rPr>
            <w:noProof/>
            <w:webHidden/>
          </w:rPr>
          <w:fldChar w:fldCharType="begin"/>
        </w:r>
        <w:r w:rsidR="00B02093">
          <w:rPr>
            <w:noProof/>
            <w:webHidden/>
          </w:rPr>
          <w:instrText xml:space="preserve"> PAGEREF _Toc531935342 \h </w:instrText>
        </w:r>
        <w:r w:rsidR="00B02093">
          <w:rPr>
            <w:noProof/>
            <w:webHidden/>
          </w:rPr>
        </w:r>
        <w:r w:rsidR="00B02093">
          <w:rPr>
            <w:noProof/>
            <w:webHidden/>
          </w:rPr>
          <w:fldChar w:fldCharType="separate"/>
        </w:r>
        <w:r w:rsidR="00E5423A">
          <w:rPr>
            <w:noProof/>
            <w:webHidden/>
          </w:rPr>
          <w:t>40</w:t>
        </w:r>
        <w:r w:rsidR="00B02093">
          <w:rPr>
            <w:noProof/>
            <w:webHidden/>
          </w:rPr>
          <w:fldChar w:fldCharType="end"/>
        </w:r>
      </w:hyperlink>
    </w:p>
    <w:p w14:paraId="19B6ED45" w14:textId="144D2A78" w:rsidR="00B02093" w:rsidRDefault="00185868">
      <w:pPr>
        <w:pStyle w:val="TableofFigures"/>
        <w:rPr>
          <w:rFonts w:asciiTheme="minorHAnsi" w:eastAsiaTheme="minorEastAsia" w:hAnsiTheme="minorHAnsi" w:cstheme="minorBidi"/>
          <w:noProof/>
        </w:rPr>
      </w:pPr>
      <w:hyperlink w:anchor="_Toc531935343" w:history="1">
        <w:r w:rsidR="00B02093" w:rsidRPr="004B0B15">
          <w:rPr>
            <w:rStyle w:val="Hyperlink"/>
          </w:rPr>
          <w:t>Tablica 2</w:t>
        </w:r>
        <w:r w:rsidR="00B02093" w:rsidRPr="004B0B15">
          <w:rPr>
            <w:rStyle w:val="Hyperlink"/>
          </w:rPr>
          <w:noBreakHyphen/>
          <w:t>11. Očekivana snaga elektrana u Scenariju 2</w:t>
        </w:r>
        <w:r w:rsidR="00B02093">
          <w:rPr>
            <w:noProof/>
            <w:webHidden/>
          </w:rPr>
          <w:tab/>
        </w:r>
        <w:r w:rsidR="00B02093">
          <w:rPr>
            <w:noProof/>
            <w:webHidden/>
          </w:rPr>
          <w:fldChar w:fldCharType="begin"/>
        </w:r>
        <w:r w:rsidR="00B02093">
          <w:rPr>
            <w:noProof/>
            <w:webHidden/>
          </w:rPr>
          <w:instrText xml:space="preserve"> PAGEREF _Toc531935343 \h </w:instrText>
        </w:r>
        <w:r w:rsidR="00B02093">
          <w:rPr>
            <w:noProof/>
            <w:webHidden/>
          </w:rPr>
        </w:r>
        <w:r w:rsidR="00B02093">
          <w:rPr>
            <w:noProof/>
            <w:webHidden/>
          </w:rPr>
          <w:fldChar w:fldCharType="separate"/>
        </w:r>
        <w:r w:rsidR="00E5423A">
          <w:rPr>
            <w:noProof/>
            <w:webHidden/>
          </w:rPr>
          <w:t>41</w:t>
        </w:r>
        <w:r w:rsidR="00B02093">
          <w:rPr>
            <w:noProof/>
            <w:webHidden/>
          </w:rPr>
          <w:fldChar w:fldCharType="end"/>
        </w:r>
      </w:hyperlink>
    </w:p>
    <w:p w14:paraId="19B94257" w14:textId="448A3166" w:rsidR="00B02093" w:rsidRDefault="00185868">
      <w:pPr>
        <w:pStyle w:val="TableofFigures"/>
        <w:rPr>
          <w:rFonts w:asciiTheme="minorHAnsi" w:eastAsiaTheme="minorEastAsia" w:hAnsiTheme="minorHAnsi" w:cstheme="minorBidi"/>
          <w:noProof/>
        </w:rPr>
      </w:pPr>
      <w:hyperlink w:anchor="_Toc531935344" w:history="1">
        <w:r w:rsidR="00B02093" w:rsidRPr="004B0B15">
          <w:rPr>
            <w:rStyle w:val="Hyperlink"/>
          </w:rPr>
          <w:t>Tablica 2</w:t>
        </w:r>
        <w:r w:rsidR="00B02093" w:rsidRPr="004B0B15">
          <w:rPr>
            <w:rStyle w:val="Hyperlink"/>
          </w:rPr>
          <w:noBreakHyphen/>
          <w:t>12: Okvirni nacionalni ciljevi energetske učinkovitosti u 2030. godini</w:t>
        </w:r>
        <w:r w:rsidR="00B02093">
          <w:rPr>
            <w:noProof/>
            <w:webHidden/>
          </w:rPr>
          <w:tab/>
        </w:r>
        <w:r w:rsidR="00B02093">
          <w:rPr>
            <w:noProof/>
            <w:webHidden/>
          </w:rPr>
          <w:fldChar w:fldCharType="begin"/>
        </w:r>
        <w:r w:rsidR="00B02093">
          <w:rPr>
            <w:noProof/>
            <w:webHidden/>
          </w:rPr>
          <w:instrText xml:space="preserve"> PAGEREF _Toc531935344 \h </w:instrText>
        </w:r>
        <w:r w:rsidR="00B02093">
          <w:rPr>
            <w:noProof/>
            <w:webHidden/>
          </w:rPr>
        </w:r>
        <w:r w:rsidR="00B02093">
          <w:rPr>
            <w:noProof/>
            <w:webHidden/>
          </w:rPr>
          <w:fldChar w:fldCharType="separate"/>
        </w:r>
        <w:r w:rsidR="00E5423A">
          <w:rPr>
            <w:noProof/>
            <w:webHidden/>
          </w:rPr>
          <w:t>43</w:t>
        </w:r>
        <w:r w:rsidR="00B02093">
          <w:rPr>
            <w:noProof/>
            <w:webHidden/>
          </w:rPr>
          <w:fldChar w:fldCharType="end"/>
        </w:r>
      </w:hyperlink>
    </w:p>
    <w:p w14:paraId="7332C803" w14:textId="049D12D6" w:rsidR="00B02093" w:rsidRDefault="00185868">
      <w:pPr>
        <w:pStyle w:val="TableofFigures"/>
        <w:rPr>
          <w:rFonts w:asciiTheme="minorHAnsi" w:eastAsiaTheme="minorEastAsia" w:hAnsiTheme="minorHAnsi" w:cstheme="minorBidi"/>
          <w:noProof/>
        </w:rPr>
      </w:pPr>
      <w:hyperlink w:anchor="_Toc531935345" w:history="1">
        <w:r w:rsidR="00B02093" w:rsidRPr="004B0B15">
          <w:rPr>
            <w:rStyle w:val="Hyperlink"/>
          </w:rPr>
          <w:t>Tablica 2</w:t>
        </w:r>
        <w:r w:rsidR="00B02093" w:rsidRPr="004B0B15">
          <w:rPr>
            <w:rStyle w:val="Hyperlink"/>
          </w:rPr>
          <w:noBreakHyphen/>
          <w:t>13</w:t>
        </w:r>
        <w:r w:rsidR="00B02093">
          <w:rPr>
            <w:rFonts w:asciiTheme="minorHAnsi" w:eastAsiaTheme="minorEastAsia" w:hAnsiTheme="minorHAnsi" w:cstheme="minorBidi"/>
            <w:noProof/>
          </w:rPr>
          <w:tab/>
        </w:r>
        <w:r w:rsidR="00B02093" w:rsidRPr="004B0B15">
          <w:rPr>
            <w:rStyle w:val="Hyperlink"/>
          </w:rPr>
          <w:t>Pregled korištenih konverzijskih faktora</w:t>
        </w:r>
        <w:r w:rsidR="00B02093">
          <w:rPr>
            <w:noProof/>
            <w:webHidden/>
          </w:rPr>
          <w:tab/>
        </w:r>
        <w:r w:rsidR="00B02093">
          <w:rPr>
            <w:noProof/>
            <w:webHidden/>
          </w:rPr>
          <w:fldChar w:fldCharType="begin"/>
        </w:r>
        <w:r w:rsidR="00B02093">
          <w:rPr>
            <w:noProof/>
            <w:webHidden/>
          </w:rPr>
          <w:instrText xml:space="preserve"> PAGEREF _Toc531935345 \h </w:instrText>
        </w:r>
        <w:r w:rsidR="00B02093">
          <w:rPr>
            <w:noProof/>
            <w:webHidden/>
          </w:rPr>
        </w:r>
        <w:r w:rsidR="00B02093">
          <w:rPr>
            <w:noProof/>
            <w:webHidden/>
          </w:rPr>
          <w:fldChar w:fldCharType="separate"/>
        </w:r>
        <w:r w:rsidR="00E5423A">
          <w:rPr>
            <w:noProof/>
            <w:webHidden/>
          </w:rPr>
          <w:t>45</w:t>
        </w:r>
        <w:r w:rsidR="00B02093">
          <w:rPr>
            <w:noProof/>
            <w:webHidden/>
          </w:rPr>
          <w:fldChar w:fldCharType="end"/>
        </w:r>
      </w:hyperlink>
    </w:p>
    <w:p w14:paraId="7E301512" w14:textId="237EA5A8" w:rsidR="00B02093" w:rsidRDefault="00185868">
      <w:pPr>
        <w:pStyle w:val="TableofFigures"/>
        <w:rPr>
          <w:rFonts w:asciiTheme="minorHAnsi" w:eastAsiaTheme="minorEastAsia" w:hAnsiTheme="minorHAnsi" w:cstheme="minorBidi"/>
          <w:noProof/>
        </w:rPr>
      </w:pPr>
      <w:hyperlink w:anchor="_Toc531935346" w:history="1">
        <w:r w:rsidR="00B02093" w:rsidRPr="004B0B15">
          <w:rPr>
            <w:rStyle w:val="Hyperlink"/>
          </w:rPr>
          <w:t>Tablica 2</w:t>
        </w:r>
        <w:r w:rsidR="00B02093" w:rsidRPr="004B0B15">
          <w:rPr>
            <w:rStyle w:val="Hyperlink"/>
          </w:rPr>
          <w:noBreakHyphen/>
          <w:t>14: Okvirni nacionalni ciljevi energetske učinkovitosti u 2030. godini</w:t>
        </w:r>
        <w:r w:rsidR="00B02093">
          <w:rPr>
            <w:noProof/>
            <w:webHidden/>
          </w:rPr>
          <w:tab/>
        </w:r>
        <w:r w:rsidR="00B02093">
          <w:rPr>
            <w:noProof/>
            <w:webHidden/>
          </w:rPr>
          <w:fldChar w:fldCharType="begin"/>
        </w:r>
        <w:r w:rsidR="00B02093">
          <w:rPr>
            <w:noProof/>
            <w:webHidden/>
          </w:rPr>
          <w:instrText xml:space="preserve"> PAGEREF _Toc531935346 \h </w:instrText>
        </w:r>
        <w:r w:rsidR="00B02093">
          <w:rPr>
            <w:noProof/>
            <w:webHidden/>
          </w:rPr>
        </w:r>
        <w:r w:rsidR="00B02093">
          <w:rPr>
            <w:noProof/>
            <w:webHidden/>
          </w:rPr>
          <w:fldChar w:fldCharType="separate"/>
        </w:r>
        <w:r w:rsidR="00E5423A">
          <w:rPr>
            <w:noProof/>
            <w:webHidden/>
          </w:rPr>
          <w:t>46</w:t>
        </w:r>
        <w:r w:rsidR="00B02093">
          <w:rPr>
            <w:noProof/>
            <w:webHidden/>
          </w:rPr>
          <w:fldChar w:fldCharType="end"/>
        </w:r>
      </w:hyperlink>
    </w:p>
    <w:p w14:paraId="15A548A8" w14:textId="1182ACF8" w:rsidR="00B02093" w:rsidRDefault="00185868">
      <w:pPr>
        <w:pStyle w:val="TableofFigures"/>
        <w:rPr>
          <w:rFonts w:asciiTheme="minorHAnsi" w:eastAsiaTheme="minorEastAsia" w:hAnsiTheme="minorHAnsi" w:cstheme="minorBidi"/>
          <w:noProof/>
        </w:rPr>
      </w:pPr>
      <w:hyperlink w:anchor="_Toc531935347" w:history="1">
        <w:r w:rsidR="00B02093" w:rsidRPr="004B0B15">
          <w:rPr>
            <w:rStyle w:val="Hyperlink"/>
          </w:rPr>
          <w:t>Tablica 2</w:t>
        </w:r>
        <w:r w:rsidR="00B02093" w:rsidRPr="004B0B15">
          <w:rPr>
            <w:rStyle w:val="Hyperlink"/>
          </w:rPr>
          <w:noBreakHyphen/>
          <w:t>15</w:t>
        </w:r>
        <w:r w:rsidR="00B02093">
          <w:rPr>
            <w:rFonts w:asciiTheme="minorHAnsi" w:eastAsiaTheme="minorEastAsia" w:hAnsiTheme="minorHAnsi" w:cstheme="minorBidi"/>
            <w:noProof/>
          </w:rPr>
          <w:tab/>
        </w:r>
        <w:r w:rsidR="00B02093" w:rsidRPr="004B0B15">
          <w:rPr>
            <w:rStyle w:val="Hyperlink"/>
          </w:rPr>
          <w:t>Projekti od zajedničkog interesa na teritoriju RH</w:t>
        </w:r>
        <w:r w:rsidR="00B02093">
          <w:rPr>
            <w:noProof/>
            <w:webHidden/>
          </w:rPr>
          <w:tab/>
        </w:r>
        <w:r w:rsidR="00B02093">
          <w:rPr>
            <w:noProof/>
            <w:webHidden/>
          </w:rPr>
          <w:fldChar w:fldCharType="begin"/>
        </w:r>
        <w:r w:rsidR="00B02093">
          <w:rPr>
            <w:noProof/>
            <w:webHidden/>
          </w:rPr>
          <w:instrText xml:space="preserve"> PAGEREF _Toc531935347 \h </w:instrText>
        </w:r>
        <w:r w:rsidR="00B02093">
          <w:rPr>
            <w:noProof/>
            <w:webHidden/>
          </w:rPr>
        </w:r>
        <w:r w:rsidR="00B02093">
          <w:rPr>
            <w:noProof/>
            <w:webHidden/>
          </w:rPr>
          <w:fldChar w:fldCharType="separate"/>
        </w:r>
        <w:r w:rsidR="00E5423A">
          <w:rPr>
            <w:noProof/>
            <w:webHidden/>
          </w:rPr>
          <w:t>57</w:t>
        </w:r>
        <w:r w:rsidR="00B02093">
          <w:rPr>
            <w:noProof/>
            <w:webHidden/>
          </w:rPr>
          <w:fldChar w:fldCharType="end"/>
        </w:r>
      </w:hyperlink>
    </w:p>
    <w:p w14:paraId="00E104EA" w14:textId="710D376A" w:rsidR="00B02093" w:rsidRDefault="00185868">
      <w:pPr>
        <w:pStyle w:val="TableofFigures"/>
        <w:rPr>
          <w:rFonts w:asciiTheme="minorHAnsi" w:eastAsiaTheme="minorEastAsia" w:hAnsiTheme="minorHAnsi" w:cstheme="minorBidi"/>
          <w:noProof/>
        </w:rPr>
      </w:pPr>
      <w:hyperlink w:anchor="_Toc531935348" w:history="1">
        <w:r w:rsidR="00B02093" w:rsidRPr="004B0B15">
          <w:rPr>
            <w:rStyle w:val="Hyperlink"/>
          </w:rPr>
          <w:t>Tablica 3</w:t>
        </w:r>
        <w:r w:rsidR="00B02093" w:rsidRPr="004B0B15">
          <w:rPr>
            <w:rStyle w:val="Hyperlink"/>
          </w:rPr>
          <w:noBreakHyphen/>
          <w:t>1: Procijenjena raspoloživa financijska sredstva iz prodaje emisijskih jedinica stakleničkih plinova za ulaganja u energetsku učinkovitost do 2020. godine s prijedlogom mjera do 2030.</w:t>
        </w:r>
        <w:r w:rsidR="00B02093">
          <w:rPr>
            <w:noProof/>
            <w:webHidden/>
          </w:rPr>
          <w:tab/>
        </w:r>
        <w:r w:rsidR="00B02093">
          <w:rPr>
            <w:noProof/>
            <w:webHidden/>
          </w:rPr>
          <w:fldChar w:fldCharType="begin"/>
        </w:r>
        <w:r w:rsidR="00B02093">
          <w:rPr>
            <w:noProof/>
            <w:webHidden/>
          </w:rPr>
          <w:instrText xml:space="preserve"> PAGEREF _Toc531935348 \h </w:instrText>
        </w:r>
        <w:r w:rsidR="00B02093">
          <w:rPr>
            <w:noProof/>
            <w:webHidden/>
          </w:rPr>
        </w:r>
        <w:r w:rsidR="00B02093">
          <w:rPr>
            <w:noProof/>
            <w:webHidden/>
          </w:rPr>
          <w:fldChar w:fldCharType="separate"/>
        </w:r>
        <w:r w:rsidR="00E5423A">
          <w:rPr>
            <w:noProof/>
            <w:webHidden/>
          </w:rPr>
          <w:t>87</w:t>
        </w:r>
        <w:r w:rsidR="00B02093">
          <w:rPr>
            <w:noProof/>
            <w:webHidden/>
          </w:rPr>
          <w:fldChar w:fldCharType="end"/>
        </w:r>
      </w:hyperlink>
    </w:p>
    <w:p w14:paraId="53863B1B" w14:textId="49088513" w:rsidR="00B02093" w:rsidRDefault="00185868">
      <w:pPr>
        <w:pStyle w:val="TableofFigures"/>
        <w:rPr>
          <w:rFonts w:asciiTheme="minorHAnsi" w:eastAsiaTheme="minorEastAsia" w:hAnsiTheme="minorHAnsi" w:cstheme="minorBidi"/>
          <w:noProof/>
        </w:rPr>
      </w:pPr>
      <w:hyperlink w:anchor="_Toc531935349" w:history="1">
        <w:r w:rsidR="00B02093" w:rsidRPr="004B0B15">
          <w:rPr>
            <w:rStyle w:val="Hyperlink"/>
          </w:rPr>
          <w:t>Tablica 3</w:t>
        </w:r>
        <w:r w:rsidR="00B02093" w:rsidRPr="004B0B15">
          <w:rPr>
            <w:rStyle w:val="Hyperlink"/>
          </w:rPr>
          <w:noBreakHyphen/>
          <w:t>23: Raspoloživa financijska sredstva iz ESI fondova i financijske mjere za energetsku učinkovitosti do 2020.(2023.) godine s prijedlogom mjera do 2030.</w:t>
        </w:r>
        <w:r w:rsidR="00B02093">
          <w:rPr>
            <w:noProof/>
            <w:webHidden/>
          </w:rPr>
          <w:tab/>
        </w:r>
        <w:r w:rsidR="00B02093">
          <w:rPr>
            <w:noProof/>
            <w:webHidden/>
          </w:rPr>
          <w:fldChar w:fldCharType="begin"/>
        </w:r>
        <w:r w:rsidR="00B02093">
          <w:rPr>
            <w:noProof/>
            <w:webHidden/>
          </w:rPr>
          <w:instrText xml:space="preserve"> PAGEREF _Toc531935349 \h </w:instrText>
        </w:r>
        <w:r w:rsidR="00B02093">
          <w:rPr>
            <w:noProof/>
            <w:webHidden/>
          </w:rPr>
        </w:r>
        <w:r w:rsidR="00B02093">
          <w:rPr>
            <w:noProof/>
            <w:webHidden/>
          </w:rPr>
          <w:fldChar w:fldCharType="separate"/>
        </w:r>
        <w:r w:rsidR="00E5423A">
          <w:rPr>
            <w:noProof/>
            <w:webHidden/>
          </w:rPr>
          <w:t>87</w:t>
        </w:r>
        <w:r w:rsidR="00B02093">
          <w:rPr>
            <w:noProof/>
            <w:webHidden/>
          </w:rPr>
          <w:fldChar w:fldCharType="end"/>
        </w:r>
      </w:hyperlink>
    </w:p>
    <w:p w14:paraId="5F965A31" w14:textId="22977146" w:rsidR="00B02093" w:rsidRDefault="00185868">
      <w:pPr>
        <w:pStyle w:val="TableofFigures"/>
        <w:rPr>
          <w:rFonts w:asciiTheme="minorHAnsi" w:eastAsiaTheme="minorEastAsia" w:hAnsiTheme="minorHAnsi" w:cstheme="minorBidi"/>
          <w:noProof/>
        </w:rPr>
      </w:pPr>
      <w:hyperlink w:anchor="_Toc531935350" w:history="1">
        <w:r w:rsidR="00B02093" w:rsidRPr="004B0B15">
          <w:rPr>
            <w:rStyle w:val="Hyperlink"/>
          </w:rPr>
          <w:t>Tablica 4</w:t>
        </w:r>
        <w:r w:rsidR="00B02093" w:rsidRPr="004B0B15">
          <w:rPr>
            <w:rStyle w:val="Hyperlink"/>
          </w:rPr>
          <w:noBreakHyphen/>
          <w:t>1 Projekcije ekonomskih parametara temeljem srednjih demografskih projekcija</w:t>
        </w:r>
        <w:r w:rsidR="00B02093">
          <w:rPr>
            <w:noProof/>
            <w:webHidden/>
          </w:rPr>
          <w:tab/>
        </w:r>
        <w:r w:rsidR="00B02093">
          <w:rPr>
            <w:noProof/>
            <w:webHidden/>
          </w:rPr>
          <w:fldChar w:fldCharType="begin"/>
        </w:r>
        <w:r w:rsidR="00B02093">
          <w:rPr>
            <w:noProof/>
            <w:webHidden/>
          </w:rPr>
          <w:instrText xml:space="preserve"> PAGEREF _Toc531935350 \h </w:instrText>
        </w:r>
        <w:r w:rsidR="00B02093">
          <w:rPr>
            <w:noProof/>
            <w:webHidden/>
          </w:rPr>
        </w:r>
        <w:r w:rsidR="00B02093">
          <w:rPr>
            <w:noProof/>
            <w:webHidden/>
          </w:rPr>
          <w:fldChar w:fldCharType="separate"/>
        </w:r>
        <w:r w:rsidR="00E5423A">
          <w:rPr>
            <w:noProof/>
            <w:webHidden/>
          </w:rPr>
          <w:t>97</w:t>
        </w:r>
        <w:r w:rsidR="00B02093">
          <w:rPr>
            <w:noProof/>
            <w:webHidden/>
          </w:rPr>
          <w:fldChar w:fldCharType="end"/>
        </w:r>
      </w:hyperlink>
    </w:p>
    <w:p w14:paraId="260EF7DF" w14:textId="2C0D8810" w:rsidR="00B02093" w:rsidRDefault="00185868">
      <w:pPr>
        <w:pStyle w:val="TableofFigures"/>
        <w:rPr>
          <w:rFonts w:asciiTheme="minorHAnsi" w:eastAsiaTheme="minorEastAsia" w:hAnsiTheme="minorHAnsi" w:cstheme="minorBidi"/>
          <w:noProof/>
        </w:rPr>
      </w:pPr>
      <w:hyperlink w:anchor="_Toc531935351" w:history="1">
        <w:r w:rsidR="00B02093" w:rsidRPr="004B0B15">
          <w:rPr>
            <w:rStyle w:val="Hyperlink"/>
          </w:rPr>
          <w:t>Tablica 4</w:t>
        </w:r>
        <w:r w:rsidR="00B02093" w:rsidRPr="004B0B15">
          <w:rPr>
            <w:rStyle w:val="Hyperlink"/>
          </w:rPr>
          <w:noBreakHyphen/>
          <w:t>2. Cijene fosilnih goriva do 2040. godine</w:t>
        </w:r>
        <w:r w:rsidR="00B02093">
          <w:rPr>
            <w:noProof/>
            <w:webHidden/>
          </w:rPr>
          <w:tab/>
        </w:r>
        <w:r w:rsidR="00B02093">
          <w:rPr>
            <w:noProof/>
            <w:webHidden/>
          </w:rPr>
          <w:fldChar w:fldCharType="begin"/>
        </w:r>
        <w:r w:rsidR="00B02093">
          <w:rPr>
            <w:noProof/>
            <w:webHidden/>
          </w:rPr>
          <w:instrText xml:space="preserve"> PAGEREF _Toc531935351 \h </w:instrText>
        </w:r>
        <w:r w:rsidR="00B02093">
          <w:rPr>
            <w:noProof/>
            <w:webHidden/>
          </w:rPr>
        </w:r>
        <w:r w:rsidR="00B02093">
          <w:rPr>
            <w:noProof/>
            <w:webHidden/>
          </w:rPr>
          <w:fldChar w:fldCharType="separate"/>
        </w:r>
        <w:r w:rsidR="00E5423A">
          <w:rPr>
            <w:noProof/>
            <w:webHidden/>
          </w:rPr>
          <w:t>100</w:t>
        </w:r>
        <w:r w:rsidR="00B02093">
          <w:rPr>
            <w:noProof/>
            <w:webHidden/>
          </w:rPr>
          <w:fldChar w:fldCharType="end"/>
        </w:r>
      </w:hyperlink>
    </w:p>
    <w:p w14:paraId="2747F955" w14:textId="3EEC2505" w:rsidR="00B02093" w:rsidRDefault="00185868">
      <w:pPr>
        <w:pStyle w:val="TableofFigures"/>
        <w:rPr>
          <w:rFonts w:asciiTheme="minorHAnsi" w:eastAsiaTheme="minorEastAsia" w:hAnsiTheme="minorHAnsi" w:cstheme="minorBidi"/>
          <w:noProof/>
        </w:rPr>
      </w:pPr>
      <w:hyperlink w:anchor="_Toc531935352" w:history="1">
        <w:r w:rsidR="00B02093" w:rsidRPr="004B0B15">
          <w:rPr>
            <w:rStyle w:val="Hyperlink"/>
          </w:rPr>
          <w:t>Tablica 4</w:t>
        </w:r>
        <w:r w:rsidR="00B02093" w:rsidRPr="004B0B15">
          <w:rPr>
            <w:rStyle w:val="Hyperlink"/>
          </w:rPr>
          <w:noBreakHyphen/>
          <w:t>3. Cijene emisijskih jedinica</w:t>
        </w:r>
        <w:r w:rsidR="00B02093">
          <w:rPr>
            <w:noProof/>
            <w:webHidden/>
          </w:rPr>
          <w:tab/>
        </w:r>
        <w:r w:rsidR="00B02093">
          <w:rPr>
            <w:noProof/>
            <w:webHidden/>
          </w:rPr>
          <w:fldChar w:fldCharType="begin"/>
        </w:r>
        <w:r w:rsidR="00B02093">
          <w:rPr>
            <w:noProof/>
            <w:webHidden/>
          </w:rPr>
          <w:instrText xml:space="preserve"> PAGEREF _Toc531935352 \h </w:instrText>
        </w:r>
        <w:r w:rsidR="00B02093">
          <w:rPr>
            <w:noProof/>
            <w:webHidden/>
          </w:rPr>
        </w:r>
        <w:r w:rsidR="00B02093">
          <w:rPr>
            <w:noProof/>
            <w:webHidden/>
          </w:rPr>
          <w:fldChar w:fldCharType="separate"/>
        </w:r>
        <w:r w:rsidR="00E5423A">
          <w:rPr>
            <w:noProof/>
            <w:webHidden/>
          </w:rPr>
          <w:t>100</w:t>
        </w:r>
        <w:r w:rsidR="00B02093">
          <w:rPr>
            <w:noProof/>
            <w:webHidden/>
          </w:rPr>
          <w:fldChar w:fldCharType="end"/>
        </w:r>
      </w:hyperlink>
    </w:p>
    <w:p w14:paraId="0F350B1F" w14:textId="4FBCE73A" w:rsidR="00B02093" w:rsidRDefault="00185868">
      <w:pPr>
        <w:pStyle w:val="TableofFigures"/>
        <w:rPr>
          <w:rFonts w:asciiTheme="minorHAnsi" w:eastAsiaTheme="minorEastAsia" w:hAnsiTheme="minorHAnsi" w:cstheme="minorBidi"/>
          <w:noProof/>
        </w:rPr>
      </w:pPr>
      <w:hyperlink w:anchor="_Toc531935353" w:history="1">
        <w:r w:rsidR="00B02093" w:rsidRPr="004B0B15">
          <w:rPr>
            <w:rStyle w:val="Hyperlink"/>
          </w:rPr>
          <w:t>Tablica 4</w:t>
        </w:r>
        <w:r w:rsidR="00B02093" w:rsidRPr="004B0B15">
          <w:rPr>
            <w:rStyle w:val="Hyperlink"/>
          </w:rPr>
          <w:noBreakHyphen/>
          <w:t>4: Trend emisija stakleničkih plinova iz ETS sektora i sektora izvan ETS-a u Republici Hrvatskoj</w:t>
        </w:r>
        <w:r w:rsidR="00B02093">
          <w:rPr>
            <w:noProof/>
            <w:webHidden/>
          </w:rPr>
          <w:tab/>
        </w:r>
        <w:r w:rsidR="00B02093">
          <w:rPr>
            <w:noProof/>
            <w:webHidden/>
          </w:rPr>
          <w:fldChar w:fldCharType="begin"/>
        </w:r>
        <w:r w:rsidR="00B02093">
          <w:rPr>
            <w:noProof/>
            <w:webHidden/>
          </w:rPr>
          <w:instrText xml:space="preserve"> PAGEREF _Toc531935353 \h </w:instrText>
        </w:r>
        <w:r w:rsidR="00B02093">
          <w:rPr>
            <w:noProof/>
            <w:webHidden/>
          </w:rPr>
        </w:r>
        <w:r w:rsidR="00B02093">
          <w:rPr>
            <w:noProof/>
            <w:webHidden/>
          </w:rPr>
          <w:fldChar w:fldCharType="separate"/>
        </w:r>
        <w:r w:rsidR="00E5423A">
          <w:rPr>
            <w:noProof/>
            <w:webHidden/>
          </w:rPr>
          <w:t>102</w:t>
        </w:r>
        <w:r w:rsidR="00B02093">
          <w:rPr>
            <w:noProof/>
            <w:webHidden/>
          </w:rPr>
          <w:fldChar w:fldCharType="end"/>
        </w:r>
      </w:hyperlink>
    </w:p>
    <w:p w14:paraId="00F8648E" w14:textId="0E5B68D4" w:rsidR="00B02093" w:rsidRDefault="00185868">
      <w:pPr>
        <w:pStyle w:val="TableofFigures"/>
        <w:rPr>
          <w:rFonts w:asciiTheme="minorHAnsi" w:eastAsiaTheme="minorEastAsia" w:hAnsiTheme="minorHAnsi" w:cstheme="minorBidi"/>
          <w:noProof/>
        </w:rPr>
      </w:pPr>
      <w:hyperlink w:anchor="_Toc531935354" w:history="1">
        <w:r w:rsidR="00B02093" w:rsidRPr="004B0B15">
          <w:rPr>
            <w:rStyle w:val="Hyperlink"/>
          </w:rPr>
          <w:t>Tablica 4</w:t>
        </w:r>
        <w:r w:rsidR="00B02093" w:rsidRPr="004B0B15">
          <w:rPr>
            <w:rStyle w:val="Hyperlink"/>
          </w:rPr>
          <w:noBreakHyphen/>
          <w:t>5. Indikativni putanje za udjele OIE do 2030. godine u scenariju s postojećim mjerama</w:t>
        </w:r>
        <w:r w:rsidR="00B02093">
          <w:rPr>
            <w:noProof/>
            <w:webHidden/>
          </w:rPr>
          <w:tab/>
        </w:r>
        <w:r w:rsidR="00B02093">
          <w:rPr>
            <w:noProof/>
            <w:webHidden/>
          </w:rPr>
          <w:fldChar w:fldCharType="begin"/>
        </w:r>
        <w:r w:rsidR="00B02093">
          <w:rPr>
            <w:noProof/>
            <w:webHidden/>
          </w:rPr>
          <w:instrText xml:space="preserve"> PAGEREF _Toc531935354 \h </w:instrText>
        </w:r>
        <w:r w:rsidR="00B02093">
          <w:rPr>
            <w:noProof/>
            <w:webHidden/>
          </w:rPr>
        </w:r>
        <w:r w:rsidR="00B02093">
          <w:rPr>
            <w:noProof/>
            <w:webHidden/>
          </w:rPr>
          <w:fldChar w:fldCharType="separate"/>
        </w:r>
        <w:r w:rsidR="00E5423A">
          <w:rPr>
            <w:noProof/>
            <w:webHidden/>
          </w:rPr>
          <w:t>103</w:t>
        </w:r>
        <w:r w:rsidR="00B02093">
          <w:rPr>
            <w:noProof/>
            <w:webHidden/>
          </w:rPr>
          <w:fldChar w:fldCharType="end"/>
        </w:r>
      </w:hyperlink>
    </w:p>
    <w:p w14:paraId="54364937" w14:textId="70CBAF1A" w:rsidR="00B02093" w:rsidRDefault="00185868">
      <w:pPr>
        <w:pStyle w:val="TableofFigures"/>
        <w:rPr>
          <w:rFonts w:asciiTheme="minorHAnsi" w:eastAsiaTheme="minorEastAsia" w:hAnsiTheme="minorHAnsi" w:cstheme="minorBidi"/>
          <w:noProof/>
        </w:rPr>
      </w:pPr>
      <w:hyperlink w:anchor="_Toc531935355" w:history="1">
        <w:r w:rsidR="00B02093" w:rsidRPr="004B0B15">
          <w:rPr>
            <w:rStyle w:val="Hyperlink"/>
          </w:rPr>
          <w:t>Tablica 4</w:t>
        </w:r>
        <w:r w:rsidR="00B02093" w:rsidRPr="004B0B15">
          <w:rPr>
            <w:rStyle w:val="Hyperlink"/>
          </w:rPr>
          <w:noBreakHyphen/>
          <w:t>6. Ocijenjeni doprinos tehnologija za OIE – Scenarij s postojećim mjerama</w:t>
        </w:r>
        <w:r w:rsidR="00B02093">
          <w:rPr>
            <w:noProof/>
            <w:webHidden/>
          </w:rPr>
          <w:tab/>
        </w:r>
        <w:r w:rsidR="00B02093">
          <w:rPr>
            <w:noProof/>
            <w:webHidden/>
          </w:rPr>
          <w:fldChar w:fldCharType="begin"/>
        </w:r>
        <w:r w:rsidR="00B02093">
          <w:rPr>
            <w:noProof/>
            <w:webHidden/>
          </w:rPr>
          <w:instrText xml:space="preserve"> PAGEREF _Toc531935355 \h </w:instrText>
        </w:r>
        <w:r w:rsidR="00B02093">
          <w:rPr>
            <w:noProof/>
            <w:webHidden/>
          </w:rPr>
        </w:r>
        <w:r w:rsidR="00B02093">
          <w:rPr>
            <w:noProof/>
            <w:webHidden/>
          </w:rPr>
          <w:fldChar w:fldCharType="separate"/>
        </w:r>
        <w:r w:rsidR="00E5423A">
          <w:rPr>
            <w:noProof/>
            <w:webHidden/>
          </w:rPr>
          <w:t>104</w:t>
        </w:r>
        <w:r w:rsidR="00B02093">
          <w:rPr>
            <w:noProof/>
            <w:webHidden/>
          </w:rPr>
          <w:fldChar w:fldCharType="end"/>
        </w:r>
      </w:hyperlink>
    </w:p>
    <w:p w14:paraId="41A3B493" w14:textId="7243F730" w:rsidR="00B02093" w:rsidRDefault="00185868">
      <w:pPr>
        <w:pStyle w:val="TableofFigures"/>
        <w:rPr>
          <w:rFonts w:asciiTheme="minorHAnsi" w:eastAsiaTheme="minorEastAsia" w:hAnsiTheme="minorHAnsi" w:cstheme="minorBidi"/>
          <w:noProof/>
        </w:rPr>
      </w:pPr>
      <w:hyperlink w:anchor="_Toc531935356" w:history="1">
        <w:r w:rsidR="00B02093" w:rsidRPr="004B0B15">
          <w:rPr>
            <w:rStyle w:val="Hyperlink"/>
          </w:rPr>
          <w:t>Tablica 4</w:t>
        </w:r>
        <w:r w:rsidR="00B02093" w:rsidRPr="004B0B15">
          <w:rPr>
            <w:rStyle w:val="Hyperlink"/>
          </w:rPr>
          <w:noBreakHyphen/>
          <w:t>7. Ocijenjeni doprinos tehnologija za OIE u električnoj energiji – Scenarij s postojećim mjerama</w:t>
        </w:r>
        <w:r w:rsidR="00B02093">
          <w:rPr>
            <w:noProof/>
            <w:webHidden/>
          </w:rPr>
          <w:tab/>
        </w:r>
        <w:r w:rsidR="00B02093">
          <w:rPr>
            <w:noProof/>
            <w:webHidden/>
          </w:rPr>
          <w:fldChar w:fldCharType="begin"/>
        </w:r>
        <w:r w:rsidR="00B02093">
          <w:rPr>
            <w:noProof/>
            <w:webHidden/>
          </w:rPr>
          <w:instrText xml:space="preserve"> PAGEREF _Toc531935356 \h </w:instrText>
        </w:r>
        <w:r w:rsidR="00B02093">
          <w:rPr>
            <w:noProof/>
            <w:webHidden/>
          </w:rPr>
        </w:r>
        <w:r w:rsidR="00B02093">
          <w:rPr>
            <w:noProof/>
            <w:webHidden/>
          </w:rPr>
          <w:fldChar w:fldCharType="separate"/>
        </w:r>
        <w:r w:rsidR="00E5423A">
          <w:rPr>
            <w:noProof/>
            <w:webHidden/>
          </w:rPr>
          <w:t>104</w:t>
        </w:r>
        <w:r w:rsidR="00B02093">
          <w:rPr>
            <w:noProof/>
            <w:webHidden/>
          </w:rPr>
          <w:fldChar w:fldCharType="end"/>
        </w:r>
      </w:hyperlink>
    </w:p>
    <w:p w14:paraId="4053386E" w14:textId="19E1764C" w:rsidR="00B02093" w:rsidRDefault="00185868">
      <w:pPr>
        <w:pStyle w:val="TableofFigures"/>
        <w:rPr>
          <w:rFonts w:asciiTheme="minorHAnsi" w:eastAsiaTheme="minorEastAsia" w:hAnsiTheme="minorHAnsi" w:cstheme="minorBidi"/>
          <w:noProof/>
        </w:rPr>
      </w:pPr>
      <w:hyperlink w:anchor="_Toc531935357" w:history="1">
        <w:r w:rsidR="00B02093" w:rsidRPr="004B0B15">
          <w:rPr>
            <w:rStyle w:val="Hyperlink"/>
          </w:rPr>
          <w:t>Tablica 4</w:t>
        </w:r>
        <w:r w:rsidR="00B02093" w:rsidRPr="004B0B15">
          <w:rPr>
            <w:rStyle w:val="Hyperlink"/>
          </w:rPr>
          <w:noBreakHyphen/>
          <w:t>8. Ocijenjeni doprinos tehnologija za OIE u grijanju i hlađenju – Scenarij s postojećim mjerama</w:t>
        </w:r>
        <w:r w:rsidR="00B02093">
          <w:rPr>
            <w:noProof/>
            <w:webHidden/>
          </w:rPr>
          <w:tab/>
        </w:r>
        <w:r w:rsidR="00B02093">
          <w:rPr>
            <w:noProof/>
            <w:webHidden/>
          </w:rPr>
          <w:fldChar w:fldCharType="begin"/>
        </w:r>
        <w:r w:rsidR="00B02093">
          <w:rPr>
            <w:noProof/>
            <w:webHidden/>
          </w:rPr>
          <w:instrText xml:space="preserve"> PAGEREF _Toc531935357 \h </w:instrText>
        </w:r>
        <w:r w:rsidR="00B02093">
          <w:rPr>
            <w:noProof/>
            <w:webHidden/>
          </w:rPr>
        </w:r>
        <w:r w:rsidR="00B02093">
          <w:rPr>
            <w:noProof/>
            <w:webHidden/>
          </w:rPr>
          <w:fldChar w:fldCharType="separate"/>
        </w:r>
        <w:r w:rsidR="00E5423A">
          <w:rPr>
            <w:noProof/>
            <w:webHidden/>
          </w:rPr>
          <w:t>104</w:t>
        </w:r>
        <w:r w:rsidR="00B02093">
          <w:rPr>
            <w:noProof/>
            <w:webHidden/>
          </w:rPr>
          <w:fldChar w:fldCharType="end"/>
        </w:r>
      </w:hyperlink>
    </w:p>
    <w:p w14:paraId="53A8A34F" w14:textId="5804ABA7" w:rsidR="00B02093" w:rsidRDefault="00185868">
      <w:pPr>
        <w:pStyle w:val="TableofFigures"/>
        <w:rPr>
          <w:rFonts w:asciiTheme="minorHAnsi" w:eastAsiaTheme="minorEastAsia" w:hAnsiTheme="minorHAnsi" w:cstheme="minorBidi"/>
          <w:noProof/>
        </w:rPr>
      </w:pPr>
      <w:hyperlink w:anchor="_Toc531935358" w:history="1">
        <w:r w:rsidR="00B02093" w:rsidRPr="004B0B15">
          <w:rPr>
            <w:rStyle w:val="Hyperlink"/>
          </w:rPr>
          <w:t>Tablica 4</w:t>
        </w:r>
        <w:r w:rsidR="00B02093" w:rsidRPr="004B0B15">
          <w:rPr>
            <w:rStyle w:val="Hyperlink"/>
          </w:rPr>
          <w:noBreakHyphen/>
          <w:t>9. Ocijenjeni doprinos tehnologija za OIE u prometu – Scenarij s postojećim mjerama</w:t>
        </w:r>
        <w:r w:rsidR="00B02093">
          <w:rPr>
            <w:noProof/>
            <w:webHidden/>
          </w:rPr>
          <w:tab/>
        </w:r>
        <w:r w:rsidR="00B02093">
          <w:rPr>
            <w:noProof/>
            <w:webHidden/>
          </w:rPr>
          <w:fldChar w:fldCharType="begin"/>
        </w:r>
        <w:r w:rsidR="00B02093">
          <w:rPr>
            <w:noProof/>
            <w:webHidden/>
          </w:rPr>
          <w:instrText xml:space="preserve"> PAGEREF _Toc531935358 \h </w:instrText>
        </w:r>
        <w:r w:rsidR="00B02093">
          <w:rPr>
            <w:noProof/>
            <w:webHidden/>
          </w:rPr>
        </w:r>
        <w:r w:rsidR="00B02093">
          <w:rPr>
            <w:noProof/>
            <w:webHidden/>
          </w:rPr>
          <w:fldChar w:fldCharType="separate"/>
        </w:r>
        <w:r w:rsidR="00E5423A">
          <w:rPr>
            <w:noProof/>
            <w:webHidden/>
          </w:rPr>
          <w:t>104</w:t>
        </w:r>
        <w:r w:rsidR="00B02093">
          <w:rPr>
            <w:noProof/>
            <w:webHidden/>
          </w:rPr>
          <w:fldChar w:fldCharType="end"/>
        </w:r>
      </w:hyperlink>
    </w:p>
    <w:p w14:paraId="078DF541" w14:textId="3B3122B5" w:rsidR="00B02093" w:rsidRDefault="00185868">
      <w:pPr>
        <w:pStyle w:val="TableofFigures"/>
        <w:rPr>
          <w:rFonts w:asciiTheme="minorHAnsi" w:eastAsiaTheme="minorEastAsia" w:hAnsiTheme="minorHAnsi" w:cstheme="minorBidi"/>
          <w:noProof/>
        </w:rPr>
      </w:pPr>
      <w:hyperlink w:anchor="_Toc531935359" w:history="1">
        <w:r w:rsidR="00B02093" w:rsidRPr="004B0B15">
          <w:rPr>
            <w:rStyle w:val="Hyperlink"/>
          </w:rPr>
          <w:t>Tablica 4</w:t>
        </w:r>
        <w:r w:rsidR="00B02093" w:rsidRPr="004B0B15">
          <w:rPr>
            <w:rStyle w:val="Hyperlink"/>
          </w:rPr>
          <w:noBreakHyphen/>
          <w:t>10. Očekivana snaga elektrana u Scenariju s postojećim mjerama</w:t>
        </w:r>
        <w:r w:rsidR="00B02093">
          <w:rPr>
            <w:noProof/>
            <w:webHidden/>
          </w:rPr>
          <w:tab/>
        </w:r>
        <w:r w:rsidR="00B02093">
          <w:rPr>
            <w:noProof/>
            <w:webHidden/>
          </w:rPr>
          <w:fldChar w:fldCharType="begin"/>
        </w:r>
        <w:r w:rsidR="00B02093">
          <w:rPr>
            <w:noProof/>
            <w:webHidden/>
          </w:rPr>
          <w:instrText xml:space="preserve"> PAGEREF _Toc531935359 \h </w:instrText>
        </w:r>
        <w:r w:rsidR="00B02093">
          <w:rPr>
            <w:noProof/>
            <w:webHidden/>
          </w:rPr>
        </w:r>
        <w:r w:rsidR="00B02093">
          <w:rPr>
            <w:noProof/>
            <w:webHidden/>
          </w:rPr>
          <w:fldChar w:fldCharType="separate"/>
        </w:r>
        <w:r w:rsidR="00E5423A">
          <w:rPr>
            <w:noProof/>
            <w:webHidden/>
          </w:rPr>
          <w:t>105</w:t>
        </w:r>
        <w:r w:rsidR="00B02093">
          <w:rPr>
            <w:noProof/>
            <w:webHidden/>
          </w:rPr>
          <w:fldChar w:fldCharType="end"/>
        </w:r>
      </w:hyperlink>
    </w:p>
    <w:p w14:paraId="6C067323" w14:textId="057ABDD3" w:rsidR="00B02093" w:rsidRDefault="00185868">
      <w:pPr>
        <w:pStyle w:val="TableofFigures"/>
        <w:rPr>
          <w:rFonts w:asciiTheme="minorHAnsi" w:eastAsiaTheme="minorEastAsia" w:hAnsiTheme="minorHAnsi" w:cstheme="minorBidi"/>
          <w:noProof/>
        </w:rPr>
      </w:pPr>
      <w:hyperlink w:anchor="_Toc531935360" w:history="1">
        <w:r w:rsidR="00B02093" w:rsidRPr="004B0B15">
          <w:rPr>
            <w:rStyle w:val="Hyperlink"/>
          </w:rPr>
          <w:t>Tablica 4</w:t>
        </w:r>
        <w:r w:rsidR="00B02093" w:rsidRPr="004B0B15">
          <w:rPr>
            <w:rStyle w:val="Hyperlink"/>
          </w:rPr>
          <w:noBreakHyphen/>
          <w:t>11: Struktura primarne i neposredne potrošnje energije po sektorima u 2016. godini</w:t>
        </w:r>
        <w:r w:rsidR="00B02093">
          <w:rPr>
            <w:noProof/>
            <w:webHidden/>
          </w:rPr>
          <w:tab/>
        </w:r>
        <w:r w:rsidR="00B02093">
          <w:rPr>
            <w:noProof/>
            <w:webHidden/>
          </w:rPr>
          <w:fldChar w:fldCharType="begin"/>
        </w:r>
        <w:r w:rsidR="00B02093">
          <w:rPr>
            <w:noProof/>
            <w:webHidden/>
          </w:rPr>
          <w:instrText xml:space="preserve"> PAGEREF _Toc531935360 \h </w:instrText>
        </w:r>
        <w:r w:rsidR="00B02093">
          <w:rPr>
            <w:noProof/>
            <w:webHidden/>
          </w:rPr>
        </w:r>
        <w:r w:rsidR="00B02093">
          <w:rPr>
            <w:noProof/>
            <w:webHidden/>
          </w:rPr>
          <w:fldChar w:fldCharType="separate"/>
        </w:r>
        <w:r w:rsidR="00E5423A">
          <w:rPr>
            <w:noProof/>
            <w:webHidden/>
          </w:rPr>
          <w:t>106</w:t>
        </w:r>
        <w:r w:rsidR="00B02093">
          <w:rPr>
            <w:noProof/>
            <w:webHidden/>
          </w:rPr>
          <w:fldChar w:fldCharType="end"/>
        </w:r>
      </w:hyperlink>
    </w:p>
    <w:p w14:paraId="4E7BEC37" w14:textId="7DCBA0CF" w:rsidR="00B02093" w:rsidRDefault="00185868">
      <w:pPr>
        <w:pStyle w:val="TableofFigures"/>
        <w:rPr>
          <w:rFonts w:asciiTheme="minorHAnsi" w:eastAsiaTheme="minorEastAsia" w:hAnsiTheme="minorHAnsi" w:cstheme="minorBidi"/>
          <w:noProof/>
        </w:rPr>
      </w:pPr>
      <w:hyperlink w:anchor="_Toc531935361" w:history="1">
        <w:r w:rsidR="00B02093" w:rsidRPr="004B0B15">
          <w:rPr>
            <w:rStyle w:val="Hyperlink"/>
          </w:rPr>
          <w:t>Tablica 4</w:t>
        </w:r>
        <w:r w:rsidR="00B02093" w:rsidRPr="004B0B15">
          <w:rPr>
            <w:rStyle w:val="Hyperlink"/>
          </w:rPr>
          <w:noBreakHyphen/>
          <w:t>12: Struktura primarne i neposredne potrošnje energije po energentima</w:t>
        </w:r>
        <w:r w:rsidR="00B02093">
          <w:rPr>
            <w:noProof/>
            <w:webHidden/>
          </w:rPr>
          <w:tab/>
        </w:r>
        <w:r w:rsidR="00B02093">
          <w:rPr>
            <w:noProof/>
            <w:webHidden/>
          </w:rPr>
          <w:fldChar w:fldCharType="begin"/>
        </w:r>
        <w:r w:rsidR="00B02093">
          <w:rPr>
            <w:noProof/>
            <w:webHidden/>
          </w:rPr>
          <w:instrText xml:space="preserve"> PAGEREF _Toc531935361 \h </w:instrText>
        </w:r>
        <w:r w:rsidR="00B02093">
          <w:rPr>
            <w:noProof/>
            <w:webHidden/>
          </w:rPr>
        </w:r>
        <w:r w:rsidR="00B02093">
          <w:rPr>
            <w:noProof/>
            <w:webHidden/>
          </w:rPr>
          <w:fldChar w:fldCharType="separate"/>
        </w:r>
        <w:r w:rsidR="00E5423A">
          <w:rPr>
            <w:noProof/>
            <w:webHidden/>
          </w:rPr>
          <w:t>106</w:t>
        </w:r>
        <w:r w:rsidR="00B02093">
          <w:rPr>
            <w:noProof/>
            <w:webHidden/>
          </w:rPr>
          <w:fldChar w:fldCharType="end"/>
        </w:r>
      </w:hyperlink>
    </w:p>
    <w:p w14:paraId="0321E668" w14:textId="7DCA274C" w:rsidR="00B02093" w:rsidRDefault="00185868">
      <w:pPr>
        <w:pStyle w:val="TableofFigures"/>
        <w:rPr>
          <w:rFonts w:asciiTheme="minorHAnsi" w:eastAsiaTheme="minorEastAsia" w:hAnsiTheme="minorHAnsi" w:cstheme="minorBidi"/>
          <w:noProof/>
        </w:rPr>
      </w:pPr>
      <w:hyperlink w:anchor="_Toc531935362" w:history="1">
        <w:r w:rsidR="00B02093" w:rsidRPr="004B0B15">
          <w:rPr>
            <w:rStyle w:val="Hyperlink"/>
          </w:rPr>
          <w:t>Tablica 4</w:t>
        </w:r>
        <w:r w:rsidR="00B02093" w:rsidRPr="004B0B15">
          <w:rPr>
            <w:rStyle w:val="Hyperlink"/>
          </w:rPr>
          <w:noBreakHyphen/>
          <w:t>13: Potencijali za primjenu visokoučinkovite kogeneracije i učinkovitog centraliziranog grijanja i hlađenja</w:t>
        </w:r>
        <w:r w:rsidR="00B02093">
          <w:rPr>
            <w:noProof/>
            <w:webHidden/>
          </w:rPr>
          <w:tab/>
        </w:r>
        <w:r w:rsidR="00B02093">
          <w:rPr>
            <w:noProof/>
            <w:webHidden/>
          </w:rPr>
          <w:fldChar w:fldCharType="begin"/>
        </w:r>
        <w:r w:rsidR="00B02093">
          <w:rPr>
            <w:noProof/>
            <w:webHidden/>
          </w:rPr>
          <w:instrText xml:space="preserve"> PAGEREF _Toc531935362 \h </w:instrText>
        </w:r>
        <w:r w:rsidR="00B02093">
          <w:rPr>
            <w:noProof/>
            <w:webHidden/>
          </w:rPr>
        </w:r>
        <w:r w:rsidR="00B02093">
          <w:rPr>
            <w:noProof/>
            <w:webHidden/>
          </w:rPr>
          <w:fldChar w:fldCharType="separate"/>
        </w:r>
        <w:r w:rsidR="00E5423A">
          <w:rPr>
            <w:noProof/>
            <w:webHidden/>
          </w:rPr>
          <w:t>107</w:t>
        </w:r>
        <w:r w:rsidR="00B02093">
          <w:rPr>
            <w:noProof/>
            <w:webHidden/>
          </w:rPr>
          <w:fldChar w:fldCharType="end"/>
        </w:r>
      </w:hyperlink>
    </w:p>
    <w:p w14:paraId="4690D0E3" w14:textId="2E1529B0" w:rsidR="00B02093" w:rsidRDefault="00185868">
      <w:pPr>
        <w:pStyle w:val="TableofFigures"/>
        <w:rPr>
          <w:rFonts w:asciiTheme="minorHAnsi" w:eastAsiaTheme="minorEastAsia" w:hAnsiTheme="minorHAnsi" w:cstheme="minorBidi"/>
          <w:noProof/>
        </w:rPr>
      </w:pPr>
      <w:hyperlink w:anchor="_Toc531935363" w:history="1">
        <w:r w:rsidR="00B02093" w:rsidRPr="004B0B15">
          <w:rPr>
            <w:rStyle w:val="Hyperlink"/>
          </w:rPr>
          <w:t>Tablica 4</w:t>
        </w:r>
        <w:r w:rsidR="00B02093" w:rsidRPr="004B0B15">
          <w:rPr>
            <w:rStyle w:val="Hyperlink"/>
          </w:rPr>
          <w:noBreakHyphen/>
          <w:t>14. Očekivana proizvodnja primarne energije – Scenarij s postojećim mjerama</w:t>
        </w:r>
        <w:r w:rsidR="00B02093">
          <w:rPr>
            <w:noProof/>
            <w:webHidden/>
          </w:rPr>
          <w:tab/>
        </w:r>
        <w:r w:rsidR="00B02093">
          <w:rPr>
            <w:noProof/>
            <w:webHidden/>
          </w:rPr>
          <w:fldChar w:fldCharType="begin"/>
        </w:r>
        <w:r w:rsidR="00B02093">
          <w:rPr>
            <w:noProof/>
            <w:webHidden/>
          </w:rPr>
          <w:instrText xml:space="preserve"> PAGEREF _Toc531935363 \h </w:instrText>
        </w:r>
        <w:r w:rsidR="00B02093">
          <w:rPr>
            <w:noProof/>
            <w:webHidden/>
          </w:rPr>
        </w:r>
        <w:r w:rsidR="00B02093">
          <w:rPr>
            <w:noProof/>
            <w:webHidden/>
          </w:rPr>
          <w:fldChar w:fldCharType="separate"/>
        </w:r>
        <w:r w:rsidR="00E5423A">
          <w:rPr>
            <w:noProof/>
            <w:webHidden/>
          </w:rPr>
          <w:t>111</w:t>
        </w:r>
        <w:r w:rsidR="00B02093">
          <w:rPr>
            <w:noProof/>
            <w:webHidden/>
          </w:rPr>
          <w:fldChar w:fldCharType="end"/>
        </w:r>
      </w:hyperlink>
    </w:p>
    <w:p w14:paraId="3CAA7BA5" w14:textId="2BB4D8A7" w:rsidR="00B02093" w:rsidRDefault="00185868">
      <w:pPr>
        <w:pStyle w:val="TableofFigures"/>
        <w:rPr>
          <w:rFonts w:asciiTheme="minorHAnsi" w:eastAsiaTheme="minorEastAsia" w:hAnsiTheme="minorHAnsi" w:cstheme="minorBidi"/>
          <w:noProof/>
        </w:rPr>
      </w:pPr>
      <w:hyperlink w:anchor="_Toc531935364" w:history="1">
        <w:r w:rsidR="00B02093" w:rsidRPr="004B0B15">
          <w:rPr>
            <w:rStyle w:val="Hyperlink"/>
          </w:rPr>
          <w:t>Tablica 4</w:t>
        </w:r>
        <w:r w:rsidR="00B02093" w:rsidRPr="004B0B15">
          <w:rPr>
            <w:rStyle w:val="Hyperlink"/>
          </w:rPr>
          <w:noBreakHyphen/>
          <w:t>15. Očekivana ukupna potrošnja energije – Scenarij s postojećim mjerama</w:t>
        </w:r>
        <w:r w:rsidR="00B02093">
          <w:rPr>
            <w:noProof/>
            <w:webHidden/>
          </w:rPr>
          <w:tab/>
        </w:r>
        <w:r w:rsidR="00B02093">
          <w:rPr>
            <w:noProof/>
            <w:webHidden/>
          </w:rPr>
          <w:fldChar w:fldCharType="begin"/>
        </w:r>
        <w:r w:rsidR="00B02093">
          <w:rPr>
            <w:noProof/>
            <w:webHidden/>
          </w:rPr>
          <w:instrText xml:space="preserve"> PAGEREF _Toc531935364 \h </w:instrText>
        </w:r>
        <w:r w:rsidR="00B02093">
          <w:rPr>
            <w:noProof/>
            <w:webHidden/>
          </w:rPr>
        </w:r>
        <w:r w:rsidR="00B02093">
          <w:rPr>
            <w:noProof/>
            <w:webHidden/>
          </w:rPr>
          <w:fldChar w:fldCharType="separate"/>
        </w:r>
        <w:r w:rsidR="00E5423A">
          <w:rPr>
            <w:noProof/>
            <w:webHidden/>
          </w:rPr>
          <w:t>112</w:t>
        </w:r>
        <w:r w:rsidR="00B02093">
          <w:rPr>
            <w:noProof/>
            <w:webHidden/>
          </w:rPr>
          <w:fldChar w:fldCharType="end"/>
        </w:r>
      </w:hyperlink>
    </w:p>
    <w:p w14:paraId="735637FD" w14:textId="12451429" w:rsidR="00B02093" w:rsidRDefault="00185868">
      <w:pPr>
        <w:pStyle w:val="TableofFigures"/>
        <w:rPr>
          <w:rFonts w:asciiTheme="minorHAnsi" w:eastAsiaTheme="minorEastAsia" w:hAnsiTheme="minorHAnsi" w:cstheme="minorBidi"/>
          <w:noProof/>
        </w:rPr>
      </w:pPr>
      <w:hyperlink w:anchor="_Toc531935365" w:history="1">
        <w:r w:rsidR="00B02093" w:rsidRPr="004B0B15">
          <w:rPr>
            <w:rStyle w:val="Hyperlink"/>
          </w:rPr>
          <w:t>Tablica 4</w:t>
        </w:r>
        <w:r w:rsidR="00B02093" w:rsidRPr="004B0B15">
          <w:rPr>
            <w:rStyle w:val="Hyperlink"/>
          </w:rPr>
          <w:noBreakHyphen/>
          <w:t>16</w:t>
        </w:r>
        <w:r w:rsidR="00B02093">
          <w:rPr>
            <w:rFonts w:asciiTheme="minorHAnsi" w:eastAsiaTheme="minorEastAsia" w:hAnsiTheme="minorHAnsi" w:cstheme="minorBidi"/>
            <w:noProof/>
          </w:rPr>
          <w:tab/>
        </w:r>
        <w:r w:rsidR="00B02093" w:rsidRPr="004B0B15">
          <w:rPr>
            <w:rStyle w:val="Hyperlink"/>
          </w:rPr>
          <w:t>Potrebna realizacija i godina stavljanja u uporabu planiranih projekata</w:t>
        </w:r>
        <w:r w:rsidR="00B02093">
          <w:rPr>
            <w:noProof/>
            <w:webHidden/>
          </w:rPr>
          <w:tab/>
        </w:r>
        <w:r w:rsidR="00B02093">
          <w:rPr>
            <w:noProof/>
            <w:webHidden/>
          </w:rPr>
          <w:fldChar w:fldCharType="begin"/>
        </w:r>
        <w:r w:rsidR="00B02093">
          <w:rPr>
            <w:noProof/>
            <w:webHidden/>
          </w:rPr>
          <w:instrText xml:space="preserve"> PAGEREF _Toc531935365 \h </w:instrText>
        </w:r>
        <w:r w:rsidR="00B02093">
          <w:rPr>
            <w:noProof/>
            <w:webHidden/>
          </w:rPr>
        </w:r>
        <w:r w:rsidR="00B02093">
          <w:rPr>
            <w:noProof/>
            <w:webHidden/>
          </w:rPr>
          <w:fldChar w:fldCharType="separate"/>
        </w:r>
        <w:r w:rsidR="00E5423A">
          <w:rPr>
            <w:noProof/>
            <w:webHidden/>
          </w:rPr>
          <w:t>119</w:t>
        </w:r>
        <w:r w:rsidR="00B02093">
          <w:rPr>
            <w:noProof/>
            <w:webHidden/>
          </w:rPr>
          <w:fldChar w:fldCharType="end"/>
        </w:r>
      </w:hyperlink>
    </w:p>
    <w:p w14:paraId="4DAED6F3" w14:textId="04D58E37" w:rsidR="00B02093" w:rsidRDefault="00185868">
      <w:pPr>
        <w:pStyle w:val="TableofFigures"/>
        <w:rPr>
          <w:rFonts w:asciiTheme="minorHAnsi" w:eastAsiaTheme="minorEastAsia" w:hAnsiTheme="minorHAnsi" w:cstheme="minorBidi"/>
          <w:noProof/>
        </w:rPr>
      </w:pPr>
      <w:hyperlink w:anchor="_Toc531935366" w:history="1">
        <w:r w:rsidR="00B02093" w:rsidRPr="004B0B15">
          <w:rPr>
            <w:rStyle w:val="Hyperlink"/>
          </w:rPr>
          <w:t>Tablica 5</w:t>
        </w:r>
        <w:r w:rsidR="00B02093" w:rsidRPr="004B0B15">
          <w:rPr>
            <w:rStyle w:val="Hyperlink"/>
          </w:rPr>
          <w:noBreakHyphen/>
          <w:t>1: Potencijal smanjenja emisije stakleničkih plinova dodatnim mjerama za energetske izvore</w:t>
        </w:r>
        <w:r w:rsidR="00B02093">
          <w:rPr>
            <w:noProof/>
            <w:webHidden/>
          </w:rPr>
          <w:tab/>
        </w:r>
        <w:r w:rsidR="00B02093">
          <w:rPr>
            <w:noProof/>
            <w:webHidden/>
          </w:rPr>
          <w:fldChar w:fldCharType="begin"/>
        </w:r>
        <w:r w:rsidR="00B02093">
          <w:rPr>
            <w:noProof/>
            <w:webHidden/>
          </w:rPr>
          <w:instrText xml:space="preserve"> PAGEREF _Toc531935366 \h </w:instrText>
        </w:r>
        <w:r w:rsidR="00B02093">
          <w:rPr>
            <w:noProof/>
            <w:webHidden/>
          </w:rPr>
        </w:r>
        <w:r w:rsidR="00B02093">
          <w:rPr>
            <w:noProof/>
            <w:webHidden/>
          </w:rPr>
          <w:fldChar w:fldCharType="separate"/>
        </w:r>
        <w:r w:rsidR="00E5423A">
          <w:rPr>
            <w:noProof/>
            <w:webHidden/>
          </w:rPr>
          <w:t>127</w:t>
        </w:r>
        <w:r w:rsidR="00B02093">
          <w:rPr>
            <w:noProof/>
            <w:webHidden/>
          </w:rPr>
          <w:fldChar w:fldCharType="end"/>
        </w:r>
      </w:hyperlink>
    </w:p>
    <w:p w14:paraId="477913CD" w14:textId="77B44622" w:rsidR="00B02093" w:rsidRDefault="00185868">
      <w:pPr>
        <w:pStyle w:val="TableofFigures"/>
        <w:rPr>
          <w:rFonts w:asciiTheme="minorHAnsi" w:eastAsiaTheme="minorEastAsia" w:hAnsiTheme="minorHAnsi" w:cstheme="minorBidi"/>
          <w:noProof/>
        </w:rPr>
      </w:pPr>
      <w:hyperlink w:anchor="_Toc531935367" w:history="1">
        <w:r w:rsidR="00B02093" w:rsidRPr="004B0B15">
          <w:rPr>
            <w:rStyle w:val="Hyperlink"/>
          </w:rPr>
          <w:t>Tablica 5</w:t>
        </w:r>
        <w:r w:rsidR="00B02093" w:rsidRPr="004B0B15">
          <w:rPr>
            <w:rStyle w:val="Hyperlink"/>
          </w:rPr>
          <w:noBreakHyphen/>
          <w:t>2: Potencijal smanjenja emisije stakleničkih plinova dodatnim mjerama za ne-energetske izvore</w:t>
        </w:r>
        <w:r w:rsidR="00B02093">
          <w:rPr>
            <w:noProof/>
            <w:webHidden/>
          </w:rPr>
          <w:tab/>
        </w:r>
        <w:r w:rsidR="00B02093">
          <w:rPr>
            <w:noProof/>
            <w:webHidden/>
          </w:rPr>
          <w:fldChar w:fldCharType="begin"/>
        </w:r>
        <w:r w:rsidR="00B02093">
          <w:rPr>
            <w:noProof/>
            <w:webHidden/>
          </w:rPr>
          <w:instrText xml:space="preserve"> PAGEREF _Toc531935367 \h </w:instrText>
        </w:r>
        <w:r w:rsidR="00B02093">
          <w:rPr>
            <w:noProof/>
            <w:webHidden/>
          </w:rPr>
        </w:r>
        <w:r w:rsidR="00B02093">
          <w:rPr>
            <w:noProof/>
            <w:webHidden/>
          </w:rPr>
          <w:fldChar w:fldCharType="separate"/>
        </w:r>
        <w:r w:rsidR="00E5423A">
          <w:rPr>
            <w:noProof/>
            <w:webHidden/>
          </w:rPr>
          <w:t>127</w:t>
        </w:r>
        <w:r w:rsidR="00B02093">
          <w:rPr>
            <w:noProof/>
            <w:webHidden/>
          </w:rPr>
          <w:fldChar w:fldCharType="end"/>
        </w:r>
      </w:hyperlink>
    </w:p>
    <w:p w14:paraId="54CBBDF6" w14:textId="25226270" w:rsidR="00A87274" w:rsidRPr="00A87274" w:rsidRDefault="00A87274" w:rsidP="00A87274">
      <w:r>
        <w:fldChar w:fldCharType="end"/>
      </w:r>
    </w:p>
    <w:p w14:paraId="59FDADE3" w14:textId="34EACA23" w:rsidR="00DE41C8" w:rsidRDefault="004A5913" w:rsidP="00DE41C8">
      <w:pPr>
        <w:pStyle w:val="Heading1"/>
      </w:pPr>
      <w:bookmarkStart w:id="525" w:name="_Toc531935277"/>
      <w:bookmarkStart w:id="526" w:name="_Toc531945139"/>
      <w:r>
        <w:t>PRILOG</w:t>
      </w:r>
      <w:bookmarkEnd w:id="525"/>
      <w:bookmarkEnd w:id="526"/>
    </w:p>
    <w:p w14:paraId="74E9DBD1" w14:textId="4AA2DDAE" w:rsidR="004A5913" w:rsidRDefault="004A5913">
      <w:pPr>
        <w:suppressAutoHyphens w:val="0"/>
        <w:spacing w:before="0" w:after="0" w:line="240" w:lineRule="auto"/>
        <w:jc w:val="left"/>
      </w:pPr>
      <w:r>
        <w:br w:type="page"/>
      </w:r>
    </w:p>
    <w:p w14:paraId="7BE785AE" w14:textId="77777777" w:rsidR="004A5913" w:rsidRPr="002F3855" w:rsidRDefault="004A5913" w:rsidP="004A5913">
      <w:pPr>
        <w:spacing w:line="276" w:lineRule="auto"/>
        <w:jc w:val="center"/>
        <w:rPr>
          <w:rFonts w:cs="Arial"/>
          <w:b/>
        </w:rPr>
      </w:pPr>
    </w:p>
    <w:p w14:paraId="7C0069CE" w14:textId="77777777" w:rsidR="004A5913" w:rsidRPr="002F3855" w:rsidRDefault="004A5913" w:rsidP="004A5913">
      <w:pPr>
        <w:spacing w:line="276" w:lineRule="auto"/>
        <w:jc w:val="center"/>
        <w:rPr>
          <w:rFonts w:cs="Arial"/>
          <w:noProof/>
        </w:rPr>
      </w:pPr>
      <w:r w:rsidRPr="002F3855">
        <w:rPr>
          <w:rFonts w:cs="Arial"/>
          <w:b/>
        </w:rPr>
        <w:t>DOSTAVLJANJE OBAVIJESTI O MJERAMA I METODOLOGIJAMA DRŽAVA ČLANICA ZA PROVEDBU ČLANKA 7. DIREKTIVE 2012/27/EU [U INAČICI KAKO JE IZMIJENJENA U SKLADU S PRIJEDLOGOM COM(2016) 761]</w:t>
      </w:r>
    </w:p>
    <w:p w14:paraId="36E7FEF2" w14:textId="77777777" w:rsidR="004A5913" w:rsidRPr="002F3855" w:rsidRDefault="004A5913" w:rsidP="004A5913">
      <w:pPr>
        <w:pStyle w:val="Text2"/>
        <w:spacing w:before="0" w:after="0" w:line="276" w:lineRule="auto"/>
        <w:ind w:left="0"/>
        <w:rPr>
          <w:rFonts w:ascii="Arial" w:hAnsi="Arial" w:cs="Arial"/>
          <w:sz w:val="22"/>
        </w:rPr>
      </w:pPr>
    </w:p>
    <w:p w14:paraId="7D2C4E2C" w14:textId="77777777" w:rsidR="004A5913" w:rsidRDefault="004A5913" w:rsidP="004A5913">
      <w:pPr>
        <w:pStyle w:val="Text2"/>
        <w:spacing w:before="0" w:after="0" w:line="276" w:lineRule="auto"/>
        <w:ind w:left="0"/>
        <w:jc w:val="both"/>
        <w:rPr>
          <w:rFonts w:ascii="Arial" w:hAnsi="Arial" w:cs="Arial"/>
          <w:sz w:val="22"/>
        </w:rPr>
      </w:pPr>
      <w:r>
        <w:rPr>
          <w:rFonts w:ascii="Arial" w:hAnsi="Arial" w:cs="Arial"/>
          <w:sz w:val="22"/>
        </w:rPr>
        <w:t>Republika Hrvatska</w:t>
      </w:r>
      <w:r w:rsidRPr="002F3855">
        <w:rPr>
          <w:rFonts w:ascii="Arial" w:hAnsi="Arial" w:cs="Arial"/>
          <w:sz w:val="22"/>
        </w:rPr>
        <w:t xml:space="preserve"> u skladu s točkom 5. Priloga V. Direktivi 2012/27/EU obavješćuj</w:t>
      </w:r>
      <w:r>
        <w:rPr>
          <w:rFonts w:ascii="Arial" w:hAnsi="Arial" w:cs="Arial"/>
          <w:sz w:val="22"/>
        </w:rPr>
        <w:t>e</w:t>
      </w:r>
      <w:r w:rsidRPr="002F3855">
        <w:rPr>
          <w:rFonts w:ascii="Arial" w:hAnsi="Arial" w:cs="Arial"/>
          <w:sz w:val="22"/>
        </w:rPr>
        <w:t xml:space="preserve"> Komisiju o predloženoj detaljnoj metodologiji za rad sustava obveze energetske učinkovitosti i o alternativnim mjerama iz članaka 7.a i 7.b te članka 20. stavka 6. te Direktive. </w:t>
      </w:r>
    </w:p>
    <w:p w14:paraId="27BFDA08" w14:textId="77777777" w:rsidR="004A5913" w:rsidRDefault="004A5913" w:rsidP="004A5913">
      <w:pPr>
        <w:pStyle w:val="Text2"/>
        <w:spacing w:before="0" w:after="0" w:line="276" w:lineRule="auto"/>
        <w:ind w:left="0"/>
        <w:jc w:val="both"/>
        <w:rPr>
          <w:rFonts w:ascii="Arial" w:hAnsi="Arial" w:cs="Arial"/>
          <w:sz w:val="22"/>
        </w:rPr>
      </w:pPr>
    </w:p>
    <w:p w14:paraId="061C3C0D" w14:textId="77777777" w:rsidR="004A5913" w:rsidRPr="004F50C7" w:rsidRDefault="004A5913" w:rsidP="004A5913">
      <w:pPr>
        <w:pStyle w:val="Text2"/>
        <w:spacing w:before="0" w:after="0" w:line="276" w:lineRule="auto"/>
        <w:ind w:left="0"/>
        <w:jc w:val="both"/>
        <w:rPr>
          <w:rFonts w:ascii="Arial" w:hAnsi="Arial" w:cs="Arial"/>
          <w:b/>
          <w:sz w:val="22"/>
        </w:rPr>
      </w:pPr>
      <w:r w:rsidRPr="004F50C7">
        <w:rPr>
          <w:rFonts w:ascii="Arial" w:hAnsi="Arial" w:cs="Arial"/>
          <w:b/>
          <w:sz w:val="22"/>
        </w:rPr>
        <w:t xml:space="preserve">Važna napomena: Ističe se </w:t>
      </w:r>
      <w:r>
        <w:rPr>
          <w:rFonts w:ascii="Arial" w:hAnsi="Arial" w:cs="Arial"/>
          <w:b/>
          <w:sz w:val="22"/>
        </w:rPr>
        <w:t>kako</w:t>
      </w:r>
      <w:r w:rsidRPr="004F50C7">
        <w:rPr>
          <w:rFonts w:ascii="Arial" w:hAnsi="Arial" w:cs="Arial"/>
          <w:b/>
          <w:sz w:val="22"/>
        </w:rPr>
        <w:t xml:space="preserve"> je notifikacija indikativnog karaktera</w:t>
      </w:r>
      <w:r>
        <w:rPr>
          <w:rFonts w:ascii="Arial" w:hAnsi="Arial" w:cs="Arial"/>
          <w:b/>
          <w:sz w:val="22"/>
        </w:rPr>
        <w:t xml:space="preserve"> te</w:t>
      </w:r>
      <w:r w:rsidRPr="004F50C7">
        <w:rPr>
          <w:rFonts w:ascii="Arial" w:hAnsi="Arial" w:cs="Arial"/>
          <w:b/>
          <w:sz w:val="22"/>
        </w:rPr>
        <w:t xml:space="preserve"> će se tijekom 2019. godine izmijeniti prema konačnom tekstu izmijenjene Direktive 2012/27/EU, konačnim izmjenama Zakona o energetskoj učinkovitosti (trenutno u parlamentarnoj proceduri) </w:t>
      </w:r>
      <w:r>
        <w:rPr>
          <w:rFonts w:ascii="Arial" w:hAnsi="Arial" w:cs="Arial"/>
          <w:b/>
          <w:sz w:val="22"/>
        </w:rPr>
        <w:t>i</w:t>
      </w:r>
      <w:r w:rsidRPr="004F50C7">
        <w:rPr>
          <w:rFonts w:ascii="Arial" w:hAnsi="Arial" w:cs="Arial"/>
          <w:b/>
          <w:sz w:val="22"/>
        </w:rPr>
        <w:t xml:space="preserve"> novim podatcima o potrošnji energije i ostvarenim uštedama barem za 2017. godinu. </w:t>
      </w:r>
    </w:p>
    <w:p w14:paraId="04387BB8" w14:textId="77777777" w:rsidR="004A5913" w:rsidRPr="002F3855" w:rsidRDefault="004A5913" w:rsidP="004A5913">
      <w:pPr>
        <w:pStyle w:val="Text2"/>
        <w:spacing w:before="0" w:after="0" w:line="276" w:lineRule="auto"/>
        <w:ind w:left="0"/>
        <w:jc w:val="both"/>
        <w:rPr>
          <w:rFonts w:ascii="Arial" w:hAnsi="Arial" w:cs="Arial"/>
          <w:noProof/>
          <w:sz w:val="22"/>
        </w:rPr>
      </w:pPr>
    </w:p>
    <w:p w14:paraId="05EEEFC7" w14:textId="77777777" w:rsidR="004A5913" w:rsidRPr="009D19A1" w:rsidRDefault="004A5913" w:rsidP="004A5913">
      <w:pPr>
        <w:pStyle w:val="ManualNumPar1"/>
        <w:numPr>
          <w:ilvl w:val="0"/>
          <w:numId w:val="100"/>
        </w:numPr>
        <w:spacing w:before="0" w:after="0" w:line="276" w:lineRule="auto"/>
        <w:jc w:val="both"/>
        <w:rPr>
          <w:rFonts w:ascii="Arial" w:hAnsi="Arial" w:cs="Arial"/>
          <w:b/>
          <w:i/>
          <w:sz w:val="22"/>
        </w:rPr>
      </w:pPr>
      <w:r w:rsidRPr="009D19A1">
        <w:rPr>
          <w:rFonts w:ascii="Arial" w:hAnsi="Arial" w:cs="Arial"/>
          <w:b/>
          <w:i/>
          <w:sz w:val="22"/>
        </w:rPr>
        <w:t>Izračun razine propisanih ušteda energije koje se trebaju ostvariti tijekom čitavog razdoblja od 1. siječnja 2021. do 31. prosinca 2030., uz prikaz načina na koji su sljedeći elementi uzeti u obzir:</w:t>
      </w:r>
    </w:p>
    <w:p w14:paraId="3A716608" w14:textId="77777777" w:rsidR="004A5913" w:rsidRPr="006114B2" w:rsidRDefault="004A5913" w:rsidP="00A87274">
      <w:pPr>
        <w:spacing w:before="0" w:after="0"/>
        <w:rPr>
          <w:lang w:eastAsia="en-US"/>
        </w:rPr>
      </w:pPr>
    </w:p>
    <w:p w14:paraId="2B641859" w14:textId="77777777" w:rsidR="004A5913" w:rsidRPr="00B17769" w:rsidRDefault="004A5913" w:rsidP="004A5913">
      <w:pPr>
        <w:pStyle w:val="PointManual1"/>
        <w:numPr>
          <w:ilvl w:val="0"/>
          <w:numId w:val="97"/>
        </w:numPr>
        <w:spacing w:before="0" w:after="0" w:line="276" w:lineRule="auto"/>
        <w:rPr>
          <w:rFonts w:ascii="Arial" w:hAnsi="Arial" w:cs="Arial"/>
          <w:i/>
          <w:sz w:val="22"/>
        </w:rPr>
      </w:pPr>
      <w:r w:rsidRPr="00B17769">
        <w:rPr>
          <w:rFonts w:ascii="Arial" w:hAnsi="Arial" w:cs="Arial"/>
          <w:i/>
          <w:sz w:val="22"/>
        </w:rPr>
        <w:t>godišnja prodaja energije, prema opsegu prodanom krajnjim kupcima svih distributera energije ili svim poduzećima za maloprodaju energije prema prosjeku za zadnje tri godine (2016, 2017, 2018) prije 1. siječnja 2019. [u ktoe];</w:t>
      </w:r>
    </w:p>
    <w:p w14:paraId="3A06E733" w14:textId="77777777" w:rsidR="004A5913" w:rsidRDefault="004A5913" w:rsidP="004A5913">
      <w:pPr>
        <w:pStyle w:val="PointManual1"/>
        <w:spacing w:before="0" w:after="0" w:line="276" w:lineRule="auto"/>
        <w:ind w:left="0" w:firstLine="0"/>
        <w:rPr>
          <w:rFonts w:ascii="Arial" w:hAnsi="Arial" w:cs="Arial"/>
          <w:sz w:val="22"/>
        </w:rPr>
      </w:pPr>
    </w:p>
    <w:p w14:paraId="35E05357" w14:textId="77777777" w:rsidR="004A5913" w:rsidRPr="002F3855" w:rsidRDefault="004A5913" w:rsidP="004A5913">
      <w:pPr>
        <w:pStyle w:val="PointManual1"/>
        <w:spacing w:before="0" w:after="0" w:line="276" w:lineRule="auto"/>
        <w:ind w:left="0" w:firstLine="0"/>
        <w:jc w:val="both"/>
        <w:rPr>
          <w:rFonts w:ascii="Arial" w:hAnsi="Arial" w:cs="Arial"/>
          <w:sz w:val="22"/>
        </w:rPr>
      </w:pPr>
      <w:r w:rsidRPr="002F3855">
        <w:rPr>
          <w:rFonts w:ascii="Arial" w:hAnsi="Arial" w:cs="Arial"/>
          <w:sz w:val="22"/>
        </w:rPr>
        <w:t>Zadnja godina za koju</w:t>
      </w:r>
      <w:r>
        <w:rPr>
          <w:rFonts w:ascii="Arial" w:hAnsi="Arial" w:cs="Arial"/>
          <w:sz w:val="22"/>
        </w:rPr>
        <w:t xml:space="preserve"> je dostupna energetska bilanca za RH je 2016. stoga se izračun temelji na podatcima iz 2014., 2015. i 2016. godine. </w:t>
      </w:r>
    </w:p>
    <w:tbl>
      <w:tblPr>
        <w:tblStyle w:val="GridTable1Light"/>
        <w:tblW w:w="0" w:type="auto"/>
        <w:tblLook w:val="04A0" w:firstRow="1" w:lastRow="0" w:firstColumn="1" w:lastColumn="0" w:noHBand="0" w:noVBand="1"/>
      </w:tblPr>
      <w:tblGrid>
        <w:gridCol w:w="5159"/>
        <w:gridCol w:w="1301"/>
        <w:gridCol w:w="1301"/>
        <w:gridCol w:w="1301"/>
      </w:tblGrid>
      <w:tr w:rsidR="004A5913" w:rsidRPr="00B17769" w14:paraId="50381C6D"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9" w:type="dxa"/>
          </w:tcPr>
          <w:p w14:paraId="79E9F2D7" w14:textId="77777777" w:rsidR="004A5913" w:rsidRPr="00B17769" w:rsidRDefault="004A5913" w:rsidP="00A87274">
            <w:pPr>
              <w:spacing w:before="0" w:after="0" w:line="276" w:lineRule="auto"/>
              <w:rPr>
                <w:rFonts w:cs="Arial"/>
                <w:sz w:val="20"/>
                <w:szCs w:val="20"/>
              </w:rPr>
            </w:pPr>
          </w:p>
        </w:tc>
        <w:tc>
          <w:tcPr>
            <w:tcW w:w="1301" w:type="dxa"/>
          </w:tcPr>
          <w:p w14:paraId="1F1611D3"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2014.</w:t>
            </w:r>
          </w:p>
        </w:tc>
        <w:tc>
          <w:tcPr>
            <w:tcW w:w="1301" w:type="dxa"/>
          </w:tcPr>
          <w:p w14:paraId="2CB69EE6"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2015.</w:t>
            </w:r>
          </w:p>
        </w:tc>
        <w:tc>
          <w:tcPr>
            <w:tcW w:w="1301" w:type="dxa"/>
          </w:tcPr>
          <w:p w14:paraId="74FAAFD3"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2016.</w:t>
            </w:r>
          </w:p>
        </w:tc>
      </w:tr>
      <w:tr w:rsidR="004A5913" w:rsidRPr="00B17769" w14:paraId="083B08E2"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13A7554C" w14:textId="77777777" w:rsidR="004A5913" w:rsidRPr="00B17769" w:rsidRDefault="004A5913" w:rsidP="00A87274">
            <w:pPr>
              <w:spacing w:before="0" w:after="0" w:line="276" w:lineRule="auto"/>
              <w:rPr>
                <w:rFonts w:cs="Arial"/>
                <w:sz w:val="20"/>
                <w:szCs w:val="20"/>
              </w:rPr>
            </w:pPr>
            <w:r w:rsidRPr="00B17769">
              <w:rPr>
                <w:rFonts w:cs="Arial"/>
                <w:sz w:val="20"/>
                <w:szCs w:val="20"/>
              </w:rPr>
              <w:t>NEPOSREDNA POTROŠNJA ENERGIJE [ktoe]</w:t>
            </w:r>
          </w:p>
        </w:tc>
        <w:tc>
          <w:tcPr>
            <w:tcW w:w="1301" w:type="dxa"/>
            <w:shd w:val="clear" w:color="auto" w:fill="D9D9D9" w:themeFill="background1" w:themeFillShade="D9"/>
          </w:tcPr>
          <w:p w14:paraId="157FF3F8"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6.222,89</w:t>
            </w:r>
          </w:p>
        </w:tc>
        <w:tc>
          <w:tcPr>
            <w:tcW w:w="1301" w:type="dxa"/>
            <w:shd w:val="clear" w:color="auto" w:fill="D9D9D9" w:themeFill="background1" w:themeFillShade="D9"/>
          </w:tcPr>
          <w:p w14:paraId="68BF1CC6"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6.546,29</w:t>
            </w:r>
          </w:p>
        </w:tc>
        <w:tc>
          <w:tcPr>
            <w:tcW w:w="1301" w:type="dxa"/>
            <w:shd w:val="clear" w:color="auto" w:fill="D9D9D9" w:themeFill="background1" w:themeFillShade="D9"/>
          </w:tcPr>
          <w:p w14:paraId="06BFD42A"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6.618,90</w:t>
            </w:r>
          </w:p>
        </w:tc>
      </w:tr>
      <w:tr w:rsidR="004A5913" w:rsidRPr="00B17769" w14:paraId="1A88FB62"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5BD06D5D"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Industrija</w:t>
            </w:r>
          </w:p>
        </w:tc>
        <w:tc>
          <w:tcPr>
            <w:tcW w:w="1301" w:type="dxa"/>
          </w:tcPr>
          <w:p w14:paraId="6600698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970,43</w:t>
            </w:r>
          </w:p>
        </w:tc>
        <w:tc>
          <w:tcPr>
            <w:tcW w:w="1301" w:type="dxa"/>
          </w:tcPr>
          <w:p w14:paraId="38DCD9E6"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965,42</w:t>
            </w:r>
          </w:p>
        </w:tc>
        <w:tc>
          <w:tcPr>
            <w:tcW w:w="1301" w:type="dxa"/>
          </w:tcPr>
          <w:p w14:paraId="0BA02A71"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962,55</w:t>
            </w:r>
          </w:p>
        </w:tc>
      </w:tr>
      <w:tr w:rsidR="004A5913" w:rsidRPr="00B17769" w14:paraId="52826073"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14209946"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Promet</w:t>
            </w:r>
          </w:p>
        </w:tc>
        <w:tc>
          <w:tcPr>
            <w:tcW w:w="1301" w:type="dxa"/>
          </w:tcPr>
          <w:p w14:paraId="41A4CE86"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2.018,96</w:t>
            </w:r>
          </w:p>
        </w:tc>
        <w:tc>
          <w:tcPr>
            <w:tcW w:w="1301" w:type="dxa"/>
          </w:tcPr>
          <w:p w14:paraId="6A93B81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2.110,92</w:t>
            </w:r>
          </w:p>
        </w:tc>
        <w:tc>
          <w:tcPr>
            <w:tcW w:w="1301" w:type="dxa"/>
          </w:tcPr>
          <w:p w14:paraId="4009C975"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2.166,57</w:t>
            </w:r>
          </w:p>
        </w:tc>
      </w:tr>
      <w:tr w:rsidR="004A5913" w:rsidRPr="00B17769" w14:paraId="03509FFA"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6EBAF889"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Kućanstva</w:t>
            </w:r>
          </w:p>
        </w:tc>
        <w:tc>
          <w:tcPr>
            <w:tcW w:w="1301" w:type="dxa"/>
          </w:tcPr>
          <w:p w14:paraId="15DD9B08"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2.233,45</w:t>
            </w:r>
          </w:p>
        </w:tc>
        <w:tc>
          <w:tcPr>
            <w:tcW w:w="1301" w:type="dxa"/>
          </w:tcPr>
          <w:p w14:paraId="71912DBD"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2.425,48</w:t>
            </w:r>
          </w:p>
        </w:tc>
        <w:tc>
          <w:tcPr>
            <w:tcW w:w="1301" w:type="dxa"/>
          </w:tcPr>
          <w:p w14:paraId="69948F76"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2.405,18</w:t>
            </w:r>
          </w:p>
        </w:tc>
      </w:tr>
      <w:tr w:rsidR="004A5913" w:rsidRPr="00B17769" w14:paraId="3384E2DF"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4715E1D5"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Usluge</w:t>
            </w:r>
          </w:p>
        </w:tc>
        <w:tc>
          <w:tcPr>
            <w:tcW w:w="1301" w:type="dxa"/>
          </w:tcPr>
          <w:p w14:paraId="2D858212"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669,01</w:t>
            </w:r>
          </w:p>
        </w:tc>
        <w:tc>
          <w:tcPr>
            <w:tcW w:w="1301" w:type="dxa"/>
          </w:tcPr>
          <w:p w14:paraId="75DBC746"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734,21</w:t>
            </w:r>
          </w:p>
        </w:tc>
        <w:tc>
          <w:tcPr>
            <w:tcW w:w="1301" w:type="dxa"/>
          </w:tcPr>
          <w:p w14:paraId="0B78C75D"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754,51</w:t>
            </w:r>
          </w:p>
        </w:tc>
      </w:tr>
      <w:tr w:rsidR="004A5913" w:rsidRPr="00B17769" w14:paraId="26380341"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0C0065AC"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Poljoprivreda</w:t>
            </w:r>
          </w:p>
        </w:tc>
        <w:tc>
          <w:tcPr>
            <w:tcW w:w="1301" w:type="dxa"/>
          </w:tcPr>
          <w:p w14:paraId="0649371A"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231,68</w:t>
            </w:r>
          </w:p>
        </w:tc>
        <w:tc>
          <w:tcPr>
            <w:tcW w:w="1301" w:type="dxa"/>
          </w:tcPr>
          <w:p w14:paraId="41D39C17"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230,25</w:t>
            </w:r>
          </w:p>
        </w:tc>
        <w:tc>
          <w:tcPr>
            <w:tcW w:w="1301" w:type="dxa"/>
          </w:tcPr>
          <w:p w14:paraId="6E17E84F"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233,59</w:t>
            </w:r>
          </w:p>
        </w:tc>
      </w:tr>
      <w:tr w:rsidR="004A5913" w:rsidRPr="00B17769" w14:paraId="4FDF731F"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4DE1A576"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Građevinarstvo</w:t>
            </w:r>
          </w:p>
        </w:tc>
        <w:tc>
          <w:tcPr>
            <w:tcW w:w="1301" w:type="dxa"/>
          </w:tcPr>
          <w:p w14:paraId="6495795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99,36</w:t>
            </w:r>
          </w:p>
        </w:tc>
        <w:tc>
          <w:tcPr>
            <w:tcW w:w="1301" w:type="dxa"/>
          </w:tcPr>
          <w:p w14:paraId="555C8712"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99,36</w:t>
            </w:r>
          </w:p>
        </w:tc>
        <w:tc>
          <w:tcPr>
            <w:tcW w:w="1301" w:type="dxa"/>
          </w:tcPr>
          <w:p w14:paraId="59B6AB88"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96,73</w:t>
            </w:r>
          </w:p>
        </w:tc>
      </w:tr>
      <w:tr w:rsidR="004A5913" w:rsidRPr="00B17769" w14:paraId="00F03A27"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4A50499F" w14:textId="77777777" w:rsidR="004A5913" w:rsidRPr="00B17769" w:rsidRDefault="004A5913" w:rsidP="00A87274">
            <w:pPr>
              <w:spacing w:before="0" w:after="0" w:line="276" w:lineRule="auto"/>
              <w:ind w:left="22"/>
              <w:rPr>
                <w:rFonts w:cs="Arial"/>
                <w:sz w:val="20"/>
                <w:szCs w:val="20"/>
              </w:rPr>
            </w:pPr>
            <w:r w:rsidRPr="00B17769">
              <w:rPr>
                <w:rFonts w:cs="Arial"/>
                <w:sz w:val="20"/>
                <w:szCs w:val="20"/>
              </w:rPr>
              <w:t>PROSJEK</w:t>
            </w:r>
            <w:r>
              <w:rPr>
                <w:rFonts w:cs="Arial"/>
                <w:sz w:val="20"/>
                <w:szCs w:val="20"/>
              </w:rPr>
              <w:t xml:space="preserve"> </w:t>
            </w:r>
            <w:r w:rsidRPr="00B17769">
              <w:rPr>
                <w:rFonts w:cs="Arial"/>
                <w:sz w:val="20"/>
                <w:szCs w:val="20"/>
              </w:rPr>
              <w:t>[ktoe]</w:t>
            </w:r>
          </w:p>
        </w:tc>
        <w:tc>
          <w:tcPr>
            <w:tcW w:w="3903" w:type="dxa"/>
            <w:gridSpan w:val="3"/>
            <w:shd w:val="clear" w:color="auto" w:fill="D9D9D9" w:themeFill="background1" w:themeFillShade="D9"/>
          </w:tcPr>
          <w:p w14:paraId="05253F0B" w14:textId="77777777" w:rsidR="004A5913" w:rsidRPr="00B17769"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B17769">
              <w:rPr>
                <w:rFonts w:cs="Arial"/>
                <w:b/>
                <w:sz w:val="20"/>
                <w:szCs w:val="20"/>
              </w:rPr>
              <w:t>6.462,69</w:t>
            </w:r>
          </w:p>
        </w:tc>
      </w:tr>
    </w:tbl>
    <w:p w14:paraId="1AF3A3A4" w14:textId="77777777" w:rsidR="004A5913" w:rsidRPr="002F3855" w:rsidRDefault="004A5913" w:rsidP="004A5913">
      <w:pPr>
        <w:pStyle w:val="PointManual1"/>
        <w:spacing w:before="0" w:after="0" w:line="276" w:lineRule="auto"/>
        <w:ind w:left="1701"/>
        <w:rPr>
          <w:rFonts w:ascii="Arial" w:hAnsi="Arial" w:cs="Arial"/>
          <w:noProof/>
          <w:sz w:val="22"/>
        </w:rPr>
      </w:pPr>
    </w:p>
    <w:p w14:paraId="0FD98A46" w14:textId="77777777" w:rsidR="004A5913" w:rsidRPr="00B17769" w:rsidRDefault="004A5913" w:rsidP="004A5913">
      <w:pPr>
        <w:pStyle w:val="PointManual1"/>
        <w:numPr>
          <w:ilvl w:val="0"/>
          <w:numId w:val="97"/>
        </w:numPr>
        <w:spacing w:before="0" w:after="0" w:line="276" w:lineRule="auto"/>
        <w:rPr>
          <w:rFonts w:ascii="Arial" w:hAnsi="Arial" w:cs="Arial"/>
          <w:i/>
          <w:sz w:val="22"/>
        </w:rPr>
      </w:pPr>
      <w:r w:rsidRPr="00B17769">
        <w:rPr>
          <w:rFonts w:ascii="Arial" w:hAnsi="Arial" w:cs="Arial"/>
          <w:i/>
          <w:sz w:val="22"/>
        </w:rPr>
        <w:t>iznos prodane energije upotrijebljene u prometu, koja je isključena iz izračuna [u ktoe]</w:t>
      </w:r>
    </w:p>
    <w:tbl>
      <w:tblPr>
        <w:tblStyle w:val="GridTable1Light"/>
        <w:tblW w:w="0" w:type="auto"/>
        <w:tblLook w:val="04A0" w:firstRow="1" w:lastRow="0" w:firstColumn="1" w:lastColumn="0" w:noHBand="0" w:noVBand="1"/>
      </w:tblPr>
      <w:tblGrid>
        <w:gridCol w:w="5159"/>
        <w:gridCol w:w="1301"/>
        <w:gridCol w:w="1301"/>
        <w:gridCol w:w="1301"/>
      </w:tblGrid>
      <w:tr w:rsidR="004A5913" w:rsidRPr="00B17769" w14:paraId="105B1CCB"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9" w:type="dxa"/>
          </w:tcPr>
          <w:p w14:paraId="279A472E" w14:textId="77777777" w:rsidR="004A5913" w:rsidRPr="00B17769" w:rsidRDefault="004A5913" w:rsidP="00A87274">
            <w:pPr>
              <w:spacing w:before="0" w:after="0" w:line="276" w:lineRule="auto"/>
              <w:rPr>
                <w:rFonts w:cs="Arial"/>
                <w:sz w:val="20"/>
                <w:szCs w:val="20"/>
              </w:rPr>
            </w:pPr>
          </w:p>
        </w:tc>
        <w:tc>
          <w:tcPr>
            <w:tcW w:w="1301" w:type="dxa"/>
          </w:tcPr>
          <w:p w14:paraId="64A98431"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2014.</w:t>
            </w:r>
          </w:p>
        </w:tc>
        <w:tc>
          <w:tcPr>
            <w:tcW w:w="1301" w:type="dxa"/>
          </w:tcPr>
          <w:p w14:paraId="56413124"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2015.</w:t>
            </w:r>
          </w:p>
        </w:tc>
        <w:tc>
          <w:tcPr>
            <w:tcW w:w="1301" w:type="dxa"/>
          </w:tcPr>
          <w:p w14:paraId="1E071270"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2016.</w:t>
            </w:r>
          </w:p>
        </w:tc>
      </w:tr>
      <w:tr w:rsidR="004A5913" w:rsidRPr="00B17769" w14:paraId="1D566FA3"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126C63E0"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Promet</w:t>
            </w:r>
          </w:p>
        </w:tc>
        <w:tc>
          <w:tcPr>
            <w:tcW w:w="1301" w:type="dxa"/>
          </w:tcPr>
          <w:p w14:paraId="634050D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2.018,96</w:t>
            </w:r>
          </w:p>
        </w:tc>
        <w:tc>
          <w:tcPr>
            <w:tcW w:w="1301" w:type="dxa"/>
          </w:tcPr>
          <w:p w14:paraId="3569C7A8"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2.110,92</w:t>
            </w:r>
          </w:p>
        </w:tc>
        <w:tc>
          <w:tcPr>
            <w:tcW w:w="1301" w:type="dxa"/>
          </w:tcPr>
          <w:p w14:paraId="361D4E6D"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2.166,57</w:t>
            </w:r>
          </w:p>
        </w:tc>
      </w:tr>
      <w:tr w:rsidR="004A5913" w:rsidRPr="00B17769" w14:paraId="7CAE2BC7"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180570FF" w14:textId="77777777" w:rsidR="004A5913" w:rsidRPr="00B17769" w:rsidRDefault="004A5913" w:rsidP="00A87274">
            <w:pPr>
              <w:spacing w:before="0" w:after="0" w:line="276" w:lineRule="auto"/>
              <w:ind w:left="22"/>
              <w:rPr>
                <w:rFonts w:cs="Arial"/>
                <w:sz w:val="20"/>
                <w:szCs w:val="20"/>
              </w:rPr>
            </w:pPr>
            <w:r w:rsidRPr="00B17769">
              <w:rPr>
                <w:rFonts w:cs="Arial"/>
                <w:sz w:val="20"/>
                <w:szCs w:val="20"/>
              </w:rPr>
              <w:t>PROSJEK</w:t>
            </w:r>
            <w:r>
              <w:rPr>
                <w:rFonts w:cs="Arial"/>
                <w:sz w:val="20"/>
                <w:szCs w:val="20"/>
              </w:rPr>
              <w:t xml:space="preserve"> </w:t>
            </w:r>
            <w:r w:rsidRPr="00B17769">
              <w:rPr>
                <w:rFonts w:cs="Arial"/>
                <w:sz w:val="20"/>
                <w:szCs w:val="20"/>
              </w:rPr>
              <w:t>[ktoe]</w:t>
            </w:r>
          </w:p>
        </w:tc>
        <w:tc>
          <w:tcPr>
            <w:tcW w:w="3903" w:type="dxa"/>
            <w:gridSpan w:val="3"/>
            <w:shd w:val="clear" w:color="auto" w:fill="D9D9D9" w:themeFill="background1" w:themeFillShade="D9"/>
          </w:tcPr>
          <w:p w14:paraId="23CCA3A1" w14:textId="77777777" w:rsidR="004A5913" w:rsidRPr="00B17769"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B17769">
              <w:rPr>
                <w:rFonts w:cs="Arial"/>
                <w:b/>
                <w:sz w:val="20"/>
                <w:szCs w:val="20"/>
              </w:rPr>
              <w:t>2.098,82</w:t>
            </w:r>
          </w:p>
        </w:tc>
      </w:tr>
    </w:tbl>
    <w:p w14:paraId="40D27EC2" w14:textId="77777777" w:rsidR="004A5913" w:rsidRPr="002F3855" w:rsidRDefault="004A5913" w:rsidP="004A5913">
      <w:pPr>
        <w:pStyle w:val="PointManual1"/>
        <w:spacing w:before="0" w:after="0" w:line="276" w:lineRule="auto"/>
        <w:ind w:left="1701"/>
        <w:rPr>
          <w:rFonts w:ascii="Arial" w:hAnsi="Arial" w:cs="Arial"/>
          <w:noProof/>
          <w:sz w:val="22"/>
        </w:rPr>
      </w:pPr>
      <w:r w:rsidRPr="002F3855">
        <w:rPr>
          <w:rFonts w:ascii="Arial" w:hAnsi="Arial" w:cs="Arial"/>
          <w:noProof/>
          <w:sz w:val="22"/>
        </w:rPr>
        <w:t xml:space="preserve"> </w:t>
      </w:r>
    </w:p>
    <w:p w14:paraId="6655AFEA" w14:textId="77777777" w:rsidR="004A5913" w:rsidRPr="00B17769" w:rsidRDefault="004A5913" w:rsidP="004A5913">
      <w:pPr>
        <w:pStyle w:val="PointManual1"/>
        <w:numPr>
          <w:ilvl w:val="0"/>
          <w:numId w:val="97"/>
        </w:numPr>
        <w:spacing w:before="0" w:after="0" w:line="276" w:lineRule="auto"/>
        <w:rPr>
          <w:rFonts w:ascii="Arial" w:hAnsi="Arial" w:cs="Arial"/>
          <w:i/>
          <w:sz w:val="22"/>
        </w:rPr>
      </w:pPr>
      <w:r w:rsidRPr="00B17769">
        <w:rPr>
          <w:rFonts w:ascii="Arial" w:hAnsi="Arial" w:cs="Arial"/>
          <w:i/>
          <w:sz w:val="22"/>
        </w:rPr>
        <w:t>iznos energije proizvedene za vlastite potrebe, koja je isključena iz izračuna [u ktoe]</w:t>
      </w:r>
    </w:p>
    <w:tbl>
      <w:tblPr>
        <w:tblStyle w:val="GridTable1Light"/>
        <w:tblW w:w="0" w:type="auto"/>
        <w:tblLook w:val="04A0" w:firstRow="1" w:lastRow="0" w:firstColumn="1" w:lastColumn="0" w:noHBand="0" w:noVBand="1"/>
      </w:tblPr>
      <w:tblGrid>
        <w:gridCol w:w="5159"/>
        <w:gridCol w:w="1301"/>
        <w:gridCol w:w="1301"/>
        <w:gridCol w:w="1301"/>
      </w:tblGrid>
      <w:tr w:rsidR="004A5913" w:rsidRPr="00B17769" w14:paraId="43131028"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9" w:type="dxa"/>
          </w:tcPr>
          <w:p w14:paraId="004AA33E" w14:textId="77777777" w:rsidR="004A5913" w:rsidRPr="00B17769" w:rsidRDefault="004A5913" w:rsidP="00A87274">
            <w:pPr>
              <w:spacing w:before="0" w:after="0" w:line="276" w:lineRule="auto"/>
              <w:rPr>
                <w:rFonts w:cs="Arial"/>
                <w:sz w:val="20"/>
                <w:szCs w:val="20"/>
              </w:rPr>
            </w:pPr>
          </w:p>
        </w:tc>
        <w:tc>
          <w:tcPr>
            <w:tcW w:w="1301" w:type="dxa"/>
          </w:tcPr>
          <w:p w14:paraId="4A651EF8"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2014.</w:t>
            </w:r>
          </w:p>
        </w:tc>
        <w:tc>
          <w:tcPr>
            <w:tcW w:w="1301" w:type="dxa"/>
          </w:tcPr>
          <w:p w14:paraId="2461F8B2"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2015.</w:t>
            </w:r>
          </w:p>
        </w:tc>
        <w:tc>
          <w:tcPr>
            <w:tcW w:w="1301" w:type="dxa"/>
          </w:tcPr>
          <w:p w14:paraId="5D8E9C67"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2016.</w:t>
            </w:r>
          </w:p>
        </w:tc>
      </w:tr>
      <w:tr w:rsidR="004A5913" w:rsidRPr="00B17769" w14:paraId="5E494E84"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4D5FA838" w14:textId="77777777" w:rsidR="004A5913" w:rsidRPr="00B17769" w:rsidRDefault="004A5913" w:rsidP="00A87274">
            <w:pPr>
              <w:spacing w:before="0" w:after="0" w:line="276" w:lineRule="auto"/>
              <w:ind w:left="306"/>
              <w:rPr>
                <w:rFonts w:cs="Arial"/>
                <w:b w:val="0"/>
                <w:sz w:val="20"/>
                <w:szCs w:val="20"/>
              </w:rPr>
            </w:pPr>
            <w:r w:rsidRPr="00B17769">
              <w:rPr>
                <w:rFonts w:cs="Arial"/>
                <w:sz w:val="20"/>
                <w:szCs w:val="20"/>
              </w:rPr>
              <w:t>Obnovljivi izvori energije</w:t>
            </w:r>
          </w:p>
        </w:tc>
        <w:tc>
          <w:tcPr>
            <w:tcW w:w="1301" w:type="dxa"/>
          </w:tcPr>
          <w:p w14:paraId="69C55671"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12,90</w:t>
            </w:r>
          </w:p>
        </w:tc>
        <w:tc>
          <w:tcPr>
            <w:tcW w:w="1301" w:type="dxa"/>
          </w:tcPr>
          <w:p w14:paraId="52920EAE"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14,57</w:t>
            </w:r>
          </w:p>
        </w:tc>
        <w:tc>
          <w:tcPr>
            <w:tcW w:w="1301" w:type="dxa"/>
          </w:tcPr>
          <w:p w14:paraId="484A1D0D"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15,29</w:t>
            </w:r>
          </w:p>
        </w:tc>
      </w:tr>
      <w:tr w:rsidR="004A5913" w:rsidRPr="00B17769" w14:paraId="081EF45B"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3D561324" w14:textId="77777777" w:rsidR="004A5913" w:rsidRPr="00B17769" w:rsidRDefault="004A5913" w:rsidP="00A87274">
            <w:pPr>
              <w:spacing w:before="0" w:after="0" w:line="276" w:lineRule="auto"/>
              <w:ind w:left="22"/>
              <w:rPr>
                <w:rFonts w:cs="Arial"/>
                <w:sz w:val="20"/>
                <w:szCs w:val="20"/>
              </w:rPr>
            </w:pPr>
            <w:r w:rsidRPr="00B17769">
              <w:rPr>
                <w:rFonts w:cs="Arial"/>
                <w:sz w:val="20"/>
                <w:szCs w:val="20"/>
              </w:rPr>
              <w:t>PROSJEK</w:t>
            </w:r>
            <w:r>
              <w:rPr>
                <w:rFonts w:cs="Arial"/>
                <w:sz w:val="20"/>
                <w:szCs w:val="20"/>
              </w:rPr>
              <w:t xml:space="preserve"> </w:t>
            </w:r>
            <w:r w:rsidRPr="00B17769">
              <w:rPr>
                <w:rFonts w:cs="Arial"/>
                <w:sz w:val="20"/>
                <w:szCs w:val="20"/>
              </w:rPr>
              <w:t>[ktoe]</w:t>
            </w:r>
          </w:p>
        </w:tc>
        <w:tc>
          <w:tcPr>
            <w:tcW w:w="3903" w:type="dxa"/>
            <w:gridSpan w:val="3"/>
            <w:shd w:val="clear" w:color="auto" w:fill="D9D9D9" w:themeFill="background1" w:themeFillShade="D9"/>
          </w:tcPr>
          <w:p w14:paraId="2A292937" w14:textId="77777777" w:rsidR="004A5913" w:rsidRPr="00B17769"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B17769">
              <w:rPr>
                <w:rFonts w:cs="Arial"/>
                <w:b/>
                <w:sz w:val="20"/>
                <w:szCs w:val="20"/>
              </w:rPr>
              <w:t>14,25</w:t>
            </w:r>
          </w:p>
        </w:tc>
      </w:tr>
    </w:tbl>
    <w:p w14:paraId="26910494" w14:textId="77777777" w:rsidR="004A5913" w:rsidRPr="002F3855" w:rsidRDefault="004A5913" w:rsidP="004A5913">
      <w:pPr>
        <w:pStyle w:val="PointManual1"/>
        <w:spacing w:before="0" w:after="0" w:line="276" w:lineRule="auto"/>
        <w:ind w:left="1701"/>
        <w:rPr>
          <w:rFonts w:ascii="Arial" w:hAnsi="Arial" w:cs="Arial"/>
          <w:noProof/>
          <w:sz w:val="22"/>
        </w:rPr>
      </w:pPr>
    </w:p>
    <w:p w14:paraId="24695A1D" w14:textId="77777777" w:rsidR="004A5913" w:rsidRDefault="004A5913" w:rsidP="004A5913">
      <w:pPr>
        <w:pStyle w:val="PointManual1"/>
        <w:numPr>
          <w:ilvl w:val="0"/>
          <w:numId w:val="97"/>
        </w:numPr>
        <w:spacing w:before="0" w:after="0" w:line="276" w:lineRule="auto"/>
        <w:rPr>
          <w:rFonts w:ascii="Arial" w:hAnsi="Arial" w:cs="Arial"/>
          <w:i/>
          <w:sz w:val="22"/>
        </w:rPr>
      </w:pPr>
      <w:r w:rsidRPr="00B17769">
        <w:rPr>
          <w:rFonts w:ascii="Arial" w:hAnsi="Arial" w:cs="Arial"/>
          <w:i/>
          <w:sz w:val="22"/>
        </w:rPr>
        <w:t>izvori koji su upotrijebljeni u izračunu podataka o prodanoj energiji, uključujući opravdanje za uporabu alternativnih statističkih izvora i moguće razlike u pogledu izračunatih količina (ako su upotrijebljeni drugi izvori, a ne Eurostat</w:t>
      </w:r>
      <w:r>
        <w:rPr>
          <w:rFonts w:ascii="Arial" w:hAnsi="Arial" w:cs="Arial"/>
          <w:i/>
          <w:sz w:val="22"/>
        </w:rPr>
        <w:t>)</w:t>
      </w:r>
    </w:p>
    <w:p w14:paraId="78B2D4C9" w14:textId="77777777" w:rsidR="004A5913" w:rsidRPr="00B17769" w:rsidRDefault="004A5913" w:rsidP="004A5913">
      <w:pPr>
        <w:pStyle w:val="PointManual1"/>
        <w:spacing w:before="0" w:after="0" w:line="276" w:lineRule="auto"/>
        <w:ind w:left="708" w:firstLine="0"/>
        <w:rPr>
          <w:rFonts w:ascii="Arial" w:hAnsi="Arial" w:cs="Arial"/>
          <w:i/>
          <w:sz w:val="22"/>
        </w:rPr>
      </w:pPr>
    </w:p>
    <w:p w14:paraId="7F9A2371" w14:textId="682A1CB0" w:rsidR="004A5913" w:rsidRDefault="004A5913" w:rsidP="004A5913">
      <w:pPr>
        <w:pStyle w:val="PointManual1"/>
        <w:spacing w:before="0" w:after="0" w:line="276" w:lineRule="auto"/>
        <w:ind w:left="0" w:firstLine="0"/>
        <w:jc w:val="both"/>
        <w:rPr>
          <w:rFonts w:ascii="Arial" w:hAnsi="Arial" w:cs="Arial"/>
          <w:sz w:val="22"/>
        </w:rPr>
      </w:pPr>
      <w:r w:rsidRPr="00B17769">
        <w:rPr>
          <w:rFonts w:ascii="Arial" w:hAnsi="Arial" w:cs="Arial"/>
          <w:sz w:val="22"/>
        </w:rPr>
        <w:t>Gore navedeni podatci preuzeti su iz godišnjih energetsk</w:t>
      </w:r>
      <w:r>
        <w:rPr>
          <w:rFonts w:ascii="Arial" w:hAnsi="Arial" w:cs="Arial"/>
          <w:sz w:val="22"/>
        </w:rPr>
        <w:t>ih izvješća</w:t>
      </w:r>
      <w:r w:rsidRPr="00B17769">
        <w:rPr>
          <w:rFonts w:ascii="Arial" w:hAnsi="Arial" w:cs="Arial"/>
          <w:sz w:val="22"/>
        </w:rPr>
        <w:t xml:space="preserve"> „Energija u Hrvatskoj“</w:t>
      </w:r>
      <w:r>
        <w:rPr>
          <w:rFonts w:ascii="Arial" w:hAnsi="Arial" w:cs="Arial"/>
          <w:sz w:val="22"/>
        </w:rPr>
        <w:t xml:space="preserve"> za godine 2014., 2015. i 2016. Izvješća, između ostaloga, sadrže energetske bilance izrađene prema EUROSTAT metodologiji. Sva izvješća dostupna su na mrežnoj stranici Ministarstva zaštite okoliša i energetike: </w:t>
      </w:r>
      <w:hyperlink r:id="rId81" w:history="1">
        <w:r w:rsidRPr="0006034D">
          <w:rPr>
            <w:rStyle w:val="Hyperlink"/>
            <w:rFonts w:ascii="Arial" w:hAnsi="Arial" w:cs="Arial"/>
            <w:sz w:val="22"/>
          </w:rPr>
          <w:t>https://mzoe.hr/hr/energetika/energetska-politika-i-planiranje.html</w:t>
        </w:r>
      </w:hyperlink>
      <w:r>
        <w:rPr>
          <w:rFonts w:ascii="Arial" w:hAnsi="Arial" w:cs="Arial"/>
          <w:sz w:val="22"/>
        </w:rPr>
        <w:t xml:space="preserve"> </w:t>
      </w:r>
    </w:p>
    <w:p w14:paraId="574EB324" w14:textId="77777777" w:rsidR="004A5913" w:rsidRPr="002F3855" w:rsidRDefault="004A5913" w:rsidP="004A5913">
      <w:pPr>
        <w:pStyle w:val="PointManual1"/>
        <w:spacing w:before="0" w:after="0" w:line="276" w:lineRule="auto"/>
        <w:ind w:left="0" w:firstLine="0"/>
        <w:rPr>
          <w:rFonts w:ascii="Arial" w:hAnsi="Arial" w:cs="Arial"/>
          <w:sz w:val="22"/>
        </w:rPr>
      </w:pPr>
    </w:p>
    <w:p w14:paraId="013B471F" w14:textId="77777777" w:rsidR="004A5913" w:rsidRPr="00A548FF" w:rsidRDefault="004A5913" w:rsidP="004A5913">
      <w:pPr>
        <w:pStyle w:val="PointManual1"/>
        <w:numPr>
          <w:ilvl w:val="0"/>
          <w:numId w:val="97"/>
        </w:numPr>
        <w:spacing w:before="0" w:after="0" w:line="276" w:lineRule="auto"/>
        <w:rPr>
          <w:rFonts w:ascii="Arial" w:hAnsi="Arial" w:cs="Arial"/>
          <w:i/>
          <w:sz w:val="22"/>
        </w:rPr>
      </w:pPr>
      <w:r w:rsidRPr="00A548FF">
        <w:rPr>
          <w:rFonts w:ascii="Arial" w:hAnsi="Arial" w:cs="Arial"/>
          <w:i/>
          <w:sz w:val="22"/>
        </w:rPr>
        <w:t>kumulativni iznos uštede energije koju treba ostvariti tijekom čitavog razdoblja od 1. siječnja 2021. do 31. prosinca 2030. (prije izuzeća pod stavkom 2 ) [u ktoe]</w:t>
      </w:r>
    </w:p>
    <w:tbl>
      <w:tblPr>
        <w:tblStyle w:val="GridTable1Light"/>
        <w:tblW w:w="5000" w:type="pct"/>
        <w:tblLook w:val="04A0" w:firstRow="1" w:lastRow="0" w:firstColumn="1" w:lastColumn="0" w:noHBand="0" w:noVBand="1"/>
      </w:tblPr>
      <w:tblGrid>
        <w:gridCol w:w="1184"/>
        <w:gridCol w:w="721"/>
        <w:gridCol w:w="683"/>
        <w:gridCol w:w="683"/>
        <w:gridCol w:w="683"/>
        <w:gridCol w:w="683"/>
        <w:gridCol w:w="683"/>
        <w:gridCol w:w="683"/>
        <w:gridCol w:w="683"/>
        <w:gridCol w:w="683"/>
        <w:gridCol w:w="691"/>
        <w:gridCol w:w="1002"/>
      </w:tblGrid>
      <w:tr w:rsidR="004A5913" w:rsidRPr="0052533D" w14:paraId="046B3FE7"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pct"/>
            <w:gridSpan w:val="11"/>
            <w:vAlign w:val="center"/>
          </w:tcPr>
          <w:p w14:paraId="5A2417F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Osnova za izračun cilja (a)-(b)-(c) [ktoe]</w:t>
            </w:r>
          </w:p>
        </w:tc>
        <w:tc>
          <w:tcPr>
            <w:tcW w:w="554" w:type="pct"/>
            <w:vAlign w:val="center"/>
          </w:tcPr>
          <w:p w14:paraId="35B88FA3" w14:textId="77777777" w:rsidR="004A5913" w:rsidRPr="0052533D" w:rsidRDefault="004A5913" w:rsidP="009104E0">
            <w:pPr>
              <w:pStyle w:val="PointManual1"/>
              <w:spacing w:before="0" w:after="0" w:line="276" w:lineRule="auto"/>
              <w:ind w:left="0" w:firstLine="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4.349,62</w:t>
            </w:r>
          </w:p>
        </w:tc>
      </w:tr>
      <w:tr w:rsidR="004A5913" w:rsidRPr="0052533D" w14:paraId="5343AA77" w14:textId="77777777" w:rsidTr="003F7A28">
        <w:tc>
          <w:tcPr>
            <w:cnfStyle w:val="001000000000" w:firstRow="0" w:lastRow="0" w:firstColumn="1" w:lastColumn="0" w:oddVBand="0" w:evenVBand="0" w:oddHBand="0" w:evenHBand="0" w:firstRowFirstColumn="0" w:firstRowLastColumn="0" w:lastRowFirstColumn="0" w:lastRowLastColumn="0"/>
            <w:tcW w:w="653" w:type="pct"/>
            <w:vAlign w:val="center"/>
          </w:tcPr>
          <w:p w14:paraId="217F32AC"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w:t>
            </w:r>
            <w:r w:rsidRPr="0052533D">
              <w:rPr>
                <w:rFonts w:ascii="Arial" w:hAnsi="Arial" w:cs="Arial"/>
                <w:noProof/>
                <w:sz w:val="20"/>
                <w:szCs w:val="20"/>
              </w:rPr>
              <w:t xml:space="preserve"> [ktoe]</w:t>
            </w:r>
          </w:p>
        </w:tc>
        <w:tc>
          <w:tcPr>
            <w:tcW w:w="397" w:type="pct"/>
            <w:vAlign w:val="center"/>
          </w:tcPr>
          <w:p w14:paraId="27C7BB57" w14:textId="77777777" w:rsidR="004A5913" w:rsidRPr="0052533D" w:rsidRDefault="004A5913" w:rsidP="009104E0">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346ABDB1"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7DFBF4E8"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45EF5EAB"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0B0F9FAA"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716CF28E"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7BA21B75"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15044AAC"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60B16300"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81" w:type="pct"/>
            <w:vAlign w:val="center"/>
          </w:tcPr>
          <w:p w14:paraId="102FF1E3"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554" w:type="pct"/>
            <w:vAlign w:val="center"/>
          </w:tcPr>
          <w:p w14:paraId="1A5F40BF"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4A5913" w:rsidRPr="0052533D" w14:paraId="5FDCA07F"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5EF7138"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2021</w:t>
            </w:r>
          </w:p>
        </w:tc>
        <w:tc>
          <w:tcPr>
            <w:tcW w:w="397" w:type="pct"/>
          </w:tcPr>
          <w:p w14:paraId="2DD750F4"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84971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49F215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7CF8B2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019608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389A132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09DEC59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42502C8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8C9AA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0BA9B62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08BD43B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r>
      <w:tr w:rsidR="004A5913" w:rsidRPr="0052533D" w14:paraId="75014C6C"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2E060520"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2022</w:t>
            </w:r>
          </w:p>
        </w:tc>
        <w:tc>
          <w:tcPr>
            <w:tcW w:w="397" w:type="pct"/>
          </w:tcPr>
          <w:p w14:paraId="37FF6010"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5B150B9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5169BE0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0AAD74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5125B8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C4DE02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29CDBA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6A4A64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58D077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1E63D66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7725823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69,59</w:t>
            </w:r>
          </w:p>
        </w:tc>
      </w:tr>
      <w:tr w:rsidR="004A5913" w:rsidRPr="0052533D" w14:paraId="312DB339"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DDDC05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2023</w:t>
            </w:r>
          </w:p>
        </w:tc>
        <w:tc>
          <w:tcPr>
            <w:tcW w:w="397" w:type="pct"/>
          </w:tcPr>
          <w:p w14:paraId="4F28EC93"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0089FD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15E9C0A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39142C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36BC94C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BA47C1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03A855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019E03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4BBBDC8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0107D72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24D597C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104,39</w:t>
            </w:r>
          </w:p>
        </w:tc>
      </w:tr>
      <w:tr w:rsidR="004A5913" w:rsidRPr="0052533D" w14:paraId="2FC5B5ED"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1415A93"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2024</w:t>
            </w:r>
          </w:p>
        </w:tc>
        <w:tc>
          <w:tcPr>
            <w:tcW w:w="397" w:type="pct"/>
          </w:tcPr>
          <w:p w14:paraId="033C98D4"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6BFA98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1D74F7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C10C4F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2A61738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798D6D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3D76815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064CF06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0AF545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71428A6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20C48F9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139,19</w:t>
            </w:r>
          </w:p>
        </w:tc>
      </w:tr>
      <w:tr w:rsidR="004A5913" w:rsidRPr="0052533D" w14:paraId="33B74241"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EE11AAA"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2025</w:t>
            </w:r>
          </w:p>
        </w:tc>
        <w:tc>
          <w:tcPr>
            <w:tcW w:w="397" w:type="pct"/>
          </w:tcPr>
          <w:p w14:paraId="2CC8D63B"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2FCF738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4907AB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5C12C9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0ED8F38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40344F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C79265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4EC0F8C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C14B90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220BB12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35986DC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173,98</w:t>
            </w:r>
          </w:p>
        </w:tc>
      </w:tr>
      <w:tr w:rsidR="004A5913" w:rsidRPr="0052533D" w14:paraId="16CF18DF"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187599D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2026</w:t>
            </w:r>
          </w:p>
        </w:tc>
        <w:tc>
          <w:tcPr>
            <w:tcW w:w="397" w:type="pct"/>
          </w:tcPr>
          <w:p w14:paraId="729BD253"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5EE0B8B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6E1AC9A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14B6D39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4E07CC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320DE1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EF466A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113EAB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44204F9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269A16E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006DFEA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208,78</w:t>
            </w:r>
          </w:p>
        </w:tc>
      </w:tr>
      <w:tr w:rsidR="004A5913" w:rsidRPr="0052533D" w14:paraId="4E5DDCEE"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21F9F270"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2027</w:t>
            </w:r>
          </w:p>
        </w:tc>
        <w:tc>
          <w:tcPr>
            <w:tcW w:w="397" w:type="pct"/>
          </w:tcPr>
          <w:p w14:paraId="0CD68659"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1CECC36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2106DE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0B54998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791F1E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4FB324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3C44FB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4D33FB3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E39936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61D873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47DEEE0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243,58</w:t>
            </w:r>
          </w:p>
        </w:tc>
      </w:tr>
      <w:tr w:rsidR="004A5913" w:rsidRPr="0052533D" w14:paraId="218F1927"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01F16943"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2028</w:t>
            </w:r>
          </w:p>
        </w:tc>
        <w:tc>
          <w:tcPr>
            <w:tcW w:w="397" w:type="pct"/>
          </w:tcPr>
          <w:p w14:paraId="255FD7CE"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68E6B09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512390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57235C2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0293E38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E8C2F7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6306EE3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1BEE4F2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205EB54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6C5E1EA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71CB5BD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278,38</w:t>
            </w:r>
          </w:p>
        </w:tc>
      </w:tr>
      <w:tr w:rsidR="004A5913" w:rsidRPr="0052533D" w14:paraId="13A556FD"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09C4C31D"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2029</w:t>
            </w:r>
          </w:p>
        </w:tc>
        <w:tc>
          <w:tcPr>
            <w:tcW w:w="397" w:type="pct"/>
          </w:tcPr>
          <w:p w14:paraId="5C7DF01F"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6671C52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5A4641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EA0D62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B4412B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D8F0F8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454BE6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218A2E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62F122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81" w:type="pct"/>
          </w:tcPr>
          <w:p w14:paraId="46D9051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4" w:type="pct"/>
          </w:tcPr>
          <w:p w14:paraId="0EA60F4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313,17</w:t>
            </w:r>
          </w:p>
        </w:tc>
      </w:tr>
      <w:tr w:rsidR="004A5913" w:rsidRPr="0052533D" w14:paraId="49368F4A"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906D7DD"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2030</w:t>
            </w:r>
          </w:p>
        </w:tc>
        <w:tc>
          <w:tcPr>
            <w:tcW w:w="397" w:type="pct"/>
          </w:tcPr>
          <w:p w14:paraId="26941CB8"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1B1E73B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A4B230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2F8AB52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77557B0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255E9DA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9D2FA4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6DD8D4E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77" w:type="pct"/>
          </w:tcPr>
          <w:p w14:paraId="326D857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381" w:type="pct"/>
          </w:tcPr>
          <w:p w14:paraId="2EA588A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34,80</w:t>
            </w:r>
          </w:p>
        </w:tc>
        <w:tc>
          <w:tcPr>
            <w:tcW w:w="554" w:type="pct"/>
          </w:tcPr>
          <w:p w14:paraId="1F77925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52533D">
              <w:rPr>
                <w:rFonts w:ascii="Arial" w:hAnsi="Arial" w:cs="Arial"/>
                <w:sz w:val="18"/>
                <w:szCs w:val="18"/>
              </w:rPr>
              <w:t>347,97</w:t>
            </w:r>
          </w:p>
        </w:tc>
      </w:tr>
      <w:tr w:rsidR="004A5913" w:rsidRPr="0052533D" w14:paraId="4696A4CD" w14:textId="77777777" w:rsidTr="003F7A28">
        <w:tc>
          <w:tcPr>
            <w:cnfStyle w:val="001000000000" w:firstRow="0" w:lastRow="0" w:firstColumn="1" w:lastColumn="0" w:oddVBand="0" w:evenVBand="0" w:oddHBand="0" w:evenHBand="0" w:firstRowFirstColumn="0" w:firstRowLastColumn="0" w:lastRowFirstColumn="0" w:lastRowLastColumn="0"/>
            <w:tcW w:w="4446" w:type="pct"/>
            <w:gridSpan w:val="11"/>
          </w:tcPr>
          <w:p w14:paraId="4D23E8BE"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[ktoe]</w:t>
            </w:r>
          </w:p>
        </w:tc>
        <w:tc>
          <w:tcPr>
            <w:tcW w:w="554" w:type="pct"/>
          </w:tcPr>
          <w:p w14:paraId="75A49936"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52533D">
              <w:rPr>
                <w:rFonts w:cs="Arial"/>
                <w:b/>
                <w:noProof/>
                <w:color w:val="000000"/>
                <w:sz w:val="20"/>
                <w:szCs w:val="20"/>
              </w:rPr>
              <w:t>1.913,83</w:t>
            </w:r>
          </w:p>
        </w:tc>
      </w:tr>
      <w:tr w:rsidR="004A5913" w:rsidRPr="0052533D" w14:paraId="56532601" w14:textId="77777777" w:rsidTr="003F7A28">
        <w:tc>
          <w:tcPr>
            <w:cnfStyle w:val="001000000000" w:firstRow="0" w:lastRow="0" w:firstColumn="1" w:lastColumn="0" w:oddVBand="0" w:evenVBand="0" w:oddHBand="0" w:evenHBand="0" w:firstRowFirstColumn="0" w:firstRowLastColumn="0" w:lastRowFirstColumn="0" w:lastRowLastColumn="0"/>
            <w:tcW w:w="4446" w:type="pct"/>
            <w:gridSpan w:val="11"/>
          </w:tcPr>
          <w:p w14:paraId="1C3D33CD"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[PJ]</w:t>
            </w:r>
          </w:p>
        </w:tc>
        <w:tc>
          <w:tcPr>
            <w:tcW w:w="554" w:type="pct"/>
          </w:tcPr>
          <w:p w14:paraId="72F90574"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sidRPr="001A0546">
              <w:rPr>
                <w:rFonts w:cs="Arial"/>
                <w:b/>
                <w:noProof/>
                <w:color w:val="000000"/>
                <w:sz w:val="20"/>
                <w:szCs w:val="20"/>
              </w:rPr>
              <w:t>80,13</w:t>
            </w:r>
          </w:p>
        </w:tc>
      </w:tr>
      <w:tr w:rsidR="004A5913" w:rsidRPr="0052533D" w14:paraId="1AA8A21F" w14:textId="77777777" w:rsidTr="003F7A28">
        <w:tc>
          <w:tcPr>
            <w:cnfStyle w:val="001000000000" w:firstRow="0" w:lastRow="0" w:firstColumn="1" w:lastColumn="0" w:oddVBand="0" w:evenVBand="0" w:oddHBand="0" w:evenHBand="0" w:firstRowFirstColumn="0" w:firstRowLastColumn="0" w:lastRowFirstColumn="0" w:lastRowLastColumn="0"/>
            <w:tcW w:w="4446" w:type="pct"/>
            <w:gridSpan w:val="11"/>
          </w:tcPr>
          <w:p w14:paraId="4EE5DFBC"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 [PJ]</w:t>
            </w:r>
          </w:p>
        </w:tc>
        <w:tc>
          <w:tcPr>
            <w:tcW w:w="554" w:type="pct"/>
          </w:tcPr>
          <w:p w14:paraId="63C5144C" w14:textId="77777777" w:rsidR="004A5913" w:rsidRPr="001A054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Pr>
                <w:rFonts w:cs="Arial"/>
                <w:b/>
                <w:noProof/>
                <w:color w:val="000000"/>
                <w:sz w:val="20"/>
                <w:szCs w:val="20"/>
              </w:rPr>
              <w:t>1,46</w:t>
            </w:r>
          </w:p>
        </w:tc>
      </w:tr>
    </w:tbl>
    <w:p w14:paraId="52603210" w14:textId="77777777" w:rsidR="004A5913" w:rsidRPr="002F3855" w:rsidRDefault="004A5913" w:rsidP="004A5913">
      <w:pPr>
        <w:pStyle w:val="PointManual1"/>
        <w:spacing w:before="0" w:after="0" w:line="276" w:lineRule="auto"/>
        <w:ind w:left="1701"/>
        <w:rPr>
          <w:rFonts w:ascii="Arial" w:hAnsi="Arial" w:cs="Arial"/>
          <w:noProof/>
          <w:sz w:val="22"/>
        </w:rPr>
      </w:pPr>
    </w:p>
    <w:p w14:paraId="4F6D6F7F" w14:textId="77777777" w:rsidR="004A5913" w:rsidRPr="00A548FF" w:rsidRDefault="004A5913" w:rsidP="004A5913">
      <w:pPr>
        <w:pStyle w:val="PointManual1"/>
        <w:numPr>
          <w:ilvl w:val="0"/>
          <w:numId w:val="97"/>
        </w:numPr>
        <w:spacing w:before="0" w:after="0" w:line="276" w:lineRule="auto"/>
        <w:rPr>
          <w:rFonts w:ascii="Arial" w:hAnsi="Arial" w:cs="Arial"/>
          <w:i/>
          <w:sz w:val="22"/>
        </w:rPr>
      </w:pPr>
      <w:r w:rsidRPr="00A548FF">
        <w:rPr>
          <w:rFonts w:ascii="Arial" w:hAnsi="Arial" w:cs="Arial"/>
          <w:i/>
          <w:sz w:val="22"/>
        </w:rPr>
        <w:t>primjena izuzeća (b), (c), (d), (e) i (f) iz članka 7. stavaka 2. i 3. Direktive 2012/27/EU:</w:t>
      </w:r>
    </w:p>
    <w:p w14:paraId="345B3341" w14:textId="77777777" w:rsidR="004A5913" w:rsidRDefault="004A5913" w:rsidP="004A5913">
      <w:pPr>
        <w:pStyle w:val="PointManual1"/>
        <w:numPr>
          <w:ilvl w:val="1"/>
          <w:numId w:val="99"/>
        </w:numPr>
        <w:spacing w:before="0" w:after="0" w:line="276" w:lineRule="auto"/>
        <w:rPr>
          <w:rFonts w:ascii="Arial" w:hAnsi="Arial" w:cs="Arial"/>
          <w:i/>
          <w:sz w:val="22"/>
        </w:rPr>
      </w:pPr>
      <w:r w:rsidRPr="00A548FF">
        <w:rPr>
          <w:rFonts w:ascii="Arial" w:hAnsi="Arial" w:cs="Arial"/>
          <w:i/>
          <w:sz w:val="22"/>
        </w:rPr>
        <w:t>iznos prodane energije koja se upotrebljava u industrijskim djelatnostima</w:t>
      </w:r>
      <w:r>
        <w:rPr>
          <w:rFonts w:ascii="Arial" w:hAnsi="Arial" w:cs="Arial"/>
          <w:i/>
          <w:sz w:val="22"/>
        </w:rPr>
        <w:t xml:space="preserve"> </w:t>
      </w:r>
      <w:r w:rsidRPr="00A548FF">
        <w:rPr>
          <w:rFonts w:ascii="Arial" w:hAnsi="Arial" w:cs="Arial"/>
          <w:i/>
          <w:sz w:val="22"/>
        </w:rPr>
        <w:t>[u ktoe] navedenima u Prilogu I. Direktivi 2003/87/EZ, a koja je isključena iz izračuna u skladu s točkom (b)</w:t>
      </w:r>
    </w:p>
    <w:tbl>
      <w:tblPr>
        <w:tblStyle w:val="GridTable1Light"/>
        <w:tblW w:w="0" w:type="auto"/>
        <w:tblLook w:val="04A0" w:firstRow="1" w:lastRow="0" w:firstColumn="1" w:lastColumn="0" w:noHBand="0" w:noVBand="1"/>
      </w:tblPr>
      <w:tblGrid>
        <w:gridCol w:w="5159"/>
        <w:gridCol w:w="1301"/>
        <w:gridCol w:w="1301"/>
        <w:gridCol w:w="1301"/>
      </w:tblGrid>
      <w:tr w:rsidR="004A5913" w:rsidRPr="00B17769" w14:paraId="4B6F959A"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9" w:type="dxa"/>
          </w:tcPr>
          <w:p w14:paraId="29CA0F78" w14:textId="77777777" w:rsidR="004A5913" w:rsidRPr="00B17769" w:rsidRDefault="004A5913" w:rsidP="00A87274">
            <w:pPr>
              <w:spacing w:before="0" w:after="0" w:line="276" w:lineRule="auto"/>
              <w:rPr>
                <w:rFonts w:cs="Arial"/>
                <w:sz w:val="20"/>
                <w:szCs w:val="20"/>
              </w:rPr>
            </w:pPr>
          </w:p>
        </w:tc>
        <w:tc>
          <w:tcPr>
            <w:tcW w:w="1301" w:type="dxa"/>
          </w:tcPr>
          <w:p w14:paraId="47C033AD"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2014.</w:t>
            </w:r>
          </w:p>
        </w:tc>
        <w:tc>
          <w:tcPr>
            <w:tcW w:w="1301" w:type="dxa"/>
          </w:tcPr>
          <w:p w14:paraId="338B5FD2"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2015.</w:t>
            </w:r>
          </w:p>
        </w:tc>
        <w:tc>
          <w:tcPr>
            <w:tcW w:w="1301" w:type="dxa"/>
          </w:tcPr>
          <w:p w14:paraId="04E7CB51"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B17769">
              <w:rPr>
                <w:rFonts w:cs="Arial"/>
                <w:sz w:val="20"/>
                <w:szCs w:val="20"/>
              </w:rPr>
              <w:t>2016.</w:t>
            </w:r>
          </w:p>
        </w:tc>
      </w:tr>
      <w:tr w:rsidR="004A5913" w:rsidRPr="00B17769" w14:paraId="0E28543D" w14:textId="77777777" w:rsidTr="003F7A28">
        <w:tc>
          <w:tcPr>
            <w:cnfStyle w:val="001000000000" w:firstRow="0" w:lastRow="0" w:firstColumn="1" w:lastColumn="0" w:oddVBand="0" w:evenVBand="0" w:oddHBand="0" w:evenHBand="0" w:firstRowFirstColumn="0" w:firstRowLastColumn="0" w:lastRowFirstColumn="0" w:lastRowLastColumn="0"/>
            <w:tcW w:w="5159" w:type="dxa"/>
          </w:tcPr>
          <w:p w14:paraId="12CB111C" w14:textId="77777777" w:rsidR="004A5913" w:rsidRPr="00B17769" w:rsidRDefault="004A5913" w:rsidP="00A87274">
            <w:pPr>
              <w:spacing w:before="0" w:after="0" w:line="276" w:lineRule="auto"/>
              <w:ind w:left="306"/>
              <w:rPr>
                <w:rFonts w:cs="Arial"/>
                <w:b w:val="0"/>
                <w:sz w:val="20"/>
                <w:szCs w:val="20"/>
              </w:rPr>
            </w:pPr>
            <w:r>
              <w:rPr>
                <w:rFonts w:cs="Arial"/>
                <w:b w:val="0"/>
                <w:sz w:val="20"/>
                <w:szCs w:val="20"/>
              </w:rPr>
              <w:t>EU ETS postrojenja</w:t>
            </w:r>
          </w:p>
        </w:tc>
        <w:tc>
          <w:tcPr>
            <w:tcW w:w="1301" w:type="dxa"/>
          </w:tcPr>
          <w:p w14:paraId="135C22AF"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77BEB">
              <w:rPr>
                <w:rFonts w:cs="Arial"/>
                <w:sz w:val="20"/>
                <w:szCs w:val="20"/>
              </w:rPr>
              <w:t>712,79</w:t>
            </w:r>
          </w:p>
        </w:tc>
        <w:tc>
          <w:tcPr>
            <w:tcW w:w="1301" w:type="dxa"/>
          </w:tcPr>
          <w:p w14:paraId="50AB604D"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77BEB">
              <w:rPr>
                <w:rFonts w:cs="Arial"/>
                <w:sz w:val="20"/>
                <w:szCs w:val="20"/>
              </w:rPr>
              <w:t>644,70</w:t>
            </w:r>
          </w:p>
        </w:tc>
        <w:tc>
          <w:tcPr>
            <w:tcW w:w="1301" w:type="dxa"/>
          </w:tcPr>
          <w:p w14:paraId="599A43CF"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77BEB">
              <w:rPr>
                <w:rFonts w:cs="Arial"/>
                <w:sz w:val="20"/>
                <w:szCs w:val="20"/>
              </w:rPr>
              <w:t>703,49</w:t>
            </w:r>
          </w:p>
        </w:tc>
      </w:tr>
      <w:tr w:rsidR="004A5913" w:rsidRPr="00B17769" w14:paraId="3A8E5B83"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3C345B30" w14:textId="77777777" w:rsidR="004A5913" w:rsidRPr="00B17769" w:rsidRDefault="004A5913" w:rsidP="00A87274">
            <w:pPr>
              <w:spacing w:before="0" w:after="0" w:line="276" w:lineRule="auto"/>
              <w:ind w:left="22"/>
              <w:rPr>
                <w:rFonts w:cs="Arial"/>
                <w:sz w:val="20"/>
                <w:szCs w:val="20"/>
              </w:rPr>
            </w:pPr>
            <w:r w:rsidRPr="00B17769">
              <w:rPr>
                <w:rFonts w:cs="Arial"/>
                <w:sz w:val="20"/>
                <w:szCs w:val="20"/>
              </w:rPr>
              <w:t>PROSJEK</w:t>
            </w:r>
            <w:r>
              <w:rPr>
                <w:rFonts w:cs="Arial"/>
                <w:sz w:val="20"/>
                <w:szCs w:val="20"/>
              </w:rPr>
              <w:t xml:space="preserve"> </w:t>
            </w:r>
            <w:r w:rsidRPr="00B17769">
              <w:rPr>
                <w:rFonts w:cs="Arial"/>
                <w:sz w:val="20"/>
                <w:szCs w:val="20"/>
              </w:rPr>
              <w:t>[ktoe]</w:t>
            </w:r>
          </w:p>
        </w:tc>
        <w:tc>
          <w:tcPr>
            <w:tcW w:w="3903" w:type="dxa"/>
            <w:gridSpan w:val="3"/>
            <w:shd w:val="clear" w:color="auto" w:fill="D9D9D9" w:themeFill="background1" w:themeFillShade="D9"/>
          </w:tcPr>
          <w:p w14:paraId="3F9B0EAA" w14:textId="77777777" w:rsidR="004A5913" w:rsidRPr="00B17769"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77BEB">
              <w:rPr>
                <w:rFonts w:cs="Arial"/>
                <w:b/>
                <w:sz w:val="20"/>
                <w:szCs w:val="20"/>
              </w:rPr>
              <w:t>686,99</w:t>
            </w:r>
          </w:p>
        </w:tc>
      </w:tr>
      <w:tr w:rsidR="004A5913" w:rsidRPr="00B17769" w14:paraId="0684ED79" w14:textId="77777777" w:rsidTr="003F7A28">
        <w:tc>
          <w:tcPr>
            <w:cnfStyle w:val="001000000000" w:firstRow="0" w:lastRow="0" w:firstColumn="1" w:lastColumn="0" w:oddVBand="0" w:evenVBand="0" w:oddHBand="0" w:evenHBand="0" w:firstRowFirstColumn="0" w:firstRowLastColumn="0" w:lastRowFirstColumn="0" w:lastRowLastColumn="0"/>
            <w:tcW w:w="5159" w:type="dxa"/>
            <w:shd w:val="clear" w:color="auto" w:fill="D9D9D9" w:themeFill="background1" w:themeFillShade="D9"/>
          </w:tcPr>
          <w:p w14:paraId="02597C92" w14:textId="77777777" w:rsidR="004A5913" w:rsidRPr="00B17769" w:rsidRDefault="004A5913" w:rsidP="00A87274">
            <w:pPr>
              <w:spacing w:before="0" w:after="0" w:line="276" w:lineRule="auto"/>
              <w:ind w:left="22"/>
              <w:rPr>
                <w:rFonts w:cs="Arial"/>
                <w:sz w:val="20"/>
                <w:szCs w:val="20"/>
              </w:rPr>
            </w:pPr>
            <w:r>
              <w:rPr>
                <w:rFonts w:cs="Arial"/>
                <w:sz w:val="20"/>
                <w:szCs w:val="20"/>
              </w:rPr>
              <w:t>Nova osnova za izračun cilja [ktoe]</w:t>
            </w:r>
          </w:p>
        </w:tc>
        <w:tc>
          <w:tcPr>
            <w:tcW w:w="3903" w:type="dxa"/>
            <w:gridSpan w:val="3"/>
            <w:shd w:val="clear" w:color="auto" w:fill="D9D9D9" w:themeFill="background1" w:themeFillShade="D9"/>
          </w:tcPr>
          <w:p w14:paraId="3E0CA78F" w14:textId="77777777" w:rsidR="004A5913" w:rsidRPr="00E77BEB"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77BEB">
              <w:rPr>
                <w:rFonts w:cs="Arial"/>
                <w:b/>
                <w:sz w:val="20"/>
                <w:szCs w:val="20"/>
              </w:rPr>
              <w:t>3.662,63</w:t>
            </w:r>
          </w:p>
        </w:tc>
      </w:tr>
    </w:tbl>
    <w:p w14:paraId="3497013E" w14:textId="77777777" w:rsidR="004A5913" w:rsidRDefault="004A5913" w:rsidP="004A5913">
      <w:pPr>
        <w:pStyle w:val="PointManual1"/>
        <w:spacing w:before="0" w:after="0" w:line="276" w:lineRule="auto"/>
        <w:ind w:left="0" w:firstLine="0"/>
        <w:rPr>
          <w:rFonts w:ascii="Arial" w:hAnsi="Arial" w:cs="Arial"/>
          <w:sz w:val="22"/>
        </w:rPr>
      </w:pPr>
    </w:p>
    <w:p w14:paraId="2017698A" w14:textId="77777777" w:rsidR="004A5913" w:rsidRPr="00E77BEB" w:rsidRDefault="004A5913" w:rsidP="004A5913">
      <w:pPr>
        <w:pStyle w:val="PointManual1"/>
        <w:spacing w:before="0" w:after="0" w:line="276" w:lineRule="auto"/>
        <w:ind w:left="0" w:firstLine="0"/>
        <w:rPr>
          <w:rFonts w:ascii="Arial" w:hAnsi="Arial" w:cs="Arial"/>
          <w:sz w:val="22"/>
        </w:rPr>
      </w:pPr>
      <w:r>
        <w:rPr>
          <w:rFonts w:ascii="Arial" w:hAnsi="Arial" w:cs="Arial"/>
          <w:sz w:val="22"/>
        </w:rPr>
        <w:t xml:space="preserve">Izračun cilja kumulativnih ušteda uz primjenu ovog izuzeća prikazan je u donjoj tablici. </w:t>
      </w:r>
    </w:p>
    <w:tbl>
      <w:tblPr>
        <w:tblStyle w:val="GridTable1Light"/>
        <w:tblW w:w="5000" w:type="pct"/>
        <w:tblLook w:val="04A0" w:firstRow="1" w:lastRow="0" w:firstColumn="1" w:lastColumn="0" w:noHBand="0" w:noVBand="1"/>
      </w:tblPr>
      <w:tblGrid>
        <w:gridCol w:w="1184"/>
        <w:gridCol w:w="722"/>
        <w:gridCol w:w="684"/>
        <w:gridCol w:w="683"/>
        <w:gridCol w:w="683"/>
        <w:gridCol w:w="683"/>
        <w:gridCol w:w="683"/>
        <w:gridCol w:w="683"/>
        <w:gridCol w:w="683"/>
        <w:gridCol w:w="683"/>
        <w:gridCol w:w="691"/>
        <w:gridCol w:w="1000"/>
      </w:tblGrid>
      <w:tr w:rsidR="004A5913" w:rsidRPr="0052533D" w14:paraId="368EC9F0"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pct"/>
            <w:gridSpan w:val="11"/>
            <w:vAlign w:val="center"/>
          </w:tcPr>
          <w:p w14:paraId="3D388795"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Osnova za izračun cilja (a)-(b)-(c) [ktoe]</w:t>
            </w:r>
          </w:p>
        </w:tc>
        <w:tc>
          <w:tcPr>
            <w:tcW w:w="552" w:type="pct"/>
            <w:vAlign w:val="center"/>
          </w:tcPr>
          <w:p w14:paraId="3CB63EAA" w14:textId="77777777" w:rsidR="004A5913" w:rsidRPr="0052533D" w:rsidRDefault="004A5913" w:rsidP="009104E0">
            <w:pPr>
              <w:pStyle w:val="PointManual1"/>
              <w:spacing w:before="0" w:after="0" w:line="276" w:lineRule="auto"/>
              <w:ind w:left="0" w:firstLine="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E77BEB">
              <w:rPr>
                <w:rFonts w:ascii="Arial" w:hAnsi="Arial" w:cs="Arial"/>
                <w:noProof/>
                <w:sz w:val="20"/>
                <w:szCs w:val="20"/>
              </w:rPr>
              <w:t>3.662,63</w:t>
            </w:r>
          </w:p>
        </w:tc>
      </w:tr>
      <w:tr w:rsidR="004A5913" w:rsidRPr="0052533D" w14:paraId="6D42427F" w14:textId="77777777" w:rsidTr="003F7A28">
        <w:tc>
          <w:tcPr>
            <w:cnfStyle w:val="001000000000" w:firstRow="0" w:lastRow="0" w:firstColumn="1" w:lastColumn="0" w:oddVBand="0" w:evenVBand="0" w:oddHBand="0" w:evenHBand="0" w:firstRowFirstColumn="0" w:firstRowLastColumn="0" w:lastRowFirstColumn="0" w:lastRowLastColumn="0"/>
            <w:tcW w:w="653" w:type="pct"/>
            <w:vAlign w:val="center"/>
          </w:tcPr>
          <w:p w14:paraId="1EE5CF4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w:t>
            </w:r>
            <w:r w:rsidRPr="0052533D">
              <w:rPr>
                <w:rFonts w:ascii="Arial" w:hAnsi="Arial" w:cs="Arial"/>
                <w:noProof/>
                <w:sz w:val="20"/>
                <w:szCs w:val="20"/>
              </w:rPr>
              <w:t xml:space="preserve"> [ktoe]</w:t>
            </w:r>
          </w:p>
        </w:tc>
        <w:tc>
          <w:tcPr>
            <w:tcW w:w="398" w:type="pct"/>
            <w:vAlign w:val="center"/>
          </w:tcPr>
          <w:p w14:paraId="714DE7DA" w14:textId="77777777" w:rsidR="004A5913" w:rsidRPr="0052533D" w:rsidRDefault="004A5913" w:rsidP="009104E0">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54C48936"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12D0AF91"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6AEC0412"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7B6521CB"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71CE614E"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1577D138"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30A209C4"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535D756D"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81" w:type="pct"/>
            <w:vAlign w:val="center"/>
          </w:tcPr>
          <w:p w14:paraId="436EAC8A"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552" w:type="pct"/>
            <w:vAlign w:val="center"/>
          </w:tcPr>
          <w:p w14:paraId="07DE1117"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4A5913" w:rsidRPr="0052533D" w14:paraId="45E38137"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21FDE33F"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2021</w:t>
            </w:r>
          </w:p>
        </w:tc>
        <w:tc>
          <w:tcPr>
            <w:tcW w:w="398" w:type="pct"/>
          </w:tcPr>
          <w:p w14:paraId="2403AAF3"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BC1F58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AF63B2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348169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F978D6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41772B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298C45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9B088E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3481F82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7919433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5934490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29,30</w:t>
            </w:r>
          </w:p>
        </w:tc>
      </w:tr>
      <w:tr w:rsidR="004A5913" w:rsidRPr="0052533D" w14:paraId="635C8545"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3E100BC"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2022</w:t>
            </w:r>
          </w:p>
        </w:tc>
        <w:tc>
          <w:tcPr>
            <w:tcW w:w="398" w:type="pct"/>
          </w:tcPr>
          <w:p w14:paraId="29E5F966"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69D945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1651E3F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EA26FE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8AB416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CF9533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03F9C79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06B7DB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6C2D1B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0AF4131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508D9A1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58,60</w:t>
            </w:r>
          </w:p>
        </w:tc>
      </w:tr>
      <w:tr w:rsidR="004A5913" w:rsidRPr="0052533D" w14:paraId="026EE02A"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F719502"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2023</w:t>
            </w:r>
          </w:p>
        </w:tc>
        <w:tc>
          <w:tcPr>
            <w:tcW w:w="398" w:type="pct"/>
          </w:tcPr>
          <w:p w14:paraId="736E71F9"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F174E3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C20C8C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40C3860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7F9D7F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36DF109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68D813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DA2486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5C0B78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7D4E095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35C9312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87,90</w:t>
            </w:r>
          </w:p>
        </w:tc>
      </w:tr>
      <w:tr w:rsidR="004A5913" w:rsidRPr="0052533D" w14:paraId="3BBDBCF4"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729A5391"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2024</w:t>
            </w:r>
          </w:p>
        </w:tc>
        <w:tc>
          <w:tcPr>
            <w:tcW w:w="398" w:type="pct"/>
          </w:tcPr>
          <w:p w14:paraId="2584D73E"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4422FC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A2FBF5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4CCEC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44A4B5F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DE64BA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06F12DF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D7D56F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7C7D18D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662EE06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2F6473D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117,20</w:t>
            </w:r>
          </w:p>
        </w:tc>
      </w:tr>
      <w:tr w:rsidR="004A5913" w:rsidRPr="0052533D" w14:paraId="69476FD4"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7906A40B"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2025</w:t>
            </w:r>
          </w:p>
        </w:tc>
        <w:tc>
          <w:tcPr>
            <w:tcW w:w="398" w:type="pct"/>
          </w:tcPr>
          <w:p w14:paraId="0ED03E2C"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5EDE15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1EAD21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88BD15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6EAEDF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DB8042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1783594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505CDC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AB4B10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30F8099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3694107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146,51</w:t>
            </w:r>
          </w:p>
        </w:tc>
      </w:tr>
      <w:tr w:rsidR="004A5913" w:rsidRPr="0052533D" w14:paraId="337D8F18"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7499FB5E"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2026</w:t>
            </w:r>
          </w:p>
        </w:tc>
        <w:tc>
          <w:tcPr>
            <w:tcW w:w="398" w:type="pct"/>
          </w:tcPr>
          <w:p w14:paraId="524D3FCE"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895A90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081B68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B43213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495F321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410C19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1E0A58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523A67A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25A691F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023B4C1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37E3A6A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175,81</w:t>
            </w:r>
          </w:p>
        </w:tc>
      </w:tr>
      <w:tr w:rsidR="004A5913" w:rsidRPr="0052533D" w14:paraId="7B9DC9B0"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72E75333"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2027</w:t>
            </w:r>
          </w:p>
        </w:tc>
        <w:tc>
          <w:tcPr>
            <w:tcW w:w="398" w:type="pct"/>
          </w:tcPr>
          <w:p w14:paraId="2F6FB04F"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ACB860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1CE10D9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0D30DE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BCA468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A0014B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028735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ADDEB4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77" w:type="pct"/>
          </w:tcPr>
          <w:p w14:paraId="6E97193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35AF55C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227B9F5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205,11</w:t>
            </w:r>
          </w:p>
        </w:tc>
      </w:tr>
      <w:tr w:rsidR="004A5913" w:rsidRPr="0052533D" w14:paraId="7F5E0BB6"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F4F5E65"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2028</w:t>
            </w:r>
          </w:p>
        </w:tc>
        <w:tc>
          <w:tcPr>
            <w:tcW w:w="398" w:type="pct"/>
          </w:tcPr>
          <w:p w14:paraId="52E53377"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DF42FE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BDF6CD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55E5FF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094A95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230B52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1A1CD5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74F635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BA2C73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381" w:type="pct"/>
          </w:tcPr>
          <w:p w14:paraId="1EC05A5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5455EC7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234,41</w:t>
            </w:r>
          </w:p>
        </w:tc>
      </w:tr>
      <w:tr w:rsidR="004A5913" w:rsidRPr="0052533D" w14:paraId="66790354"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55F44DEF"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2029</w:t>
            </w:r>
          </w:p>
        </w:tc>
        <w:tc>
          <w:tcPr>
            <w:tcW w:w="398" w:type="pct"/>
          </w:tcPr>
          <w:p w14:paraId="185EBDBE"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5A1D56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C85814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18BE447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565616E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FB944D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4192599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684219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60983F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81" w:type="pct"/>
          </w:tcPr>
          <w:p w14:paraId="2619242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p>
        </w:tc>
        <w:tc>
          <w:tcPr>
            <w:tcW w:w="552" w:type="pct"/>
            <w:vAlign w:val="center"/>
          </w:tcPr>
          <w:p w14:paraId="2D8BC7B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263,71</w:t>
            </w:r>
          </w:p>
        </w:tc>
      </w:tr>
      <w:tr w:rsidR="004A5913" w:rsidRPr="0052533D" w14:paraId="53D4FD04"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B819D88"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2030</w:t>
            </w:r>
          </w:p>
        </w:tc>
        <w:tc>
          <w:tcPr>
            <w:tcW w:w="398" w:type="pct"/>
          </w:tcPr>
          <w:p w14:paraId="46855973"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4C571F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5B1B46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2D62723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34C4748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6FB85DD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EF54E1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73C260C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77" w:type="pct"/>
          </w:tcPr>
          <w:p w14:paraId="0308E0D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381" w:type="pct"/>
          </w:tcPr>
          <w:p w14:paraId="06A61A2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sz w:val="18"/>
                <w:szCs w:val="18"/>
              </w:rPr>
              <w:t>29</w:t>
            </w:r>
            <w:r w:rsidRPr="0052533D">
              <w:rPr>
                <w:rFonts w:ascii="Arial" w:hAnsi="Arial" w:cs="Arial"/>
                <w:sz w:val="18"/>
                <w:szCs w:val="18"/>
              </w:rPr>
              <w:t>,</w:t>
            </w:r>
            <w:r>
              <w:rPr>
                <w:rFonts w:ascii="Arial" w:hAnsi="Arial" w:cs="Arial"/>
                <w:sz w:val="18"/>
                <w:szCs w:val="18"/>
              </w:rPr>
              <w:t>30</w:t>
            </w:r>
          </w:p>
        </w:tc>
        <w:tc>
          <w:tcPr>
            <w:tcW w:w="552" w:type="pct"/>
            <w:vAlign w:val="center"/>
          </w:tcPr>
          <w:p w14:paraId="2D453A2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Pr>
                <w:rFonts w:ascii="Arial" w:hAnsi="Arial" w:cs="Arial"/>
                <w:color w:val="000000"/>
                <w:sz w:val="18"/>
                <w:szCs w:val="18"/>
              </w:rPr>
              <w:t>293,01</w:t>
            </w:r>
          </w:p>
        </w:tc>
      </w:tr>
      <w:tr w:rsidR="004A5913" w:rsidRPr="0052533D" w14:paraId="6354DD38"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2CFB7402"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[ktoe]</w:t>
            </w:r>
          </w:p>
        </w:tc>
        <w:tc>
          <w:tcPr>
            <w:tcW w:w="552" w:type="pct"/>
          </w:tcPr>
          <w:p w14:paraId="459E41F3"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sidRPr="00E77BEB">
              <w:rPr>
                <w:rFonts w:cs="Arial"/>
                <w:b/>
                <w:noProof/>
                <w:color w:val="000000"/>
                <w:sz w:val="20"/>
                <w:szCs w:val="20"/>
              </w:rPr>
              <w:t>1.611,56</w:t>
            </w:r>
          </w:p>
        </w:tc>
      </w:tr>
      <w:tr w:rsidR="004A5913" w:rsidRPr="0052533D" w14:paraId="5EEEC6A4"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49B7944C"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[PJ]</w:t>
            </w:r>
          </w:p>
        </w:tc>
        <w:tc>
          <w:tcPr>
            <w:tcW w:w="552" w:type="pct"/>
          </w:tcPr>
          <w:p w14:paraId="22C0F11E"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sidRPr="00E77BEB">
              <w:rPr>
                <w:rFonts w:cs="Arial"/>
                <w:b/>
                <w:noProof/>
                <w:color w:val="000000"/>
                <w:sz w:val="20"/>
                <w:szCs w:val="20"/>
              </w:rPr>
              <w:t>67,47</w:t>
            </w:r>
          </w:p>
        </w:tc>
      </w:tr>
      <w:tr w:rsidR="004A5913" w:rsidRPr="0052533D" w14:paraId="32645C25"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09476B02"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 [PJ]</w:t>
            </w:r>
          </w:p>
        </w:tc>
        <w:tc>
          <w:tcPr>
            <w:tcW w:w="552" w:type="pct"/>
          </w:tcPr>
          <w:p w14:paraId="13E0CEA5" w14:textId="77777777" w:rsidR="004A5913" w:rsidRPr="001A054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sidRPr="00E77BEB">
              <w:rPr>
                <w:rFonts w:cs="Arial"/>
                <w:b/>
                <w:noProof/>
                <w:color w:val="000000"/>
                <w:sz w:val="20"/>
                <w:szCs w:val="20"/>
              </w:rPr>
              <w:t>1,23</w:t>
            </w:r>
          </w:p>
        </w:tc>
      </w:tr>
    </w:tbl>
    <w:p w14:paraId="4F2FC6DD" w14:textId="77777777" w:rsidR="004A5913" w:rsidRPr="00A548FF" w:rsidRDefault="004A5913" w:rsidP="004A5913">
      <w:pPr>
        <w:pStyle w:val="PointManual1"/>
        <w:spacing w:before="0" w:after="0" w:line="276" w:lineRule="auto"/>
        <w:ind w:left="0" w:firstLine="0"/>
        <w:rPr>
          <w:rFonts w:ascii="Arial" w:hAnsi="Arial" w:cs="Arial"/>
          <w:i/>
          <w:sz w:val="22"/>
        </w:rPr>
      </w:pPr>
    </w:p>
    <w:p w14:paraId="76ECFACD" w14:textId="77777777" w:rsidR="004A5913" w:rsidRDefault="004A5913" w:rsidP="004A5913">
      <w:pPr>
        <w:pStyle w:val="PointManual1"/>
        <w:numPr>
          <w:ilvl w:val="1"/>
          <w:numId w:val="99"/>
        </w:numPr>
        <w:spacing w:before="0" w:after="0" w:line="276" w:lineRule="auto"/>
        <w:rPr>
          <w:rFonts w:ascii="Arial" w:hAnsi="Arial" w:cs="Arial"/>
          <w:i/>
          <w:sz w:val="22"/>
        </w:rPr>
      </w:pPr>
      <w:r w:rsidRPr="00A548FF">
        <w:rPr>
          <w:rFonts w:ascii="Arial" w:hAnsi="Arial" w:cs="Arial"/>
          <w:i/>
          <w:sz w:val="22"/>
        </w:rPr>
        <w:t>iznos uštede energije [u ktoe] ostvarene u sektorima pretvorbe, distribucije i prijenosa energije u skladu s točkom (c)</w:t>
      </w:r>
    </w:p>
    <w:p w14:paraId="7C5E8799"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Prema ocjeni Hrvatske energetske regulatorne agencije (HERA), temeljem mjera koje su navedene u desetogodišnjim planovima razvoja prijenosne i distribucijske mreže, </w:t>
      </w:r>
      <w:r w:rsidRPr="00537DB0">
        <w:rPr>
          <w:rFonts w:ascii="Arial" w:hAnsi="Arial" w:cs="Arial"/>
          <w:sz w:val="22"/>
        </w:rPr>
        <w:t>potencijal za povećanje energetske učinkovitosti infrastrukture za električnu energiju koji za razdoblje od 2016. do 2025. godine u prosjeku iznosi 51 GWh godišnje za prijenosnu mrežu te 25 GWh godišnje za distribucijsku mrežu</w:t>
      </w:r>
      <w:r>
        <w:rPr>
          <w:rFonts w:ascii="Arial" w:hAnsi="Arial" w:cs="Arial"/>
          <w:sz w:val="22"/>
        </w:rPr>
        <w:t xml:space="preserve">. Uzimajući u obzir da se provedba mjera predviđa </w:t>
      </w:r>
      <w:r w:rsidRPr="00E77BEB">
        <w:rPr>
          <w:rFonts w:ascii="Arial" w:hAnsi="Arial" w:cs="Arial"/>
          <w:sz w:val="22"/>
        </w:rPr>
        <w:t>od 2021. do 20</w:t>
      </w:r>
      <w:r>
        <w:rPr>
          <w:rFonts w:ascii="Arial" w:hAnsi="Arial" w:cs="Arial"/>
          <w:sz w:val="22"/>
        </w:rPr>
        <w:t>25</w:t>
      </w:r>
      <w:r w:rsidRPr="00E77BEB">
        <w:rPr>
          <w:rFonts w:ascii="Arial" w:hAnsi="Arial" w:cs="Arial"/>
          <w:sz w:val="22"/>
        </w:rPr>
        <w:t xml:space="preserve">., očekivani iznos kumulativnih ušteda </w:t>
      </w:r>
      <w:r>
        <w:rPr>
          <w:rFonts w:ascii="Arial" w:hAnsi="Arial" w:cs="Arial"/>
          <w:sz w:val="22"/>
        </w:rPr>
        <w:t xml:space="preserve">u tom razdoblju </w:t>
      </w:r>
      <w:r w:rsidRPr="00E77BEB">
        <w:rPr>
          <w:rFonts w:ascii="Arial" w:hAnsi="Arial" w:cs="Arial"/>
          <w:sz w:val="22"/>
        </w:rPr>
        <w:t xml:space="preserve">je </w:t>
      </w:r>
      <w:r>
        <w:rPr>
          <w:rFonts w:ascii="Arial" w:hAnsi="Arial" w:cs="Arial"/>
          <w:sz w:val="22"/>
        </w:rPr>
        <w:t>1</w:t>
      </w:r>
      <w:r w:rsidRPr="00E77BEB">
        <w:rPr>
          <w:rFonts w:ascii="Arial" w:hAnsi="Arial" w:cs="Arial"/>
          <w:sz w:val="22"/>
        </w:rPr>
        <w:t>.</w:t>
      </w:r>
      <w:r>
        <w:rPr>
          <w:rFonts w:ascii="Arial" w:hAnsi="Arial" w:cs="Arial"/>
          <w:sz w:val="22"/>
        </w:rPr>
        <w:t>140</w:t>
      </w:r>
      <w:r w:rsidRPr="00E77BEB">
        <w:rPr>
          <w:rFonts w:ascii="Arial" w:hAnsi="Arial" w:cs="Arial"/>
          <w:sz w:val="22"/>
        </w:rPr>
        <w:t xml:space="preserve"> GWh odnosno </w:t>
      </w:r>
      <w:r w:rsidRPr="00CC69FD">
        <w:rPr>
          <w:rFonts w:ascii="Arial" w:hAnsi="Arial" w:cs="Arial"/>
          <w:sz w:val="22"/>
        </w:rPr>
        <w:t>98,02 ktoe (4,10 PJ)</w:t>
      </w:r>
      <w:r w:rsidRPr="00E77BEB">
        <w:rPr>
          <w:rFonts w:ascii="Arial" w:hAnsi="Arial" w:cs="Arial"/>
          <w:sz w:val="22"/>
        </w:rPr>
        <w:t>.</w:t>
      </w:r>
      <w:r>
        <w:rPr>
          <w:rFonts w:ascii="Arial" w:hAnsi="Arial" w:cs="Arial"/>
          <w:sz w:val="22"/>
        </w:rPr>
        <w:t xml:space="preserve"> Uz uvažavanje učinka ovih mjera i do 2030. godine, </w:t>
      </w:r>
      <w:r w:rsidRPr="00CC69FD">
        <w:rPr>
          <w:rFonts w:ascii="Arial" w:hAnsi="Arial" w:cs="Arial"/>
          <w:b/>
          <w:sz w:val="22"/>
        </w:rPr>
        <w:t>ukupan iznos kumulativnih ušteda iznosi 3.040 GWh odnosno 261,39 ktoe (10,94 PJ)</w:t>
      </w:r>
      <w:r>
        <w:rPr>
          <w:rFonts w:ascii="Arial" w:hAnsi="Arial" w:cs="Arial"/>
          <w:sz w:val="22"/>
        </w:rPr>
        <w:t>.</w:t>
      </w:r>
    </w:p>
    <w:p w14:paraId="518505F9" w14:textId="77777777" w:rsidR="004A5913" w:rsidRPr="00537DB0" w:rsidRDefault="004A5913" w:rsidP="004A5913">
      <w:pPr>
        <w:pStyle w:val="PointManual1"/>
        <w:spacing w:before="0" w:after="0" w:line="276" w:lineRule="auto"/>
        <w:ind w:left="0" w:firstLine="0"/>
        <w:rPr>
          <w:rFonts w:ascii="Arial" w:hAnsi="Arial" w:cs="Arial"/>
          <w:sz w:val="22"/>
        </w:rPr>
      </w:pPr>
    </w:p>
    <w:p w14:paraId="7742F200" w14:textId="77777777" w:rsidR="004A5913" w:rsidRDefault="004A5913" w:rsidP="004A5913">
      <w:pPr>
        <w:pStyle w:val="PointManual1"/>
        <w:numPr>
          <w:ilvl w:val="1"/>
          <w:numId w:val="99"/>
        </w:numPr>
        <w:spacing w:before="0" w:after="0" w:line="276" w:lineRule="auto"/>
        <w:rPr>
          <w:rFonts w:ascii="Arial" w:hAnsi="Arial" w:cs="Arial"/>
          <w:i/>
          <w:sz w:val="22"/>
        </w:rPr>
      </w:pPr>
      <w:r w:rsidRPr="00A548FF">
        <w:rPr>
          <w:rFonts w:ascii="Arial" w:hAnsi="Arial" w:cs="Arial"/>
          <w:i/>
          <w:sz w:val="22"/>
        </w:rPr>
        <w:t>iznos uštede energije [u ktoe] proizišle iz novih pojedinačnih mjera koje se provode od 31. prosinca 2008. i nastavljaju ostvarivati učinak 2020. i nakon toga i u skladu s točkom (d)</w:t>
      </w:r>
    </w:p>
    <w:p w14:paraId="5E4AF451"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Mjere koje su se u RH započele provoditi na temelju 3. Nacionalnog akcijskog plana za energetsku učinkovitost za razdoblje 2014. do 2016., a koje će s obzirom na svoj životni vijek nastaviti ostvarivati učinak i u razdoblju do 2030. godine su programi energetske obnove zgrada (višestambenih zgrada, obiteljskih kuća, zgrada javnog sektora i komercijalnih zgrada) i javne rasvjete. Životni vijek tih mjera je 20 godina za zgrade odnosno 15 godina za javnu rasvjetu u skladu s Pravilnikom o sustavu za praćenje, mjerenje i verifikaciju ušteda energije. </w:t>
      </w:r>
    </w:p>
    <w:p w14:paraId="7C8BAD40"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Ostvarene uštede iz tih mjera u razdoblju od 2014. do 2016., prema podatcima iz nacrta 4.NAPEnU, kao i kumulativni učinak tih mjera u razdoblju 2021. do 2030. godine prikazuje sljedeća tablica. </w:t>
      </w:r>
    </w:p>
    <w:tbl>
      <w:tblPr>
        <w:tblStyle w:val="GridTable1Light"/>
        <w:tblW w:w="5000" w:type="pct"/>
        <w:tblLook w:val="04A0" w:firstRow="1" w:lastRow="0" w:firstColumn="1" w:lastColumn="0" w:noHBand="0" w:noVBand="1"/>
      </w:tblPr>
      <w:tblGrid>
        <w:gridCol w:w="5383"/>
        <w:gridCol w:w="1843"/>
        <w:gridCol w:w="1836"/>
      </w:tblGrid>
      <w:tr w:rsidR="004A5913" w:rsidRPr="00B17769" w14:paraId="27C8C209"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5826AB0" w14:textId="77777777" w:rsidR="004A5913" w:rsidRPr="00B17769" w:rsidRDefault="004A5913" w:rsidP="00A87274">
            <w:pPr>
              <w:spacing w:before="0" w:after="0" w:line="276" w:lineRule="auto"/>
              <w:rPr>
                <w:rFonts w:cs="Arial"/>
                <w:sz w:val="20"/>
                <w:szCs w:val="20"/>
              </w:rPr>
            </w:pPr>
            <w:r>
              <w:rPr>
                <w:rFonts w:cs="Arial"/>
                <w:sz w:val="20"/>
                <w:szCs w:val="20"/>
              </w:rPr>
              <w:t>Mjera</w:t>
            </w:r>
          </w:p>
        </w:tc>
        <w:tc>
          <w:tcPr>
            <w:tcW w:w="1017" w:type="pct"/>
          </w:tcPr>
          <w:p w14:paraId="47438DEC"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Uštede u razdoblju 2014.-2016. [PJ]</w:t>
            </w:r>
          </w:p>
        </w:tc>
        <w:tc>
          <w:tcPr>
            <w:tcW w:w="1014" w:type="pct"/>
          </w:tcPr>
          <w:p w14:paraId="05A8621E" w14:textId="77777777" w:rsidR="004A5913" w:rsidRPr="00B17769"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Uštede u razdoblju 2014.-2016. [ktoe]</w:t>
            </w:r>
          </w:p>
        </w:tc>
      </w:tr>
      <w:tr w:rsidR="004A5913" w:rsidRPr="00B17769" w14:paraId="0EC9B028"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5BC8A264" w14:textId="77777777" w:rsidR="004A5913" w:rsidRPr="00670EFF" w:rsidRDefault="004A5913" w:rsidP="00A87274">
            <w:pPr>
              <w:spacing w:before="0" w:after="0" w:line="276" w:lineRule="auto"/>
              <w:jc w:val="left"/>
              <w:rPr>
                <w:rFonts w:cs="Arial"/>
                <w:b w:val="0"/>
                <w:sz w:val="20"/>
                <w:szCs w:val="20"/>
              </w:rPr>
            </w:pPr>
            <w:r w:rsidRPr="00670EFF">
              <w:rPr>
                <w:rFonts w:cs="Arial"/>
                <w:b w:val="0"/>
                <w:sz w:val="20"/>
                <w:szCs w:val="20"/>
              </w:rPr>
              <w:t>Program energetske obnove višestambenih zgrada 2014.-2016.</w:t>
            </w:r>
          </w:p>
        </w:tc>
        <w:tc>
          <w:tcPr>
            <w:tcW w:w="1017" w:type="pct"/>
          </w:tcPr>
          <w:p w14:paraId="3B0ACF57"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C0156">
              <w:rPr>
                <w:rFonts w:cs="Arial"/>
                <w:sz w:val="20"/>
                <w:szCs w:val="20"/>
              </w:rPr>
              <w:t>0,1</w:t>
            </w:r>
            <w:r>
              <w:rPr>
                <w:rFonts w:cs="Arial"/>
                <w:sz w:val="20"/>
                <w:szCs w:val="20"/>
              </w:rPr>
              <w:t>5</w:t>
            </w:r>
          </w:p>
        </w:tc>
        <w:tc>
          <w:tcPr>
            <w:tcW w:w="1014" w:type="pct"/>
          </w:tcPr>
          <w:p w14:paraId="28C0FD7F"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70EFF">
              <w:rPr>
                <w:rFonts w:cs="Arial"/>
                <w:sz w:val="20"/>
                <w:szCs w:val="20"/>
              </w:rPr>
              <w:t>3,57</w:t>
            </w:r>
          </w:p>
        </w:tc>
      </w:tr>
      <w:tr w:rsidR="004A5913" w:rsidRPr="00B17769" w14:paraId="6B106CB2"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6A7798CA" w14:textId="77777777" w:rsidR="004A5913" w:rsidRPr="00670EFF" w:rsidRDefault="004A5913" w:rsidP="00A87274">
            <w:pPr>
              <w:spacing w:before="0" w:after="0" w:line="276" w:lineRule="auto"/>
              <w:jc w:val="left"/>
              <w:rPr>
                <w:rFonts w:cs="Arial"/>
                <w:b w:val="0"/>
                <w:sz w:val="20"/>
                <w:szCs w:val="20"/>
              </w:rPr>
            </w:pPr>
            <w:r w:rsidRPr="00670EFF">
              <w:rPr>
                <w:rFonts w:cs="Arial"/>
                <w:b w:val="0"/>
                <w:sz w:val="20"/>
                <w:szCs w:val="20"/>
              </w:rPr>
              <w:t>Program energetske obnove obiteljskih kuća 2014.- 2016.</w:t>
            </w:r>
          </w:p>
        </w:tc>
        <w:tc>
          <w:tcPr>
            <w:tcW w:w="1017" w:type="pct"/>
          </w:tcPr>
          <w:p w14:paraId="092D684F"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C0156">
              <w:rPr>
                <w:rFonts w:cs="Arial"/>
                <w:sz w:val="20"/>
                <w:szCs w:val="20"/>
              </w:rPr>
              <w:t>0,70</w:t>
            </w:r>
          </w:p>
        </w:tc>
        <w:tc>
          <w:tcPr>
            <w:tcW w:w="1014" w:type="pct"/>
          </w:tcPr>
          <w:p w14:paraId="2E0759E5"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70EFF">
              <w:rPr>
                <w:rFonts w:cs="Arial"/>
                <w:sz w:val="20"/>
                <w:szCs w:val="20"/>
              </w:rPr>
              <w:t>16,72</w:t>
            </w:r>
          </w:p>
        </w:tc>
      </w:tr>
      <w:tr w:rsidR="004A5913" w:rsidRPr="00B17769" w14:paraId="4339DFE6"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7026E5F1" w14:textId="77777777" w:rsidR="004A5913" w:rsidRPr="00670EFF" w:rsidRDefault="004A5913" w:rsidP="00A87274">
            <w:pPr>
              <w:spacing w:before="0" w:after="0" w:line="276" w:lineRule="auto"/>
              <w:jc w:val="left"/>
              <w:rPr>
                <w:rFonts w:cs="Arial"/>
                <w:b w:val="0"/>
                <w:sz w:val="20"/>
                <w:szCs w:val="20"/>
              </w:rPr>
            </w:pPr>
            <w:r w:rsidRPr="00670EFF">
              <w:rPr>
                <w:rFonts w:cs="Arial"/>
                <w:b w:val="0"/>
                <w:sz w:val="20"/>
                <w:szCs w:val="20"/>
              </w:rPr>
              <w:t>Program energetske obnove zgrada javnog sektora 2014.-2015.</w:t>
            </w:r>
          </w:p>
        </w:tc>
        <w:tc>
          <w:tcPr>
            <w:tcW w:w="1017" w:type="pct"/>
          </w:tcPr>
          <w:p w14:paraId="1F50435E"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C0156">
              <w:rPr>
                <w:rFonts w:cs="Arial"/>
                <w:sz w:val="20"/>
                <w:szCs w:val="20"/>
              </w:rPr>
              <w:t>0,1</w:t>
            </w:r>
            <w:r>
              <w:rPr>
                <w:rFonts w:cs="Arial"/>
                <w:sz w:val="20"/>
                <w:szCs w:val="20"/>
              </w:rPr>
              <w:t>8</w:t>
            </w:r>
          </w:p>
        </w:tc>
        <w:tc>
          <w:tcPr>
            <w:tcW w:w="1014" w:type="pct"/>
          </w:tcPr>
          <w:p w14:paraId="6535278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70EFF">
              <w:rPr>
                <w:rFonts w:cs="Arial"/>
                <w:sz w:val="20"/>
                <w:szCs w:val="20"/>
              </w:rPr>
              <w:t>4,23</w:t>
            </w:r>
          </w:p>
        </w:tc>
      </w:tr>
      <w:tr w:rsidR="004A5913" w:rsidRPr="00B17769" w14:paraId="6500B485"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1E4F5871" w14:textId="77777777" w:rsidR="004A5913" w:rsidRPr="00670EFF" w:rsidRDefault="004A5913" w:rsidP="00A87274">
            <w:pPr>
              <w:spacing w:before="0" w:after="0" w:line="276" w:lineRule="auto"/>
              <w:jc w:val="left"/>
              <w:rPr>
                <w:rFonts w:cs="Arial"/>
                <w:b w:val="0"/>
                <w:sz w:val="20"/>
                <w:szCs w:val="20"/>
              </w:rPr>
            </w:pPr>
            <w:r w:rsidRPr="00670EFF">
              <w:rPr>
                <w:rFonts w:cs="Arial"/>
                <w:b w:val="0"/>
                <w:sz w:val="20"/>
                <w:szCs w:val="20"/>
              </w:rPr>
              <w:t>Program energetske obnove komercijalnih nestambenih zgrada 2014.-2016.</w:t>
            </w:r>
          </w:p>
        </w:tc>
        <w:tc>
          <w:tcPr>
            <w:tcW w:w="1017" w:type="pct"/>
          </w:tcPr>
          <w:p w14:paraId="6500B161"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C0156">
              <w:rPr>
                <w:rFonts w:cs="Arial"/>
                <w:sz w:val="20"/>
                <w:szCs w:val="20"/>
              </w:rPr>
              <w:t>0,04</w:t>
            </w:r>
          </w:p>
        </w:tc>
        <w:tc>
          <w:tcPr>
            <w:tcW w:w="1014" w:type="pct"/>
          </w:tcPr>
          <w:p w14:paraId="66A1B745"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70EFF">
              <w:rPr>
                <w:rFonts w:cs="Arial"/>
                <w:sz w:val="20"/>
                <w:szCs w:val="20"/>
              </w:rPr>
              <w:t>1,04</w:t>
            </w:r>
          </w:p>
        </w:tc>
      </w:tr>
      <w:tr w:rsidR="004A5913" w:rsidRPr="00B17769" w14:paraId="064BBE9E"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671A4614" w14:textId="77777777" w:rsidR="004A5913" w:rsidRPr="00670EFF" w:rsidRDefault="004A5913" w:rsidP="00A87274">
            <w:pPr>
              <w:spacing w:before="0" w:after="0" w:line="276" w:lineRule="auto"/>
              <w:jc w:val="left"/>
              <w:rPr>
                <w:rFonts w:cs="Arial"/>
                <w:b w:val="0"/>
                <w:sz w:val="20"/>
                <w:szCs w:val="20"/>
              </w:rPr>
            </w:pPr>
            <w:r w:rsidRPr="00670EFF">
              <w:rPr>
                <w:rFonts w:cs="Arial"/>
                <w:b w:val="0"/>
                <w:sz w:val="20"/>
                <w:szCs w:val="20"/>
              </w:rPr>
              <w:t>Program „Energetski učinkovita javna rasvjeta“</w:t>
            </w:r>
          </w:p>
        </w:tc>
        <w:tc>
          <w:tcPr>
            <w:tcW w:w="1017" w:type="pct"/>
          </w:tcPr>
          <w:p w14:paraId="75FF5F74"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EC0156">
              <w:rPr>
                <w:rFonts w:cs="Arial"/>
                <w:sz w:val="20"/>
                <w:szCs w:val="20"/>
              </w:rPr>
              <w:t>0,08</w:t>
            </w:r>
          </w:p>
        </w:tc>
        <w:tc>
          <w:tcPr>
            <w:tcW w:w="1014" w:type="pct"/>
          </w:tcPr>
          <w:p w14:paraId="60FDDE73" w14:textId="77777777" w:rsidR="004A5913" w:rsidRPr="00B17769"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70EFF">
              <w:rPr>
                <w:rFonts w:cs="Arial"/>
                <w:sz w:val="20"/>
                <w:szCs w:val="20"/>
              </w:rPr>
              <w:t>1,95</w:t>
            </w:r>
          </w:p>
        </w:tc>
      </w:tr>
      <w:tr w:rsidR="004A5913" w:rsidRPr="00B17769" w14:paraId="5886B373"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22DC68E6" w14:textId="77777777" w:rsidR="004A5913" w:rsidRPr="00670EFF" w:rsidRDefault="004A5913" w:rsidP="00A87274">
            <w:pPr>
              <w:spacing w:before="0" w:after="0" w:line="276" w:lineRule="auto"/>
              <w:jc w:val="left"/>
              <w:rPr>
                <w:rFonts w:cs="Arial"/>
                <w:sz w:val="20"/>
                <w:szCs w:val="20"/>
              </w:rPr>
            </w:pPr>
            <w:r w:rsidRPr="00670EFF">
              <w:rPr>
                <w:rFonts w:cs="Arial"/>
                <w:sz w:val="20"/>
                <w:szCs w:val="20"/>
              </w:rPr>
              <w:t>UKUPNO</w:t>
            </w:r>
          </w:p>
        </w:tc>
        <w:tc>
          <w:tcPr>
            <w:tcW w:w="1017" w:type="pct"/>
            <w:vAlign w:val="center"/>
          </w:tcPr>
          <w:p w14:paraId="7CB10D8D" w14:textId="77777777" w:rsidR="004A5913" w:rsidRPr="00670EFF"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70EFF">
              <w:rPr>
                <w:rFonts w:cs="Arial"/>
                <w:b/>
                <w:color w:val="000000"/>
                <w:sz w:val="20"/>
                <w:szCs w:val="20"/>
              </w:rPr>
              <w:t>1,15</w:t>
            </w:r>
          </w:p>
        </w:tc>
        <w:tc>
          <w:tcPr>
            <w:tcW w:w="1014" w:type="pct"/>
            <w:vAlign w:val="center"/>
          </w:tcPr>
          <w:p w14:paraId="2F61DDCC" w14:textId="77777777" w:rsidR="004A5913" w:rsidRPr="00670EFF"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70EFF">
              <w:rPr>
                <w:rFonts w:cs="Arial"/>
                <w:b/>
                <w:color w:val="000000"/>
                <w:sz w:val="20"/>
                <w:szCs w:val="20"/>
              </w:rPr>
              <w:t>27,52</w:t>
            </w:r>
          </w:p>
        </w:tc>
      </w:tr>
      <w:tr w:rsidR="004A5913" w:rsidRPr="00B17769" w14:paraId="746AFAB4" w14:textId="77777777" w:rsidTr="003F7A28">
        <w:tc>
          <w:tcPr>
            <w:cnfStyle w:val="001000000000" w:firstRow="0" w:lastRow="0" w:firstColumn="1" w:lastColumn="0" w:oddVBand="0" w:evenVBand="0" w:oddHBand="0" w:evenHBand="0" w:firstRowFirstColumn="0" w:firstRowLastColumn="0" w:lastRowFirstColumn="0" w:lastRowLastColumn="0"/>
            <w:tcW w:w="2970" w:type="pct"/>
          </w:tcPr>
          <w:p w14:paraId="429F2289" w14:textId="77777777" w:rsidR="004A5913" w:rsidRPr="00670EFF" w:rsidRDefault="004A5913" w:rsidP="00A87274">
            <w:pPr>
              <w:spacing w:before="0" w:after="0" w:line="276" w:lineRule="auto"/>
              <w:jc w:val="left"/>
              <w:rPr>
                <w:rFonts w:cs="Arial"/>
                <w:sz w:val="20"/>
                <w:szCs w:val="20"/>
              </w:rPr>
            </w:pPr>
            <w:r>
              <w:rPr>
                <w:rFonts w:cs="Arial"/>
                <w:sz w:val="20"/>
                <w:szCs w:val="20"/>
              </w:rPr>
              <w:t>KUMULATIVNE UŠTEDE U RAZDOBLJU 2021. – 2030.</w:t>
            </w:r>
          </w:p>
        </w:tc>
        <w:tc>
          <w:tcPr>
            <w:tcW w:w="1017" w:type="pct"/>
          </w:tcPr>
          <w:p w14:paraId="6DFCC0DA" w14:textId="77777777" w:rsidR="004A5913" w:rsidRPr="00670EFF"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70EFF">
              <w:rPr>
                <w:rFonts w:cs="Arial"/>
                <w:b/>
                <w:sz w:val="20"/>
                <w:szCs w:val="20"/>
              </w:rPr>
              <w:t>11,52</w:t>
            </w:r>
          </w:p>
        </w:tc>
        <w:tc>
          <w:tcPr>
            <w:tcW w:w="1014" w:type="pct"/>
          </w:tcPr>
          <w:p w14:paraId="147F584B" w14:textId="77777777" w:rsidR="004A5913" w:rsidRPr="00670EFF" w:rsidRDefault="004A5913" w:rsidP="00A87274">
            <w:pPr>
              <w:spacing w:before="0" w:after="0" w:line="276" w:lineRule="auto"/>
              <w:ind w:left="306"/>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670EFF">
              <w:rPr>
                <w:rFonts w:cs="Arial"/>
                <w:b/>
                <w:sz w:val="20"/>
                <w:szCs w:val="20"/>
              </w:rPr>
              <w:t>275,16</w:t>
            </w:r>
          </w:p>
        </w:tc>
      </w:tr>
    </w:tbl>
    <w:p w14:paraId="4720B3D7" w14:textId="77777777" w:rsidR="004A5913" w:rsidRPr="00D729C3" w:rsidRDefault="004A5913" w:rsidP="004A5913">
      <w:pPr>
        <w:pStyle w:val="PointManual1"/>
        <w:spacing w:before="0" w:after="0" w:line="276" w:lineRule="auto"/>
        <w:ind w:left="0" w:firstLine="0"/>
        <w:rPr>
          <w:rFonts w:ascii="Arial" w:hAnsi="Arial" w:cs="Arial"/>
          <w:sz w:val="22"/>
        </w:rPr>
      </w:pPr>
    </w:p>
    <w:p w14:paraId="4CA02109" w14:textId="77777777" w:rsidR="004A5913" w:rsidRDefault="004A5913" w:rsidP="004A5913">
      <w:pPr>
        <w:pStyle w:val="PointManual1"/>
        <w:numPr>
          <w:ilvl w:val="1"/>
          <w:numId w:val="99"/>
        </w:numPr>
        <w:spacing w:before="0" w:after="0" w:line="276" w:lineRule="auto"/>
        <w:rPr>
          <w:rFonts w:ascii="Arial" w:hAnsi="Arial" w:cs="Arial"/>
          <w:i/>
          <w:sz w:val="22"/>
        </w:rPr>
      </w:pPr>
      <w:r w:rsidRPr="00A548FF">
        <w:rPr>
          <w:rFonts w:ascii="Arial" w:hAnsi="Arial" w:cs="Arial"/>
          <w:i/>
          <w:sz w:val="22"/>
        </w:rPr>
        <w:t>iznos uštede energije [u ktoe] iz pojedinačnih mjera poduzetih nakon 1. siječnja 2018. i prije 31. prosinca 2020. kojima se ostvaruju uštede nakon 31. prosinca 2020., uključujući pretpostavljeni životni vijek za svaku kategoriju mjera u skladu s točkom (e)</w:t>
      </w:r>
    </w:p>
    <w:p w14:paraId="36203F9F" w14:textId="77777777" w:rsidR="004A5913" w:rsidRDefault="004A5913" w:rsidP="004A5913">
      <w:pPr>
        <w:pStyle w:val="PointManual1"/>
        <w:spacing w:before="0" w:after="0" w:line="276" w:lineRule="auto"/>
        <w:ind w:left="0" w:firstLine="0"/>
        <w:jc w:val="both"/>
        <w:rPr>
          <w:rFonts w:ascii="Arial" w:hAnsi="Arial" w:cs="Arial"/>
          <w:sz w:val="22"/>
        </w:rPr>
      </w:pPr>
      <w:r w:rsidRPr="00CC69FD">
        <w:rPr>
          <w:rFonts w:ascii="Arial" w:hAnsi="Arial" w:cs="Arial"/>
          <w:sz w:val="22"/>
        </w:rPr>
        <w:t>U RH se nakon siječnja 2018. godine primjenjuje niz mjera energetske učinkovitosti</w:t>
      </w:r>
      <w:r>
        <w:rPr>
          <w:rFonts w:ascii="Arial" w:hAnsi="Arial" w:cs="Arial"/>
          <w:sz w:val="22"/>
        </w:rPr>
        <w:t>. Najintenzivnije se provode programi energetske obnove stambenih i javnih zgrada, uz sufinanciranje iz ESI fondova. Učinci ovih projekata ostvaruju se od 2018. godine te vrijede u cijelom razdoblju do 2030. godine, s obzirom da je životni vijek mjera integralne obnove zgrada 20 godina, sukladno Pravilniku o sustavu za praćenje, mjerenje i verifikaciju ušteda energije. Ocjena kumulativnih ušteda ovih mjera dana je donjoj tablici, a podatci o uštedama su preuzeti iz sljedećih analiza: „</w:t>
      </w:r>
      <w:r w:rsidRPr="00E23AC3">
        <w:rPr>
          <w:rFonts w:ascii="Arial" w:hAnsi="Arial" w:cs="Arial"/>
          <w:i/>
          <w:sz w:val="22"/>
        </w:rPr>
        <w:t>Revizija izračuna pokazatelja rezultata za Specifični cilj 4c2: Smanjenje potrošnje energije u stambenim zgradama (u višestambenim zgradama i obiteljskim kućama) Operativnog programa Konkurentnost i kohezija 2014.-2020.</w:t>
      </w:r>
      <w:r>
        <w:rPr>
          <w:rFonts w:ascii="Arial" w:hAnsi="Arial" w:cs="Arial"/>
          <w:sz w:val="22"/>
        </w:rPr>
        <w:t>“ (MGIPU, srpanj 2017.) i „</w:t>
      </w:r>
      <w:r w:rsidRPr="00E23AC3">
        <w:rPr>
          <w:rFonts w:ascii="Arial" w:hAnsi="Arial" w:cs="Arial"/>
          <w:i/>
          <w:sz w:val="22"/>
        </w:rPr>
        <w:t>Revizija izračuna pokazatelja rezultata za Specifični cilj 4c1: Smanjenje potrošnje energije u zgradama javnog sektora Operativnog programa Konkurentnost i kohezija 2014.-2020.</w:t>
      </w:r>
      <w:r>
        <w:rPr>
          <w:rFonts w:ascii="Arial" w:hAnsi="Arial" w:cs="Arial"/>
          <w:sz w:val="22"/>
        </w:rPr>
        <w:t xml:space="preserve">“(MGIPU, srpanj 2017.), s tim da su uštede iskazane u neposrednoj potrošnji. </w:t>
      </w:r>
    </w:p>
    <w:p w14:paraId="0E357914" w14:textId="77777777" w:rsidR="004A5913" w:rsidRDefault="004A5913" w:rsidP="004A5913">
      <w:pPr>
        <w:pStyle w:val="PointManual1"/>
        <w:spacing w:before="0" w:after="0" w:line="276" w:lineRule="auto"/>
        <w:ind w:left="0" w:firstLine="0"/>
        <w:jc w:val="both"/>
        <w:rPr>
          <w:rFonts w:ascii="Arial" w:hAnsi="Arial" w:cs="Arial"/>
          <w:sz w:val="22"/>
        </w:rPr>
      </w:pPr>
    </w:p>
    <w:tbl>
      <w:tblPr>
        <w:tblStyle w:val="TableGrid1"/>
        <w:tblW w:w="5000" w:type="pct"/>
        <w:tblLook w:val="04A0" w:firstRow="1" w:lastRow="0" w:firstColumn="1" w:lastColumn="0" w:noHBand="0" w:noVBand="1"/>
      </w:tblPr>
      <w:tblGrid>
        <w:gridCol w:w="3024"/>
        <w:gridCol w:w="973"/>
        <w:gridCol w:w="973"/>
        <w:gridCol w:w="973"/>
        <w:gridCol w:w="973"/>
        <w:gridCol w:w="1073"/>
        <w:gridCol w:w="1073"/>
      </w:tblGrid>
      <w:tr w:rsidR="004A5913" w:rsidRPr="00460239" w14:paraId="1957A8B5" w14:textId="77777777" w:rsidTr="00A87274">
        <w:trPr>
          <w:trHeight w:val="300"/>
        </w:trPr>
        <w:tc>
          <w:tcPr>
            <w:tcW w:w="1669" w:type="pct"/>
            <w:shd w:val="clear" w:color="auto" w:fill="auto"/>
            <w:noWrap/>
            <w:hideMark/>
          </w:tcPr>
          <w:p w14:paraId="34729E3A" w14:textId="2E596CFE" w:rsidR="004A5913" w:rsidRPr="00460239" w:rsidRDefault="004A5913" w:rsidP="003F7A28">
            <w:pPr>
              <w:jc w:val="left"/>
              <w:rPr>
                <w:rFonts w:cs="Arial"/>
                <w:sz w:val="18"/>
                <w:szCs w:val="18"/>
              </w:rPr>
            </w:pPr>
            <w:r w:rsidRPr="00460239">
              <w:rPr>
                <w:rFonts w:cs="Arial"/>
                <w:sz w:val="18"/>
                <w:szCs w:val="18"/>
              </w:rPr>
              <w:t>Uštede</w:t>
            </w:r>
            <w:r w:rsidR="00461782">
              <w:rPr>
                <w:rFonts w:cs="Arial"/>
                <w:sz w:val="18"/>
                <w:szCs w:val="18"/>
              </w:rPr>
              <w:t xml:space="preserve"> </w:t>
            </w:r>
            <w:r w:rsidRPr="00460239">
              <w:rPr>
                <w:rFonts w:cs="Arial"/>
                <w:sz w:val="18"/>
                <w:szCs w:val="18"/>
              </w:rPr>
              <w:t>[</w:t>
            </w:r>
            <w:r>
              <w:rPr>
                <w:rFonts w:cs="Arial"/>
                <w:sz w:val="18"/>
                <w:szCs w:val="18"/>
              </w:rPr>
              <w:t>ktoe</w:t>
            </w:r>
            <w:r w:rsidRPr="00460239">
              <w:rPr>
                <w:rFonts w:cs="Arial"/>
                <w:sz w:val="18"/>
                <w:szCs w:val="18"/>
              </w:rPr>
              <w:t>/god] / Godina</w:t>
            </w:r>
          </w:p>
        </w:tc>
        <w:tc>
          <w:tcPr>
            <w:tcW w:w="537" w:type="pct"/>
            <w:shd w:val="clear" w:color="auto" w:fill="auto"/>
            <w:noWrap/>
            <w:hideMark/>
          </w:tcPr>
          <w:p w14:paraId="2C2CE61F" w14:textId="77777777" w:rsidR="004A5913" w:rsidRPr="00460239" w:rsidRDefault="004A5913" w:rsidP="003F7A28">
            <w:pPr>
              <w:jc w:val="left"/>
              <w:rPr>
                <w:rFonts w:cs="Arial"/>
                <w:color w:val="000000"/>
                <w:sz w:val="18"/>
                <w:szCs w:val="18"/>
              </w:rPr>
            </w:pPr>
            <w:r w:rsidRPr="00460239">
              <w:rPr>
                <w:rFonts w:cs="Arial"/>
                <w:color w:val="000000"/>
                <w:sz w:val="18"/>
                <w:szCs w:val="18"/>
              </w:rPr>
              <w:t>2018.</w:t>
            </w:r>
          </w:p>
        </w:tc>
        <w:tc>
          <w:tcPr>
            <w:tcW w:w="537" w:type="pct"/>
            <w:shd w:val="clear" w:color="auto" w:fill="auto"/>
            <w:noWrap/>
            <w:hideMark/>
          </w:tcPr>
          <w:p w14:paraId="5184FEF0" w14:textId="77777777" w:rsidR="004A5913" w:rsidRPr="00460239" w:rsidRDefault="004A5913" w:rsidP="003F7A28">
            <w:pPr>
              <w:jc w:val="left"/>
              <w:rPr>
                <w:rFonts w:cs="Arial"/>
                <w:color w:val="000000"/>
                <w:sz w:val="18"/>
                <w:szCs w:val="18"/>
              </w:rPr>
            </w:pPr>
            <w:r w:rsidRPr="00460239">
              <w:rPr>
                <w:rFonts w:cs="Arial"/>
                <w:color w:val="000000"/>
                <w:sz w:val="18"/>
                <w:szCs w:val="18"/>
              </w:rPr>
              <w:t>2019.</w:t>
            </w:r>
          </w:p>
        </w:tc>
        <w:tc>
          <w:tcPr>
            <w:tcW w:w="537" w:type="pct"/>
            <w:shd w:val="clear" w:color="auto" w:fill="auto"/>
            <w:noWrap/>
            <w:hideMark/>
          </w:tcPr>
          <w:p w14:paraId="7635288F" w14:textId="77777777" w:rsidR="004A5913" w:rsidRPr="00460239" w:rsidRDefault="004A5913" w:rsidP="003F7A28">
            <w:pPr>
              <w:jc w:val="left"/>
              <w:rPr>
                <w:rFonts w:cs="Arial"/>
                <w:color w:val="000000"/>
                <w:sz w:val="18"/>
                <w:szCs w:val="18"/>
              </w:rPr>
            </w:pPr>
            <w:r w:rsidRPr="00460239">
              <w:rPr>
                <w:rFonts w:cs="Arial"/>
                <w:color w:val="000000"/>
                <w:sz w:val="18"/>
                <w:szCs w:val="18"/>
              </w:rPr>
              <w:t>2020.</w:t>
            </w:r>
          </w:p>
        </w:tc>
        <w:tc>
          <w:tcPr>
            <w:tcW w:w="537" w:type="pct"/>
            <w:shd w:val="clear" w:color="auto" w:fill="auto"/>
            <w:noWrap/>
            <w:hideMark/>
          </w:tcPr>
          <w:p w14:paraId="7061DAF3" w14:textId="77777777" w:rsidR="004A5913" w:rsidRPr="00460239" w:rsidRDefault="004A5913" w:rsidP="003F7A28">
            <w:pPr>
              <w:jc w:val="left"/>
              <w:rPr>
                <w:rFonts w:cs="Arial"/>
                <w:color w:val="000000"/>
                <w:sz w:val="18"/>
                <w:szCs w:val="18"/>
              </w:rPr>
            </w:pPr>
            <w:r w:rsidRPr="00460239">
              <w:rPr>
                <w:rFonts w:cs="Arial"/>
                <w:color w:val="000000"/>
                <w:sz w:val="18"/>
                <w:szCs w:val="18"/>
              </w:rPr>
              <w:t>2021.</w:t>
            </w:r>
          </w:p>
        </w:tc>
        <w:tc>
          <w:tcPr>
            <w:tcW w:w="592" w:type="pct"/>
            <w:shd w:val="clear" w:color="auto" w:fill="auto"/>
            <w:noWrap/>
            <w:hideMark/>
          </w:tcPr>
          <w:p w14:paraId="751996C8" w14:textId="77777777" w:rsidR="004A5913" w:rsidRPr="00460239" w:rsidRDefault="004A5913" w:rsidP="003F7A28">
            <w:pPr>
              <w:jc w:val="left"/>
              <w:rPr>
                <w:rFonts w:cs="Arial"/>
                <w:color w:val="000000"/>
                <w:sz w:val="18"/>
                <w:szCs w:val="18"/>
              </w:rPr>
            </w:pPr>
            <w:r w:rsidRPr="00460239">
              <w:rPr>
                <w:rFonts w:cs="Arial"/>
                <w:color w:val="000000"/>
                <w:sz w:val="18"/>
                <w:szCs w:val="18"/>
              </w:rPr>
              <w:t>2022.</w:t>
            </w:r>
          </w:p>
        </w:tc>
        <w:tc>
          <w:tcPr>
            <w:tcW w:w="592" w:type="pct"/>
            <w:shd w:val="clear" w:color="auto" w:fill="auto"/>
            <w:noWrap/>
            <w:hideMark/>
          </w:tcPr>
          <w:p w14:paraId="71BA7642" w14:textId="77777777" w:rsidR="004A5913" w:rsidRPr="00460239" w:rsidRDefault="004A5913" w:rsidP="003F7A28">
            <w:pPr>
              <w:jc w:val="left"/>
              <w:rPr>
                <w:rFonts w:cs="Arial"/>
                <w:color w:val="000000"/>
                <w:sz w:val="18"/>
                <w:szCs w:val="18"/>
              </w:rPr>
            </w:pPr>
            <w:r w:rsidRPr="00460239">
              <w:rPr>
                <w:rFonts w:cs="Arial"/>
                <w:color w:val="000000"/>
                <w:sz w:val="18"/>
                <w:szCs w:val="18"/>
              </w:rPr>
              <w:t>2023.</w:t>
            </w:r>
          </w:p>
        </w:tc>
      </w:tr>
      <w:tr w:rsidR="004A5913" w:rsidRPr="00460239" w14:paraId="7131A54F" w14:textId="77777777" w:rsidTr="00A87274">
        <w:trPr>
          <w:trHeight w:val="300"/>
        </w:trPr>
        <w:tc>
          <w:tcPr>
            <w:tcW w:w="1669" w:type="pct"/>
            <w:shd w:val="clear" w:color="auto" w:fill="auto"/>
            <w:noWrap/>
            <w:hideMark/>
          </w:tcPr>
          <w:p w14:paraId="52EFDC6D" w14:textId="77777777" w:rsidR="004A5913" w:rsidRPr="00460239" w:rsidRDefault="004A5913" w:rsidP="003F7A28">
            <w:pPr>
              <w:jc w:val="left"/>
              <w:rPr>
                <w:rFonts w:cs="Arial"/>
                <w:color w:val="000000"/>
                <w:sz w:val="18"/>
                <w:szCs w:val="18"/>
              </w:rPr>
            </w:pPr>
            <w:r w:rsidRPr="00460239">
              <w:rPr>
                <w:rFonts w:cs="Arial"/>
                <w:color w:val="000000"/>
                <w:sz w:val="18"/>
                <w:szCs w:val="18"/>
              </w:rPr>
              <w:t>Uštede u VSZ po prvom Pozivu</w:t>
            </w:r>
          </w:p>
        </w:tc>
        <w:tc>
          <w:tcPr>
            <w:tcW w:w="537" w:type="pct"/>
            <w:shd w:val="clear" w:color="auto" w:fill="auto"/>
            <w:noWrap/>
            <w:hideMark/>
          </w:tcPr>
          <w:p w14:paraId="56E83609"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c>
          <w:tcPr>
            <w:tcW w:w="537" w:type="pct"/>
            <w:shd w:val="clear" w:color="auto" w:fill="auto"/>
            <w:noWrap/>
            <w:hideMark/>
          </w:tcPr>
          <w:p w14:paraId="256DDB73"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c>
          <w:tcPr>
            <w:tcW w:w="537" w:type="pct"/>
            <w:shd w:val="clear" w:color="auto" w:fill="auto"/>
            <w:noWrap/>
            <w:hideMark/>
          </w:tcPr>
          <w:p w14:paraId="02889F00"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c>
          <w:tcPr>
            <w:tcW w:w="537" w:type="pct"/>
            <w:shd w:val="clear" w:color="auto" w:fill="auto"/>
            <w:noWrap/>
            <w:hideMark/>
          </w:tcPr>
          <w:p w14:paraId="4E487CC5"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c>
          <w:tcPr>
            <w:tcW w:w="592" w:type="pct"/>
            <w:shd w:val="clear" w:color="auto" w:fill="auto"/>
            <w:noWrap/>
            <w:hideMark/>
          </w:tcPr>
          <w:p w14:paraId="4DE76D21"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c>
          <w:tcPr>
            <w:tcW w:w="592" w:type="pct"/>
            <w:shd w:val="clear" w:color="auto" w:fill="auto"/>
            <w:noWrap/>
            <w:hideMark/>
          </w:tcPr>
          <w:p w14:paraId="42527A7B"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53,26</w:t>
            </w:r>
          </w:p>
        </w:tc>
      </w:tr>
      <w:tr w:rsidR="004A5913" w:rsidRPr="00460239" w14:paraId="159EC5E6" w14:textId="77777777" w:rsidTr="00A87274">
        <w:trPr>
          <w:trHeight w:val="300"/>
        </w:trPr>
        <w:tc>
          <w:tcPr>
            <w:tcW w:w="1669" w:type="pct"/>
            <w:shd w:val="clear" w:color="auto" w:fill="auto"/>
            <w:noWrap/>
            <w:hideMark/>
          </w:tcPr>
          <w:p w14:paraId="189FC5BB" w14:textId="77777777" w:rsidR="004A5913" w:rsidRPr="00460239" w:rsidRDefault="004A5913" w:rsidP="003F7A28">
            <w:pPr>
              <w:jc w:val="left"/>
              <w:rPr>
                <w:rFonts w:cs="Arial"/>
                <w:color w:val="000000"/>
                <w:sz w:val="18"/>
                <w:szCs w:val="18"/>
              </w:rPr>
            </w:pPr>
            <w:r w:rsidRPr="00460239">
              <w:rPr>
                <w:rFonts w:cs="Arial"/>
                <w:color w:val="000000"/>
                <w:sz w:val="18"/>
                <w:szCs w:val="18"/>
              </w:rPr>
              <w:t>Uštede u OK po prvom Pozivu</w:t>
            </w:r>
          </w:p>
        </w:tc>
        <w:tc>
          <w:tcPr>
            <w:tcW w:w="537" w:type="pct"/>
            <w:shd w:val="clear" w:color="auto" w:fill="auto"/>
            <w:noWrap/>
            <w:hideMark/>
          </w:tcPr>
          <w:p w14:paraId="44715E7D"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4C42CD28"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39C55903"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62F4ADFE"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15,62</w:t>
            </w:r>
          </w:p>
        </w:tc>
        <w:tc>
          <w:tcPr>
            <w:tcW w:w="592" w:type="pct"/>
            <w:shd w:val="clear" w:color="auto" w:fill="auto"/>
            <w:noWrap/>
            <w:hideMark/>
          </w:tcPr>
          <w:p w14:paraId="5FC3C44F"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31,24</w:t>
            </w:r>
          </w:p>
        </w:tc>
        <w:tc>
          <w:tcPr>
            <w:tcW w:w="592" w:type="pct"/>
            <w:shd w:val="clear" w:color="auto" w:fill="auto"/>
            <w:noWrap/>
            <w:hideMark/>
          </w:tcPr>
          <w:p w14:paraId="744EFF23"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46,86</w:t>
            </w:r>
          </w:p>
        </w:tc>
      </w:tr>
      <w:tr w:rsidR="004A5913" w:rsidRPr="00460239" w14:paraId="48A015D4" w14:textId="77777777" w:rsidTr="00A87274">
        <w:trPr>
          <w:trHeight w:val="300"/>
        </w:trPr>
        <w:tc>
          <w:tcPr>
            <w:tcW w:w="1669" w:type="pct"/>
            <w:shd w:val="clear" w:color="auto" w:fill="auto"/>
            <w:noWrap/>
            <w:hideMark/>
          </w:tcPr>
          <w:p w14:paraId="071AB67D" w14:textId="77777777" w:rsidR="004A5913" w:rsidRPr="00460239" w:rsidRDefault="004A5913" w:rsidP="003F7A28">
            <w:pPr>
              <w:jc w:val="left"/>
              <w:rPr>
                <w:rFonts w:cs="Arial"/>
                <w:color w:val="000000"/>
                <w:sz w:val="18"/>
                <w:szCs w:val="18"/>
              </w:rPr>
            </w:pPr>
            <w:r w:rsidRPr="00460239">
              <w:rPr>
                <w:rFonts w:cs="Arial"/>
                <w:color w:val="000000"/>
                <w:sz w:val="18"/>
                <w:szCs w:val="18"/>
              </w:rPr>
              <w:t>Uštede u VSZ po drugom Pozivu</w:t>
            </w:r>
          </w:p>
        </w:tc>
        <w:tc>
          <w:tcPr>
            <w:tcW w:w="537" w:type="pct"/>
            <w:shd w:val="clear" w:color="auto" w:fill="auto"/>
            <w:noWrap/>
            <w:hideMark/>
          </w:tcPr>
          <w:p w14:paraId="26D79A26"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38417B3F"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4321F8C0"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13,32</w:t>
            </w:r>
          </w:p>
        </w:tc>
        <w:tc>
          <w:tcPr>
            <w:tcW w:w="537" w:type="pct"/>
            <w:shd w:val="clear" w:color="auto" w:fill="auto"/>
            <w:noWrap/>
            <w:hideMark/>
          </w:tcPr>
          <w:p w14:paraId="0950C7ED"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13,32</w:t>
            </w:r>
          </w:p>
        </w:tc>
        <w:tc>
          <w:tcPr>
            <w:tcW w:w="592" w:type="pct"/>
            <w:shd w:val="clear" w:color="auto" w:fill="auto"/>
            <w:noWrap/>
            <w:hideMark/>
          </w:tcPr>
          <w:p w14:paraId="7B129155"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13,32</w:t>
            </w:r>
          </w:p>
        </w:tc>
        <w:tc>
          <w:tcPr>
            <w:tcW w:w="592" w:type="pct"/>
            <w:shd w:val="clear" w:color="auto" w:fill="auto"/>
            <w:noWrap/>
            <w:hideMark/>
          </w:tcPr>
          <w:p w14:paraId="125E599A" w14:textId="77777777" w:rsidR="004A5913" w:rsidRPr="00460239" w:rsidRDefault="004A5913" w:rsidP="003F7A28">
            <w:pPr>
              <w:spacing w:line="276" w:lineRule="auto"/>
              <w:ind w:left="306"/>
              <w:jc w:val="right"/>
              <w:rPr>
                <w:rFonts w:cs="Arial"/>
                <w:sz w:val="18"/>
                <w:szCs w:val="18"/>
              </w:rPr>
            </w:pPr>
            <w:r w:rsidRPr="00460239">
              <w:rPr>
                <w:rFonts w:cs="Arial"/>
                <w:sz w:val="18"/>
                <w:szCs w:val="18"/>
              </w:rPr>
              <w:t>13,32</w:t>
            </w:r>
          </w:p>
        </w:tc>
      </w:tr>
      <w:tr w:rsidR="004A5913" w:rsidRPr="00460239" w14:paraId="24E199EC" w14:textId="77777777" w:rsidTr="00A87274">
        <w:trPr>
          <w:trHeight w:val="300"/>
        </w:trPr>
        <w:tc>
          <w:tcPr>
            <w:tcW w:w="1669" w:type="pct"/>
            <w:shd w:val="clear" w:color="auto" w:fill="auto"/>
            <w:noWrap/>
            <w:hideMark/>
          </w:tcPr>
          <w:p w14:paraId="4072384A"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Pilot projektu 4c1.2</w:t>
            </w:r>
          </w:p>
        </w:tc>
        <w:tc>
          <w:tcPr>
            <w:tcW w:w="537" w:type="pct"/>
            <w:shd w:val="clear" w:color="auto" w:fill="auto"/>
            <w:noWrap/>
            <w:hideMark/>
          </w:tcPr>
          <w:p w14:paraId="78E6334A"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c>
          <w:tcPr>
            <w:tcW w:w="537" w:type="pct"/>
            <w:shd w:val="clear" w:color="auto" w:fill="auto"/>
            <w:noWrap/>
            <w:hideMark/>
          </w:tcPr>
          <w:p w14:paraId="324A97DE"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c>
          <w:tcPr>
            <w:tcW w:w="537" w:type="pct"/>
            <w:shd w:val="clear" w:color="auto" w:fill="auto"/>
            <w:noWrap/>
            <w:hideMark/>
          </w:tcPr>
          <w:p w14:paraId="72B0EE65"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c>
          <w:tcPr>
            <w:tcW w:w="537" w:type="pct"/>
            <w:shd w:val="clear" w:color="auto" w:fill="auto"/>
            <w:noWrap/>
            <w:hideMark/>
          </w:tcPr>
          <w:p w14:paraId="08B6953A"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c>
          <w:tcPr>
            <w:tcW w:w="592" w:type="pct"/>
            <w:shd w:val="clear" w:color="auto" w:fill="auto"/>
            <w:noWrap/>
            <w:hideMark/>
          </w:tcPr>
          <w:p w14:paraId="5F878159"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c>
          <w:tcPr>
            <w:tcW w:w="592" w:type="pct"/>
            <w:shd w:val="clear" w:color="auto" w:fill="auto"/>
            <w:noWrap/>
            <w:hideMark/>
          </w:tcPr>
          <w:p w14:paraId="6C7A24C5"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4,30</w:t>
            </w:r>
          </w:p>
        </w:tc>
      </w:tr>
      <w:tr w:rsidR="004A5913" w:rsidRPr="00460239" w14:paraId="45F129D6" w14:textId="77777777" w:rsidTr="00A87274">
        <w:trPr>
          <w:trHeight w:val="300"/>
        </w:trPr>
        <w:tc>
          <w:tcPr>
            <w:tcW w:w="1669" w:type="pct"/>
            <w:shd w:val="clear" w:color="auto" w:fill="auto"/>
            <w:noWrap/>
            <w:hideMark/>
          </w:tcPr>
          <w:p w14:paraId="7DDAAC0D"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Pozivu 4c1.3 – 2019.</w:t>
            </w:r>
          </w:p>
        </w:tc>
        <w:tc>
          <w:tcPr>
            <w:tcW w:w="537" w:type="pct"/>
            <w:shd w:val="clear" w:color="auto" w:fill="auto"/>
            <w:noWrap/>
            <w:hideMark/>
          </w:tcPr>
          <w:p w14:paraId="49076D34"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3CF52EBF"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29,26</w:t>
            </w:r>
          </w:p>
        </w:tc>
        <w:tc>
          <w:tcPr>
            <w:tcW w:w="537" w:type="pct"/>
            <w:shd w:val="clear" w:color="auto" w:fill="auto"/>
            <w:noWrap/>
            <w:hideMark/>
          </w:tcPr>
          <w:p w14:paraId="250F1A79"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29,26</w:t>
            </w:r>
          </w:p>
        </w:tc>
        <w:tc>
          <w:tcPr>
            <w:tcW w:w="537" w:type="pct"/>
            <w:shd w:val="clear" w:color="auto" w:fill="auto"/>
            <w:noWrap/>
            <w:hideMark/>
          </w:tcPr>
          <w:p w14:paraId="4F775991"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29,26</w:t>
            </w:r>
          </w:p>
        </w:tc>
        <w:tc>
          <w:tcPr>
            <w:tcW w:w="592" w:type="pct"/>
            <w:shd w:val="clear" w:color="auto" w:fill="auto"/>
            <w:noWrap/>
            <w:hideMark/>
          </w:tcPr>
          <w:p w14:paraId="30B3DFB3"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29,26</w:t>
            </w:r>
          </w:p>
        </w:tc>
        <w:tc>
          <w:tcPr>
            <w:tcW w:w="592" w:type="pct"/>
            <w:shd w:val="clear" w:color="auto" w:fill="auto"/>
            <w:noWrap/>
            <w:hideMark/>
          </w:tcPr>
          <w:p w14:paraId="7F99AF90"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29,26</w:t>
            </w:r>
          </w:p>
        </w:tc>
      </w:tr>
      <w:tr w:rsidR="004A5913" w:rsidRPr="00460239" w14:paraId="264F2C05" w14:textId="77777777" w:rsidTr="00A87274">
        <w:trPr>
          <w:trHeight w:val="300"/>
        </w:trPr>
        <w:tc>
          <w:tcPr>
            <w:tcW w:w="1669" w:type="pct"/>
            <w:shd w:val="clear" w:color="auto" w:fill="auto"/>
            <w:noWrap/>
            <w:hideMark/>
          </w:tcPr>
          <w:p w14:paraId="4FDEE0C4"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Pozivu 4c1.3 – 2020.</w:t>
            </w:r>
          </w:p>
        </w:tc>
        <w:tc>
          <w:tcPr>
            <w:tcW w:w="537" w:type="pct"/>
            <w:shd w:val="clear" w:color="auto" w:fill="auto"/>
            <w:noWrap/>
            <w:hideMark/>
          </w:tcPr>
          <w:p w14:paraId="346199DE"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1F58AB3F"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27AE624F"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6,89</w:t>
            </w:r>
          </w:p>
        </w:tc>
        <w:tc>
          <w:tcPr>
            <w:tcW w:w="537" w:type="pct"/>
            <w:shd w:val="clear" w:color="auto" w:fill="auto"/>
            <w:noWrap/>
            <w:hideMark/>
          </w:tcPr>
          <w:p w14:paraId="67FE430B"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6,89</w:t>
            </w:r>
          </w:p>
        </w:tc>
        <w:tc>
          <w:tcPr>
            <w:tcW w:w="592" w:type="pct"/>
            <w:shd w:val="clear" w:color="auto" w:fill="auto"/>
            <w:noWrap/>
            <w:hideMark/>
          </w:tcPr>
          <w:p w14:paraId="205EEEBD"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6,89</w:t>
            </w:r>
          </w:p>
        </w:tc>
        <w:tc>
          <w:tcPr>
            <w:tcW w:w="592" w:type="pct"/>
            <w:shd w:val="clear" w:color="auto" w:fill="auto"/>
            <w:noWrap/>
            <w:hideMark/>
          </w:tcPr>
          <w:p w14:paraId="74F99828"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6,89</w:t>
            </w:r>
          </w:p>
        </w:tc>
      </w:tr>
      <w:tr w:rsidR="004A5913" w:rsidRPr="00460239" w14:paraId="0B883350" w14:textId="77777777" w:rsidTr="00A87274">
        <w:trPr>
          <w:trHeight w:val="300"/>
        </w:trPr>
        <w:tc>
          <w:tcPr>
            <w:tcW w:w="1669" w:type="pct"/>
            <w:shd w:val="clear" w:color="auto" w:fill="auto"/>
            <w:noWrap/>
            <w:hideMark/>
          </w:tcPr>
          <w:p w14:paraId="46588E76"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novim pozivima – 2020.</w:t>
            </w:r>
          </w:p>
        </w:tc>
        <w:tc>
          <w:tcPr>
            <w:tcW w:w="537" w:type="pct"/>
            <w:shd w:val="clear" w:color="auto" w:fill="auto"/>
            <w:noWrap/>
            <w:hideMark/>
          </w:tcPr>
          <w:p w14:paraId="4E5E2C1E"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0DCF6048"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67AD546A"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9,47</w:t>
            </w:r>
          </w:p>
        </w:tc>
        <w:tc>
          <w:tcPr>
            <w:tcW w:w="537" w:type="pct"/>
            <w:shd w:val="clear" w:color="auto" w:fill="auto"/>
            <w:noWrap/>
            <w:hideMark/>
          </w:tcPr>
          <w:p w14:paraId="7F8C516D"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9,47</w:t>
            </w:r>
          </w:p>
        </w:tc>
        <w:tc>
          <w:tcPr>
            <w:tcW w:w="592" w:type="pct"/>
            <w:shd w:val="clear" w:color="auto" w:fill="auto"/>
            <w:noWrap/>
            <w:hideMark/>
          </w:tcPr>
          <w:p w14:paraId="451CCA85"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9,47</w:t>
            </w:r>
          </w:p>
        </w:tc>
        <w:tc>
          <w:tcPr>
            <w:tcW w:w="592" w:type="pct"/>
            <w:shd w:val="clear" w:color="auto" w:fill="auto"/>
            <w:noWrap/>
            <w:hideMark/>
          </w:tcPr>
          <w:p w14:paraId="7C9216F8"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9,47</w:t>
            </w:r>
          </w:p>
        </w:tc>
      </w:tr>
      <w:tr w:rsidR="004A5913" w:rsidRPr="00460239" w14:paraId="3F048AB9" w14:textId="77777777" w:rsidTr="00A87274">
        <w:trPr>
          <w:trHeight w:val="300"/>
        </w:trPr>
        <w:tc>
          <w:tcPr>
            <w:tcW w:w="1669" w:type="pct"/>
            <w:shd w:val="clear" w:color="auto" w:fill="auto"/>
            <w:noWrap/>
            <w:hideMark/>
          </w:tcPr>
          <w:p w14:paraId="03254A6D"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novim pozivima – 2021.</w:t>
            </w:r>
          </w:p>
        </w:tc>
        <w:tc>
          <w:tcPr>
            <w:tcW w:w="537" w:type="pct"/>
            <w:shd w:val="clear" w:color="auto" w:fill="auto"/>
            <w:noWrap/>
            <w:hideMark/>
          </w:tcPr>
          <w:p w14:paraId="48A4DA37"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775446AC"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77282B64"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5B15A5B8"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12,05</w:t>
            </w:r>
          </w:p>
        </w:tc>
        <w:tc>
          <w:tcPr>
            <w:tcW w:w="592" w:type="pct"/>
            <w:shd w:val="clear" w:color="auto" w:fill="auto"/>
            <w:noWrap/>
            <w:hideMark/>
          </w:tcPr>
          <w:p w14:paraId="68837090"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12,05</w:t>
            </w:r>
          </w:p>
        </w:tc>
        <w:tc>
          <w:tcPr>
            <w:tcW w:w="592" w:type="pct"/>
            <w:shd w:val="clear" w:color="auto" w:fill="auto"/>
            <w:noWrap/>
            <w:hideMark/>
          </w:tcPr>
          <w:p w14:paraId="158233A9"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12,05</w:t>
            </w:r>
          </w:p>
        </w:tc>
      </w:tr>
      <w:tr w:rsidR="004A5913" w:rsidRPr="00460239" w14:paraId="3F31C25D" w14:textId="77777777" w:rsidTr="00A87274">
        <w:trPr>
          <w:trHeight w:val="300"/>
        </w:trPr>
        <w:tc>
          <w:tcPr>
            <w:tcW w:w="1669" w:type="pct"/>
            <w:shd w:val="clear" w:color="auto" w:fill="auto"/>
            <w:noWrap/>
            <w:hideMark/>
          </w:tcPr>
          <w:p w14:paraId="2C4ABB1E"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novim pozivima – 2022.</w:t>
            </w:r>
          </w:p>
        </w:tc>
        <w:tc>
          <w:tcPr>
            <w:tcW w:w="537" w:type="pct"/>
            <w:shd w:val="clear" w:color="auto" w:fill="auto"/>
            <w:noWrap/>
            <w:hideMark/>
          </w:tcPr>
          <w:p w14:paraId="49F9348E"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78621070"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651D8542"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388E1676" w14:textId="77777777" w:rsidR="004A5913" w:rsidRPr="00460239" w:rsidRDefault="004A5913" w:rsidP="003F7A28">
            <w:pPr>
              <w:spacing w:line="276" w:lineRule="auto"/>
              <w:ind w:left="306"/>
              <w:jc w:val="right"/>
              <w:rPr>
                <w:rFonts w:cs="Arial"/>
                <w:sz w:val="18"/>
                <w:szCs w:val="18"/>
              </w:rPr>
            </w:pPr>
          </w:p>
        </w:tc>
        <w:tc>
          <w:tcPr>
            <w:tcW w:w="592" w:type="pct"/>
            <w:shd w:val="clear" w:color="auto" w:fill="auto"/>
            <w:noWrap/>
            <w:hideMark/>
          </w:tcPr>
          <w:p w14:paraId="3E006C68"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14,63</w:t>
            </w:r>
          </w:p>
        </w:tc>
        <w:tc>
          <w:tcPr>
            <w:tcW w:w="592" w:type="pct"/>
            <w:shd w:val="clear" w:color="auto" w:fill="auto"/>
            <w:noWrap/>
            <w:hideMark/>
          </w:tcPr>
          <w:p w14:paraId="314BACD2"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14,63</w:t>
            </w:r>
          </w:p>
        </w:tc>
      </w:tr>
      <w:tr w:rsidR="004A5913" w:rsidRPr="00460239" w14:paraId="69C950EB" w14:textId="77777777" w:rsidTr="00A87274">
        <w:trPr>
          <w:trHeight w:val="300"/>
        </w:trPr>
        <w:tc>
          <w:tcPr>
            <w:tcW w:w="1669" w:type="pct"/>
            <w:shd w:val="clear" w:color="auto" w:fill="auto"/>
            <w:hideMark/>
          </w:tcPr>
          <w:p w14:paraId="72FA4DF6" w14:textId="77777777" w:rsidR="004A5913" w:rsidRPr="00460239" w:rsidRDefault="004A5913" w:rsidP="003F7A28">
            <w:pPr>
              <w:jc w:val="left"/>
              <w:rPr>
                <w:rFonts w:cs="Arial"/>
                <w:color w:val="000000"/>
                <w:sz w:val="18"/>
                <w:szCs w:val="18"/>
              </w:rPr>
            </w:pPr>
            <w:r w:rsidRPr="00460239">
              <w:rPr>
                <w:rFonts w:cs="Arial"/>
                <w:color w:val="000000"/>
                <w:sz w:val="18"/>
                <w:szCs w:val="18"/>
              </w:rPr>
              <w:t>Uštede po novim pozivima – 2023.</w:t>
            </w:r>
          </w:p>
        </w:tc>
        <w:tc>
          <w:tcPr>
            <w:tcW w:w="537" w:type="pct"/>
            <w:shd w:val="clear" w:color="auto" w:fill="auto"/>
            <w:noWrap/>
            <w:hideMark/>
          </w:tcPr>
          <w:p w14:paraId="078DD0F4" w14:textId="77777777" w:rsidR="004A5913" w:rsidRPr="001C1225" w:rsidRDefault="004A5913" w:rsidP="003F7A28">
            <w:pPr>
              <w:spacing w:line="276" w:lineRule="auto"/>
              <w:ind w:left="306"/>
              <w:jc w:val="right"/>
              <w:rPr>
                <w:rFonts w:cs="Arial"/>
                <w:sz w:val="18"/>
                <w:szCs w:val="18"/>
              </w:rPr>
            </w:pPr>
          </w:p>
        </w:tc>
        <w:tc>
          <w:tcPr>
            <w:tcW w:w="537" w:type="pct"/>
            <w:shd w:val="clear" w:color="auto" w:fill="auto"/>
            <w:noWrap/>
            <w:hideMark/>
          </w:tcPr>
          <w:p w14:paraId="6695DA69"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1DE8C9B6" w14:textId="77777777" w:rsidR="004A5913" w:rsidRPr="00460239" w:rsidRDefault="004A5913" w:rsidP="003F7A28">
            <w:pPr>
              <w:spacing w:line="276" w:lineRule="auto"/>
              <w:ind w:left="306"/>
              <w:jc w:val="right"/>
              <w:rPr>
                <w:rFonts w:cs="Arial"/>
                <w:sz w:val="18"/>
                <w:szCs w:val="18"/>
              </w:rPr>
            </w:pPr>
          </w:p>
        </w:tc>
        <w:tc>
          <w:tcPr>
            <w:tcW w:w="537" w:type="pct"/>
            <w:shd w:val="clear" w:color="auto" w:fill="auto"/>
            <w:noWrap/>
            <w:hideMark/>
          </w:tcPr>
          <w:p w14:paraId="068EFD40" w14:textId="77777777" w:rsidR="004A5913" w:rsidRPr="00460239" w:rsidRDefault="004A5913" w:rsidP="003F7A28">
            <w:pPr>
              <w:spacing w:line="276" w:lineRule="auto"/>
              <w:ind w:left="306"/>
              <w:jc w:val="right"/>
              <w:rPr>
                <w:rFonts w:cs="Arial"/>
                <w:sz w:val="18"/>
                <w:szCs w:val="18"/>
              </w:rPr>
            </w:pPr>
          </w:p>
        </w:tc>
        <w:tc>
          <w:tcPr>
            <w:tcW w:w="592" w:type="pct"/>
            <w:shd w:val="clear" w:color="auto" w:fill="auto"/>
            <w:noWrap/>
            <w:hideMark/>
          </w:tcPr>
          <w:p w14:paraId="36962138" w14:textId="77777777" w:rsidR="004A5913" w:rsidRPr="00460239" w:rsidRDefault="004A5913" w:rsidP="003F7A28">
            <w:pPr>
              <w:spacing w:line="276" w:lineRule="auto"/>
              <w:ind w:left="306"/>
              <w:jc w:val="right"/>
              <w:rPr>
                <w:rFonts w:cs="Arial"/>
                <w:sz w:val="18"/>
                <w:szCs w:val="18"/>
              </w:rPr>
            </w:pPr>
          </w:p>
        </w:tc>
        <w:tc>
          <w:tcPr>
            <w:tcW w:w="592" w:type="pct"/>
            <w:shd w:val="clear" w:color="auto" w:fill="auto"/>
            <w:noWrap/>
            <w:hideMark/>
          </w:tcPr>
          <w:p w14:paraId="38853830" w14:textId="77777777" w:rsidR="004A5913" w:rsidRPr="001C1225" w:rsidRDefault="004A5913" w:rsidP="003F7A28">
            <w:pPr>
              <w:spacing w:line="276" w:lineRule="auto"/>
              <w:ind w:left="306"/>
              <w:jc w:val="right"/>
              <w:rPr>
                <w:rFonts w:cs="Arial"/>
                <w:sz w:val="18"/>
                <w:szCs w:val="18"/>
              </w:rPr>
            </w:pPr>
            <w:r w:rsidRPr="001C1225">
              <w:rPr>
                <w:rFonts w:cs="Arial"/>
                <w:sz w:val="18"/>
                <w:szCs w:val="18"/>
              </w:rPr>
              <w:t>18,07</w:t>
            </w:r>
          </w:p>
        </w:tc>
      </w:tr>
      <w:tr w:rsidR="004A5913" w:rsidRPr="00460239" w14:paraId="33DE06FB" w14:textId="77777777" w:rsidTr="00A87274">
        <w:trPr>
          <w:trHeight w:val="300"/>
        </w:trPr>
        <w:tc>
          <w:tcPr>
            <w:tcW w:w="1669" w:type="pct"/>
            <w:shd w:val="clear" w:color="auto" w:fill="auto"/>
          </w:tcPr>
          <w:p w14:paraId="6B322C26" w14:textId="77777777" w:rsidR="004A5913" w:rsidRPr="00460239" w:rsidRDefault="004A5913" w:rsidP="003F7A28">
            <w:pPr>
              <w:jc w:val="left"/>
              <w:rPr>
                <w:rFonts w:cs="Arial"/>
                <w:color w:val="000000"/>
                <w:sz w:val="18"/>
                <w:szCs w:val="18"/>
              </w:rPr>
            </w:pPr>
            <w:r w:rsidRPr="00460239">
              <w:rPr>
                <w:rFonts w:cs="Arial"/>
                <w:color w:val="000000"/>
                <w:sz w:val="18"/>
                <w:szCs w:val="18"/>
              </w:rPr>
              <w:t xml:space="preserve">UKUPNE GODIŠNJE UŠTEDE </w:t>
            </w:r>
          </w:p>
        </w:tc>
        <w:tc>
          <w:tcPr>
            <w:tcW w:w="537" w:type="pct"/>
            <w:shd w:val="clear" w:color="auto" w:fill="auto"/>
            <w:noWrap/>
          </w:tcPr>
          <w:p w14:paraId="7ED49367" w14:textId="77777777" w:rsidR="004A5913" w:rsidRPr="00834AA1" w:rsidRDefault="004A5913" w:rsidP="003F7A28">
            <w:pPr>
              <w:spacing w:line="276" w:lineRule="auto"/>
              <w:jc w:val="right"/>
              <w:rPr>
                <w:rFonts w:cs="Arial"/>
                <w:sz w:val="18"/>
                <w:szCs w:val="18"/>
              </w:rPr>
            </w:pPr>
            <w:r w:rsidRPr="00834AA1">
              <w:rPr>
                <w:rFonts w:cs="Arial"/>
                <w:sz w:val="18"/>
                <w:szCs w:val="18"/>
              </w:rPr>
              <w:t>57,56</w:t>
            </w:r>
          </w:p>
        </w:tc>
        <w:tc>
          <w:tcPr>
            <w:tcW w:w="537" w:type="pct"/>
            <w:shd w:val="clear" w:color="auto" w:fill="auto"/>
            <w:noWrap/>
          </w:tcPr>
          <w:p w14:paraId="3C27E24F" w14:textId="77777777" w:rsidR="004A5913" w:rsidRPr="00834AA1" w:rsidRDefault="004A5913" w:rsidP="003F7A28">
            <w:pPr>
              <w:spacing w:line="276" w:lineRule="auto"/>
              <w:jc w:val="right"/>
              <w:rPr>
                <w:rFonts w:cs="Arial"/>
                <w:sz w:val="18"/>
                <w:szCs w:val="18"/>
              </w:rPr>
            </w:pPr>
            <w:r w:rsidRPr="00834AA1">
              <w:rPr>
                <w:rFonts w:cs="Arial"/>
                <w:sz w:val="18"/>
                <w:szCs w:val="18"/>
              </w:rPr>
              <w:t>86,82</w:t>
            </w:r>
          </w:p>
        </w:tc>
        <w:tc>
          <w:tcPr>
            <w:tcW w:w="537" w:type="pct"/>
            <w:shd w:val="clear" w:color="auto" w:fill="auto"/>
            <w:noWrap/>
          </w:tcPr>
          <w:p w14:paraId="6121CF55" w14:textId="77777777" w:rsidR="004A5913" w:rsidRPr="00834AA1" w:rsidRDefault="004A5913" w:rsidP="003F7A28">
            <w:pPr>
              <w:spacing w:line="276" w:lineRule="auto"/>
              <w:jc w:val="right"/>
              <w:rPr>
                <w:rFonts w:cs="Arial"/>
                <w:sz w:val="18"/>
                <w:szCs w:val="18"/>
              </w:rPr>
            </w:pPr>
            <w:r w:rsidRPr="00834AA1">
              <w:rPr>
                <w:rFonts w:cs="Arial"/>
                <w:sz w:val="18"/>
                <w:szCs w:val="18"/>
              </w:rPr>
              <w:t>116,5</w:t>
            </w:r>
          </w:p>
        </w:tc>
        <w:tc>
          <w:tcPr>
            <w:tcW w:w="537" w:type="pct"/>
            <w:shd w:val="clear" w:color="auto" w:fill="auto"/>
            <w:noWrap/>
          </w:tcPr>
          <w:p w14:paraId="691BD987" w14:textId="77777777" w:rsidR="004A5913" w:rsidRPr="00834AA1" w:rsidRDefault="004A5913" w:rsidP="003F7A28">
            <w:pPr>
              <w:spacing w:line="276" w:lineRule="auto"/>
              <w:jc w:val="right"/>
              <w:rPr>
                <w:rFonts w:cs="Arial"/>
                <w:sz w:val="18"/>
                <w:szCs w:val="18"/>
              </w:rPr>
            </w:pPr>
            <w:r w:rsidRPr="00834AA1">
              <w:rPr>
                <w:rFonts w:cs="Arial"/>
                <w:sz w:val="18"/>
                <w:szCs w:val="18"/>
              </w:rPr>
              <w:t>144,17</w:t>
            </w:r>
          </w:p>
        </w:tc>
        <w:tc>
          <w:tcPr>
            <w:tcW w:w="592" w:type="pct"/>
            <w:shd w:val="clear" w:color="auto" w:fill="auto"/>
            <w:noWrap/>
          </w:tcPr>
          <w:p w14:paraId="6C74EE3A" w14:textId="77777777" w:rsidR="004A5913" w:rsidRPr="00834AA1" w:rsidRDefault="004A5913" w:rsidP="003F7A28">
            <w:pPr>
              <w:spacing w:line="276" w:lineRule="auto"/>
              <w:ind w:left="306"/>
              <w:jc w:val="right"/>
              <w:rPr>
                <w:rFonts w:cs="Arial"/>
                <w:sz w:val="18"/>
                <w:szCs w:val="18"/>
              </w:rPr>
            </w:pPr>
            <w:r w:rsidRPr="00834AA1">
              <w:rPr>
                <w:rFonts w:cs="Arial"/>
                <w:sz w:val="18"/>
                <w:szCs w:val="18"/>
              </w:rPr>
              <w:t>174,42</w:t>
            </w:r>
          </w:p>
        </w:tc>
        <w:tc>
          <w:tcPr>
            <w:tcW w:w="592" w:type="pct"/>
            <w:shd w:val="clear" w:color="auto" w:fill="auto"/>
            <w:noWrap/>
          </w:tcPr>
          <w:p w14:paraId="5CE40D45" w14:textId="77777777" w:rsidR="004A5913" w:rsidRPr="00834AA1" w:rsidRDefault="004A5913" w:rsidP="003F7A28">
            <w:pPr>
              <w:spacing w:line="276" w:lineRule="auto"/>
              <w:ind w:left="306"/>
              <w:jc w:val="right"/>
              <w:rPr>
                <w:rFonts w:cs="Arial"/>
                <w:sz w:val="18"/>
                <w:szCs w:val="18"/>
              </w:rPr>
            </w:pPr>
            <w:r w:rsidRPr="00834AA1">
              <w:rPr>
                <w:rFonts w:cs="Arial"/>
                <w:sz w:val="18"/>
                <w:szCs w:val="18"/>
              </w:rPr>
              <w:t>208,11</w:t>
            </w:r>
          </w:p>
        </w:tc>
      </w:tr>
      <w:tr w:rsidR="004A5913" w:rsidRPr="00460239" w14:paraId="62219BCE" w14:textId="77777777" w:rsidTr="00A87274">
        <w:trPr>
          <w:trHeight w:val="300"/>
        </w:trPr>
        <w:tc>
          <w:tcPr>
            <w:tcW w:w="4408" w:type="pct"/>
            <w:gridSpan w:val="6"/>
            <w:shd w:val="clear" w:color="auto" w:fill="auto"/>
          </w:tcPr>
          <w:p w14:paraId="67BE88C6" w14:textId="77777777" w:rsidR="004A5913" w:rsidRPr="00834AA1" w:rsidRDefault="004A5913" w:rsidP="003F7A28">
            <w:pPr>
              <w:spacing w:line="276" w:lineRule="auto"/>
              <w:ind w:left="22"/>
              <w:jc w:val="left"/>
              <w:rPr>
                <w:rFonts w:cs="Arial"/>
                <w:sz w:val="18"/>
                <w:szCs w:val="18"/>
              </w:rPr>
            </w:pPr>
            <w:r w:rsidRPr="00460239">
              <w:rPr>
                <w:rFonts w:cs="Arial"/>
                <w:color w:val="000000"/>
                <w:sz w:val="18"/>
                <w:szCs w:val="18"/>
              </w:rPr>
              <w:t xml:space="preserve">UKUPNE </w:t>
            </w:r>
            <w:r>
              <w:rPr>
                <w:rFonts w:cs="Arial"/>
                <w:color w:val="000000"/>
                <w:sz w:val="18"/>
                <w:szCs w:val="18"/>
              </w:rPr>
              <w:t>KUMULATIVNE</w:t>
            </w:r>
            <w:r w:rsidRPr="00460239">
              <w:rPr>
                <w:rFonts w:cs="Arial"/>
                <w:color w:val="000000"/>
                <w:sz w:val="18"/>
                <w:szCs w:val="18"/>
              </w:rPr>
              <w:t xml:space="preserve"> UŠTEDE</w:t>
            </w:r>
            <w:r>
              <w:rPr>
                <w:rFonts w:cs="Arial"/>
                <w:color w:val="000000"/>
                <w:sz w:val="18"/>
                <w:szCs w:val="18"/>
              </w:rPr>
              <w:t xml:space="preserve"> U RAZDOBLJU 2018.-2023.</w:t>
            </w:r>
          </w:p>
        </w:tc>
        <w:tc>
          <w:tcPr>
            <w:tcW w:w="592" w:type="pct"/>
            <w:shd w:val="clear" w:color="auto" w:fill="auto"/>
            <w:noWrap/>
          </w:tcPr>
          <w:p w14:paraId="1391F99C" w14:textId="77777777" w:rsidR="004A5913" w:rsidRPr="00834AA1" w:rsidRDefault="004A5913" w:rsidP="003F7A28">
            <w:pPr>
              <w:spacing w:line="276" w:lineRule="auto"/>
              <w:ind w:left="306"/>
              <w:jc w:val="right"/>
              <w:rPr>
                <w:rFonts w:cs="Arial"/>
                <w:sz w:val="18"/>
                <w:szCs w:val="18"/>
              </w:rPr>
            </w:pPr>
            <w:r w:rsidRPr="00834AA1">
              <w:rPr>
                <w:rFonts w:cs="Arial"/>
                <w:sz w:val="18"/>
                <w:szCs w:val="18"/>
              </w:rPr>
              <w:t>787,58</w:t>
            </w:r>
          </w:p>
        </w:tc>
      </w:tr>
      <w:tr w:rsidR="004A5913" w:rsidRPr="00834AA1" w14:paraId="7B869BD4" w14:textId="77777777" w:rsidTr="00A87274">
        <w:trPr>
          <w:trHeight w:val="300"/>
        </w:trPr>
        <w:tc>
          <w:tcPr>
            <w:tcW w:w="4408" w:type="pct"/>
            <w:gridSpan w:val="6"/>
            <w:shd w:val="clear" w:color="auto" w:fill="auto"/>
          </w:tcPr>
          <w:p w14:paraId="3E630846" w14:textId="77777777" w:rsidR="004A5913" w:rsidRPr="00834AA1" w:rsidRDefault="004A5913" w:rsidP="003F7A28">
            <w:pPr>
              <w:spacing w:line="276" w:lineRule="auto"/>
              <w:ind w:left="22"/>
              <w:jc w:val="left"/>
              <w:rPr>
                <w:rFonts w:cs="Arial"/>
                <w:b/>
                <w:color w:val="000000"/>
                <w:sz w:val="18"/>
                <w:szCs w:val="18"/>
              </w:rPr>
            </w:pPr>
            <w:r w:rsidRPr="00834AA1">
              <w:rPr>
                <w:rFonts w:cs="Arial"/>
                <w:b/>
                <w:color w:val="000000"/>
                <w:sz w:val="18"/>
                <w:szCs w:val="18"/>
              </w:rPr>
              <w:t>UKUPNE KUMULATIVNE UŠTEDE U RAZDOBLJU 2021.</w:t>
            </w:r>
            <w:r>
              <w:rPr>
                <w:rFonts w:cs="Arial"/>
                <w:b/>
                <w:color w:val="000000"/>
                <w:sz w:val="18"/>
                <w:szCs w:val="18"/>
              </w:rPr>
              <w:t>-</w:t>
            </w:r>
            <w:r w:rsidRPr="00834AA1">
              <w:rPr>
                <w:rFonts w:cs="Arial"/>
                <w:b/>
                <w:color w:val="000000"/>
                <w:sz w:val="18"/>
                <w:szCs w:val="18"/>
              </w:rPr>
              <w:t>2030.</w:t>
            </w:r>
          </w:p>
        </w:tc>
        <w:tc>
          <w:tcPr>
            <w:tcW w:w="592" w:type="pct"/>
            <w:shd w:val="clear" w:color="auto" w:fill="auto"/>
            <w:noWrap/>
          </w:tcPr>
          <w:p w14:paraId="7841487B" w14:textId="77777777" w:rsidR="004A5913" w:rsidRPr="00834AA1" w:rsidRDefault="004A5913" w:rsidP="003F7A28">
            <w:pPr>
              <w:spacing w:line="276" w:lineRule="auto"/>
              <w:jc w:val="right"/>
              <w:rPr>
                <w:rFonts w:cs="Arial"/>
                <w:b/>
                <w:sz w:val="18"/>
                <w:szCs w:val="18"/>
              </w:rPr>
            </w:pPr>
            <w:r w:rsidRPr="00834AA1">
              <w:rPr>
                <w:rFonts w:cs="Arial"/>
                <w:b/>
                <w:sz w:val="18"/>
                <w:szCs w:val="18"/>
              </w:rPr>
              <w:t>1</w:t>
            </w:r>
            <w:r>
              <w:rPr>
                <w:rFonts w:cs="Arial"/>
                <w:b/>
                <w:sz w:val="18"/>
                <w:szCs w:val="18"/>
              </w:rPr>
              <w:t>.</w:t>
            </w:r>
            <w:r w:rsidRPr="00834AA1">
              <w:rPr>
                <w:rFonts w:cs="Arial"/>
                <w:b/>
                <w:sz w:val="18"/>
                <w:szCs w:val="18"/>
              </w:rPr>
              <w:t>983,47</w:t>
            </w:r>
          </w:p>
        </w:tc>
      </w:tr>
    </w:tbl>
    <w:p w14:paraId="76150BAC" w14:textId="77777777" w:rsidR="004A5913" w:rsidRDefault="004A5913" w:rsidP="004A5913">
      <w:pPr>
        <w:pStyle w:val="PointManual1"/>
        <w:spacing w:before="0" w:after="0" w:line="276" w:lineRule="auto"/>
        <w:ind w:left="0" w:firstLine="0"/>
        <w:jc w:val="both"/>
        <w:rPr>
          <w:rFonts w:ascii="Arial" w:hAnsi="Arial" w:cs="Arial"/>
          <w:sz w:val="22"/>
        </w:rPr>
      </w:pPr>
    </w:p>
    <w:p w14:paraId="206DC8D6"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Tablica prikazuje samo procjene, a podatci o stvarno ostvarenim uštedama energije u 2018. godini u trenutku izrade ovog dokumenta nisu dostupni. Ipak, ove se procjene navode s ciljem dokazivanja provedbe mjera, koje mogu značajno utjecati na smanjenje cilja za razdoblje od 2021. do 2030. godine. </w:t>
      </w:r>
    </w:p>
    <w:p w14:paraId="2EBE7D41" w14:textId="77777777" w:rsidR="004A5913" w:rsidRDefault="004A5913" w:rsidP="004A5913">
      <w:pPr>
        <w:pStyle w:val="PointManual1"/>
        <w:spacing w:before="0" w:after="0" w:line="276" w:lineRule="auto"/>
        <w:ind w:left="0" w:firstLine="0"/>
        <w:jc w:val="both"/>
        <w:rPr>
          <w:rFonts w:ascii="Arial" w:hAnsi="Arial" w:cs="Arial"/>
          <w:sz w:val="22"/>
        </w:rPr>
      </w:pPr>
    </w:p>
    <w:p w14:paraId="5CD7F357" w14:textId="77777777" w:rsidR="004A5913" w:rsidRDefault="004A5913" w:rsidP="004A5913">
      <w:pPr>
        <w:pStyle w:val="PointManual1"/>
        <w:numPr>
          <w:ilvl w:val="1"/>
          <w:numId w:val="99"/>
        </w:numPr>
        <w:spacing w:before="0" w:after="0" w:line="276" w:lineRule="auto"/>
        <w:rPr>
          <w:rFonts w:ascii="Arial" w:hAnsi="Arial" w:cs="Arial"/>
          <w:i/>
          <w:sz w:val="22"/>
        </w:rPr>
      </w:pPr>
      <w:r w:rsidRPr="00A548FF">
        <w:rPr>
          <w:rFonts w:ascii="Arial" w:hAnsi="Arial" w:cs="Arial"/>
          <w:i/>
          <w:sz w:val="22"/>
        </w:rPr>
        <w:t>iznos energije koja je proizvedena na ili u zgradama za vlastite potrebe na temelju mjera politika kojima se promiče novo postavljanje tehnologija obnovljivih izvora energije u skladu s točkom (f) [u ktoe];</w:t>
      </w:r>
    </w:p>
    <w:p w14:paraId="639F2A71" w14:textId="77777777" w:rsidR="004A5913" w:rsidRDefault="004A5913" w:rsidP="004A5913">
      <w:pPr>
        <w:pStyle w:val="PointManual1"/>
        <w:spacing w:before="0" w:after="0" w:line="276" w:lineRule="auto"/>
        <w:ind w:left="0" w:firstLine="0"/>
        <w:rPr>
          <w:rFonts w:ascii="Arial" w:hAnsi="Arial" w:cs="Arial"/>
          <w:sz w:val="22"/>
        </w:rPr>
      </w:pPr>
      <w:r>
        <w:rPr>
          <w:rFonts w:ascii="Arial" w:hAnsi="Arial" w:cs="Arial"/>
          <w:sz w:val="22"/>
        </w:rPr>
        <w:t xml:space="preserve">Nije moguće utvrditi. </w:t>
      </w:r>
    </w:p>
    <w:p w14:paraId="6C2C2915" w14:textId="77777777" w:rsidR="004A5913" w:rsidRPr="000566FB" w:rsidRDefault="004A5913" w:rsidP="004A5913">
      <w:pPr>
        <w:pStyle w:val="PointManual1"/>
        <w:spacing w:before="0" w:after="0" w:line="276" w:lineRule="auto"/>
        <w:ind w:left="0" w:firstLine="0"/>
        <w:rPr>
          <w:rFonts w:ascii="Arial" w:hAnsi="Arial" w:cs="Arial"/>
          <w:sz w:val="22"/>
        </w:rPr>
      </w:pPr>
    </w:p>
    <w:p w14:paraId="75310A61" w14:textId="37B722AB" w:rsidR="004A5913" w:rsidRDefault="004A5913" w:rsidP="004A5913">
      <w:pPr>
        <w:pStyle w:val="PointManual1"/>
        <w:numPr>
          <w:ilvl w:val="0"/>
          <w:numId w:val="97"/>
        </w:numPr>
        <w:spacing w:before="0" w:after="0" w:line="276" w:lineRule="auto"/>
        <w:rPr>
          <w:rFonts w:ascii="Arial" w:hAnsi="Arial" w:cs="Arial"/>
          <w:i/>
          <w:sz w:val="22"/>
        </w:rPr>
      </w:pPr>
      <w:r w:rsidRPr="00A548FF">
        <w:rPr>
          <w:rFonts w:ascii="Arial" w:hAnsi="Arial" w:cs="Arial"/>
          <w:i/>
          <w:sz w:val="22"/>
        </w:rPr>
        <w:t>ukupni kumulativni iznos uštede energije (nakon</w:t>
      </w:r>
      <w:r w:rsidR="00461782">
        <w:rPr>
          <w:rFonts w:ascii="Arial" w:hAnsi="Arial" w:cs="Arial"/>
          <w:i/>
          <w:sz w:val="22"/>
        </w:rPr>
        <w:t xml:space="preserve"> </w:t>
      </w:r>
      <w:r w:rsidRPr="00A548FF">
        <w:rPr>
          <w:rFonts w:ascii="Arial" w:hAnsi="Arial" w:cs="Arial"/>
          <w:i/>
          <w:sz w:val="22"/>
        </w:rPr>
        <w:t>primjene izuzeća iz stavka 2) [u ktoe]</w:t>
      </w:r>
    </w:p>
    <w:p w14:paraId="75681FE6" w14:textId="07B9BE29" w:rsidR="004A5913" w:rsidRPr="00C7137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Ukoliko se samo iskoriste izuzeća (i), (ii) i (iii) prikazana pod točkom (f), došlo bi do značajnog smanjenja kumulativnog cilja, kako prikazuje donja tablica. Uzimajući u obzir odredbe članka 3(a) paragrafa (b) Direktive, prema kojemu smanjenje cilja ušteda energije ne smije biti veće od 35% u odnosu na cilj izračunat prema točki (e) ovog dokumenta, u donjoj tablici se određuje cilj uz maksimalno smanjenje.</w:t>
      </w:r>
      <w:r w:rsidR="00461782">
        <w:rPr>
          <w:rFonts w:ascii="Arial" w:hAnsi="Arial" w:cs="Arial"/>
          <w:sz w:val="22"/>
        </w:rPr>
        <w:t xml:space="preserve"> </w:t>
      </w:r>
    </w:p>
    <w:p w14:paraId="369CB3B7" w14:textId="77777777" w:rsidR="004A5913" w:rsidRDefault="004A5913" w:rsidP="004A5913">
      <w:pPr>
        <w:pStyle w:val="PointManual1"/>
        <w:spacing w:before="0" w:after="0" w:line="276" w:lineRule="auto"/>
        <w:ind w:left="0" w:firstLine="0"/>
        <w:jc w:val="both"/>
        <w:rPr>
          <w:rFonts w:ascii="Arial" w:hAnsi="Arial" w:cs="Arial"/>
          <w:sz w:val="22"/>
        </w:rPr>
      </w:pPr>
    </w:p>
    <w:tbl>
      <w:tblPr>
        <w:tblStyle w:val="GridTable1Light"/>
        <w:tblW w:w="5000" w:type="pct"/>
        <w:tblLook w:val="04A0" w:firstRow="1" w:lastRow="0" w:firstColumn="1" w:lastColumn="0" w:noHBand="0" w:noVBand="1"/>
      </w:tblPr>
      <w:tblGrid>
        <w:gridCol w:w="8058"/>
        <w:gridCol w:w="1004"/>
      </w:tblGrid>
      <w:tr w:rsidR="004A5913" w:rsidRPr="0052533D" w14:paraId="174B6839"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pct"/>
          </w:tcPr>
          <w:p w14:paraId="34A74262"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[ktoe]</w:t>
            </w:r>
          </w:p>
        </w:tc>
        <w:tc>
          <w:tcPr>
            <w:tcW w:w="554" w:type="pct"/>
          </w:tcPr>
          <w:p w14:paraId="0FAA6759" w14:textId="77777777" w:rsidR="004A5913" w:rsidRPr="0052533D" w:rsidRDefault="004A5913" w:rsidP="00A8727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52533D">
              <w:rPr>
                <w:rFonts w:cs="Arial"/>
                <w:b w:val="0"/>
                <w:noProof/>
                <w:color w:val="000000"/>
                <w:sz w:val="20"/>
                <w:szCs w:val="20"/>
              </w:rPr>
              <w:t>1.913,83</w:t>
            </w:r>
          </w:p>
        </w:tc>
      </w:tr>
      <w:tr w:rsidR="004A5913" w:rsidRPr="0052533D" w14:paraId="0E709995" w14:textId="77777777" w:rsidTr="003F7A28">
        <w:tc>
          <w:tcPr>
            <w:cnfStyle w:val="001000000000" w:firstRow="0" w:lastRow="0" w:firstColumn="1" w:lastColumn="0" w:oddVBand="0" w:evenVBand="0" w:oddHBand="0" w:evenHBand="0" w:firstRowFirstColumn="0" w:firstRowLastColumn="0" w:lastRowFirstColumn="0" w:lastRowLastColumn="0"/>
            <w:tcW w:w="4446" w:type="pct"/>
          </w:tcPr>
          <w:p w14:paraId="42EA1099" w14:textId="77777777" w:rsidR="004A5913" w:rsidRPr="00001770" w:rsidRDefault="004A5913" w:rsidP="001B6C7B">
            <w:pPr>
              <w:pStyle w:val="PointManual1"/>
              <w:spacing w:before="0" w:after="0" w:line="276" w:lineRule="auto"/>
              <w:ind w:left="0" w:firstLine="0"/>
              <w:rPr>
                <w:rFonts w:ascii="Arial" w:hAnsi="Arial" w:cs="Arial"/>
                <w:b w:val="0"/>
                <w:noProof/>
                <w:sz w:val="20"/>
                <w:szCs w:val="20"/>
              </w:rPr>
            </w:pPr>
            <w:r w:rsidRPr="00001770">
              <w:rPr>
                <w:rFonts w:ascii="Arial" w:hAnsi="Arial" w:cs="Arial"/>
                <w:b w:val="0"/>
                <w:noProof/>
                <w:sz w:val="20"/>
                <w:szCs w:val="20"/>
              </w:rPr>
              <w:t>UKUPNI KUMULATIVNI CILJ ZA RAZDOBLJE 2021. – 2030. nakon izuzeća (i) [ktoe]</w:t>
            </w:r>
          </w:p>
        </w:tc>
        <w:tc>
          <w:tcPr>
            <w:tcW w:w="554" w:type="pct"/>
          </w:tcPr>
          <w:p w14:paraId="288B98C6" w14:textId="77777777" w:rsidR="004A5913" w:rsidRPr="00001770"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Cs/>
                <w:noProof/>
                <w:color w:val="000000"/>
                <w:sz w:val="20"/>
                <w:szCs w:val="20"/>
              </w:rPr>
            </w:pPr>
            <w:r w:rsidRPr="00001770">
              <w:rPr>
                <w:rFonts w:cs="Arial"/>
                <w:bCs/>
                <w:noProof/>
                <w:color w:val="000000"/>
                <w:sz w:val="20"/>
                <w:szCs w:val="20"/>
              </w:rPr>
              <w:t>1.611,56</w:t>
            </w:r>
          </w:p>
        </w:tc>
      </w:tr>
      <w:tr w:rsidR="004A5913" w:rsidRPr="0052533D" w14:paraId="1F068684" w14:textId="77777777" w:rsidTr="003F7A28">
        <w:tc>
          <w:tcPr>
            <w:cnfStyle w:val="001000000000" w:firstRow="0" w:lastRow="0" w:firstColumn="1" w:lastColumn="0" w:oddVBand="0" w:evenVBand="0" w:oddHBand="0" w:evenHBand="0" w:firstRowFirstColumn="0" w:firstRowLastColumn="0" w:lastRowFirstColumn="0" w:lastRowLastColumn="0"/>
            <w:tcW w:w="4446" w:type="pct"/>
          </w:tcPr>
          <w:p w14:paraId="10C09EB5" w14:textId="77777777" w:rsidR="004A5913" w:rsidRPr="00001770" w:rsidRDefault="004A5913" w:rsidP="001B6C7B">
            <w:pPr>
              <w:pStyle w:val="PointManual1"/>
              <w:spacing w:before="0" w:after="0" w:line="276" w:lineRule="auto"/>
              <w:ind w:left="0" w:firstLine="0"/>
              <w:rPr>
                <w:rFonts w:ascii="Arial" w:hAnsi="Arial" w:cs="Arial"/>
                <w:b w:val="0"/>
                <w:noProof/>
                <w:sz w:val="20"/>
                <w:szCs w:val="20"/>
              </w:rPr>
            </w:pPr>
            <w:r w:rsidRPr="00001770">
              <w:rPr>
                <w:rFonts w:ascii="Arial" w:hAnsi="Arial" w:cs="Arial"/>
                <w:b w:val="0"/>
                <w:noProof/>
                <w:sz w:val="20"/>
                <w:szCs w:val="20"/>
              </w:rPr>
              <w:t>UKUPNI KUMULATIVNI CILJ ZA RAZDOBLJE 2021. – 2030. nakon izuzeća (i</w:t>
            </w:r>
            <w:r>
              <w:rPr>
                <w:rFonts w:ascii="Arial" w:hAnsi="Arial" w:cs="Arial"/>
                <w:b w:val="0"/>
                <w:noProof/>
                <w:sz w:val="20"/>
                <w:szCs w:val="20"/>
              </w:rPr>
              <w:t>i</w:t>
            </w:r>
            <w:r w:rsidRPr="00001770">
              <w:rPr>
                <w:rFonts w:ascii="Arial" w:hAnsi="Arial" w:cs="Arial"/>
                <w:b w:val="0"/>
                <w:noProof/>
                <w:sz w:val="20"/>
                <w:szCs w:val="20"/>
              </w:rPr>
              <w:t>) [ktoe]</w:t>
            </w:r>
          </w:p>
        </w:tc>
        <w:tc>
          <w:tcPr>
            <w:tcW w:w="554" w:type="pct"/>
          </w:tcPr>
          <w:p w14:paraId="4895345C" w14:textId="77777777" w:rsidR="004A5913" w:rsidRPr="00001770"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Cs/>
                <w:noProof/>
                <w:color w:val="000000"/>
                <w:sz w:val="20"/>
                <w:szCs w:val="20"/>
              </w:rPr>
            </w:pPr>
            <w:r>
              <w:rPr>
                <w:rFonts w:cs="Arial"/>
                <w:bCs/>
                <w:noProof/>
                <w:color w:val="000000"/>
                <w:sz w:val="20"/>
                <w:szCs w:val="20"/>
              </w:rPr>
              <w:t>1.350,17</w:t>
            </w:r>
          </w:p>
        </w:tc>
      </w:tr>
      <w:tr w:rsidR="004A5913" w:rsidRPr="0052533D" w14:paraId="0A3815E2" w14:textId="77777777" w:rsidTr="003F7A28">
        <w:tc>
          <w:tcPr>
            <w:cnfStyle w:val="001000000000" w:firstRow="0" w:lastRow="0" w:firstColumn="1" w:lastColumn="0" w:oddVBand="0" w:evenVBand="0" w:oddHBand="0" w:evenHBand="0" w:firstRowFirstColumn="0" w:firstRowLastColumn="0" w:lastRowFirstColumn="0" w:lastRowLastColumn="0"/>
            <w:tcW w:w="4446" w:type="pct"/>
          </w:tcPr>
          <w:p w14:paraId="5863284E" w14:textId="77777777" w:rsidR="004A5913" w:rsidRPr="00001770" w:rsidRDefault="004A5913" w:rsidP="001B6C7B">
            <w:pPr>
              <w:pStyle w:val="PointManual1"/>
              <w:spacing w:before="0" w:after="0" w:line="276" w:lineRule="auto"/>
              <w:ind w:left="0" w:firstLine="0"/>
              <w:rPr>
                <w:rFonts w:ascii="Arial" w:hAnsi="Arial" w:cs="Arial"/>
                <w:b w:val="0"/>
                <w:noProof/>
                <w:sz w:val="20"/>
                <w:szCs w:val="20"/>
              </w:rPr>
            </w:pPr>
            <w:r w:rsidRPr="00001770">
              <w:rPr>
                <w:rFonts w:ascii="Arial" w:hAnsi="Arial" w:cs="Arial"/>
                <w:b w:val="0"/>
                <w:noProof/>
                <w:sz w:val="20"/>
                <w:szCs w:val="20"/>
              </w:rPr>
              <w:t>UKUPNI KUMULATIVNI CILJ ZA RAZDOBLJE 2021. – 2030. nakon izuzeća (i</w:t>
            </w:r>
            <w:r>
              <w:rPr>
                <w:rFonts w:ascii="Arial" w:hAnsi="Arial" w:cs="Arial"/>
                <w:b w:val="0"/>
                <w:noProof/>
                <w:sz w:val="20"/>
                <w:szCs w:val="20"/>
              </w:rPr>
              <w:t>ii</w:t>
            </w:r>
            <w:r w:rsidRPr="00001770">
              <w:rPr>
                <w:rFonts w:ascii="Arial" w:hAnsi="Arial" w:cs="Arial"/>
                <w:b w:val="0"/>
                <w:noProof/>
                <w:sz w:val="20"/>
                <w:szCs w:val="20"/>
              </w:rPr>
              <w:t>) [ktoe]</w:t>
            </w:r>
          </w:p>
        </w:tc>
        <w:tc>
          <w:tcPr>
            <w:tcW w:w="554" w:type="pct"/>
          </w:tcPr>
          <w:p w14:paraId="6F0E1492" w14:textId="77777777" w:rsidR="004A5913"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Cs/>
                <w:noProof/>
                <w:color w:val="000000"/>
                <w:sz w:val="20"/>
                <w:szCs w:val="20"/>
              </w:rPr>
            </w:pPr>
            <w:r>
              <w:rPr>
                <w:rFonts w:cs="Arial"/>
                <w:bCs/>
                <w:noProof/>
                <w:color w:val="000000"/>
                <w:sz w:val="20"/>
                <w:szCs w:val="20"/>
              </w:rPr>
              <w:t>1075,01</w:t>
            </w:r>
          </w:p>
        </w:tc>
      </w:tr>
      <w:tr w:rsidR="004A5913" w:rsidRPr="00001770" w14:paraId="38E90007" w14:textId="77777777" w:rsidTr="003F7A28">
        <w:tc>
          <w:tcPr>
            <w:cnfStyle w:val="001000000000" w:firstRow="0" w:lastRow="0" w:firstColumn="1" w:lastColumn="0" w:oddVBand="0" w:evenVBand="0" w:oddHBand="0" w:evenHBand="0" w:firstRowFirstColumn="0" w:firstRowLastColumn="0" w:lastRowFirstColumn="0" w:lastRowLastColumn="0"/>
            <w:tcW w:w="4446" w:type="pct"/>
          </w:tcPr>
          <w:p w14:paraId="24AC47DC" w14:textId="77777777" w:rsidR="004A5913" w:rsidRPr="00001770" w:rsidRDefault="004A5913" w:rsidP="001B6C7B">
            <w:pPr>
              <w:pStyle w:val="PointManual1"/>
              <w:spacing w:before="0" w:after="0" w:line="276" w:lineRule="auto"/>
              <w:ind w:left="0" w:firstLine="0"/>
              <w:rPr>
                <w:rFonts w:ascii="Arial" w:hAnsi="Arial" w:cs="Arial"/>
                <w:noProof/>
                <w:sz w:val="20"/>
                <w:szCs w:val="20"/>
              </w:rPr>
            </w:pPr>
            <w:r w:rsidRPr="00001770">
              <w:rPr>
                <w:rFonts w:ascii="Arial" w:hAnsi="Arial" w:cs="Arial"/>
                <w:noProof/>
                <w:sz w:val="20"/>
                <w:szCs w:val="20"/>
              </w:rPr>
              <w:t>UKUPNI KUMULATIVNI CILJ ZA RAZDOBLJE 2021. – 2030. u smanjenje 35% [ktoe]</w:t>
            </w:r>
          </w:p>
        </w:tc>
        <w:tc>
          <w:tcPr>
            <w:tcW w:w="554" w:type="pct"/>
          </w:tcPr>
          <w:p w14:paraId="004D84B7" w14:textId="77777777" w:rsidR="004A5913" w:rsidRPr="00001770"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bCs/>
                <w:noProof/>
                <w:color w:val="000000"/>
                <w:sz w:val="20"/>
                <w:szCs w:val="20"/>
              </w:rPr>
            </w:pPr>
            <w:r w:rsidRPr="00001770">
              <w:rPr>
                <w:rFonts w:cs="Arial"/>
                <w:b/>
                <w:bCs/>
                <w:noProof/>
                <w:color w:val="000000"/>
                <w:sz w:val="20"/>
                <w:szCs w:val="20"/>
              </w:rPr>
              <w:t>1243,99</w:t>
            </w:r>
          </w:p>
        </w:tc>
      </w:tr>
    </w:tbl>
    <w:p w14:paraId="5DB2D214" w14:textId="77777777" w:rsidR="004A5913" w:rsidRDefault="004A5913" w:rsidP="004A5913">
      <w:pPr>
        <w:pStyle w:val="PointManual1"/>
        <w:spacing w:before="0" w:after="0" w:line="276" w:lineRule="auto"/>
        <w:ind w:left="0" w:firstLine="0"/>
        <w:jc w:val="both"/>
        <w:rPr>
          <w:rFonts w:ascii="Arial" w:hAnsi="Arial" w:cs="Arial"/>
          <w:sz w:val="22"/>
        </w:rPr>
      </w:pPr>
    </w:p>
    <w:p w14:paraId="303220B5" w14:textId="77777777" w:rsidR="004A5913" w:rsidRDefault="004A5913" w:rsidP="004A5913">
      <w:pPr>
        <w:pStyle w:val="PointManual1"/>
        <w:spacing w:before="0" w:after="0" w:line="276" w:lineRule="auto"/>
        <w:ind w:left="0" w:firstLine="0"/>
        <w:rPr>
          <w:rFonts w:ascii="Arial" w:hAnsi="Arial" w:cs="Arial"/>
          <w:sz w:val="22"/>
        </w:rPr>
      </w:pPr>
      <w:r>
        <w:rPr>
          <w:rFonts w:ascii="Arial" w:hAnsi="Arial" w:cs="Arial"/>
          <w:sz w:val="22"/>
        </w:rPr>
        <w:t xml:space="preserve">Godišnja raspodjela cilja prikazuje se donjom tablicom. </w:t>
      </w:r>
    </w:p>
    <w:tbl>
      <w:tblPr>
        <w:tblStyle w:val="GridTable1Light"/>
        <w:tblW w:w="5000" w:type="pct"/>
        <w:tblLook w:val="04A0" w:firstRow="1" w:lastRow="0" w:firstColumn="1" w:lastColumn="0" w:noHBand="0" w:noVBand="1"/>
      </w:tblPr>
      <w:tblGrid>
        <w:gridCol w:w="1184"/>
        <w:gridCol w:w="722"/>
        <w:gridCol w:w="684"/>
        <w:gridCol w:w="683"/>
        <w:gridCol w:w="683"/>
        <w:gridCol w:w="683"/>
        <w:gridCol w:w="683"/>
        <w:gridCol w:w="683"/>
        <w:gridCol w:w="683"/>
        <w:gridCol w:w="683"/>
        <w:gridCol w:w="691"/>
        <w:gridCol w:w="1000"/>
      </w:tblGrid>
      <w:tr w:rsidR="004A5913" w:rsidRPr="0052533D" w14:paraId="3C4BFCA4"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pct"/>
            <w:gridSpan w:val="11"/>
          </w:tcPr>
          <w:p w14:paraId="0E1D989F"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F639CC">
              <w:rPr>
                <w:rFonts w:ascii="Arial" w:hAnsi="Arial" w:cs="Arial"/>
                <w:noProof/>
                <w:sz w:val="20"/>
                <w:szCs w:val="20"/>
              </w:rPr>
              <w:t>UKUPNI KUMULATIVNI CILJ ZA RAZDOBLJE 2021. – 2030. [ktoe]</w:t>
            </w:r>
          </w:p>
        </w:tc>
        <w:tc>
          <w:tcPr>
            <w:tcW w:w="552" w:type="pct"/>
          </w:tcPr>
          <w:p w14:paraId="2074CF93" w14:textId="77777777" w:rsidR="004A5913" w:rsidRPr="0052533D" w:rsidRDefault="004A5913" w:rsidP="009104E0">
            <w:pPr>
              <w:pStyle w:val="PointManual1"/>
              <w:spacing w:before="0" w:after="0" w:line="276" w:lineRule="auto"/>
              <w:ind w:left="0" w:firstLine="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F639CC">
              <w:rPr>
                <w:rFonts w:ascii="Arial" w:hAnsi="Arial" w:cs="Arial"/>
                <w:noProof/>
                <w:sz w:val="20"/>
                <w:szCs w:val="20"/>
              </w:rPr>
              <w:t>1.913,83</w:t>
            </w:r>
          </w:p>
        </w:tc>
      </w:tr>
      <w:tr w:rsidR="004A5913" w:rsidRPr="0052533D" w14:paraId="7BAD60F0"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4A27E8EF" w14:textId="7BC0DBAB" w:rsidR="004A5913" w:rsidRPr="00F639CC"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 xml:space="preserve">Maksimalno umanjeni cilj za 35% </w:t>
            </w:r>
          </w:p>
        </w:tc>
        <w:tc>
          <w:tcPr>
            <w:tcW w:w="552" w:type="pct"/>
          </w:tcPr>
          <w:p w14:paraId="781FEBFE" w14:textId="77777777" w:rsidR="004A5913" w:rsidRPr="00F639CC" w:rsidRDefault="004A5913" w:rsidP="009104E0">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sidRPr="00F639CC">
              <w:rPr>
                <w:rFonts w:ascii="Arial" w:hAnsi="Arial" w:cs="Arial"/>
                <w:b/>
                <w:noProof/>
                <w:sz w:val="20"/>
                <w:szCs w:val="20"/>
              </w:rPr>
              <w:t>1.243,99</w:t>
            </w:r>
          </w:p>
        </w:tc>
      </w:tr>
      <w:tr w:rsidR="004A5913" w:rsidRPr="0052533D" w14:paraId="614C040F" w14:textId="77777777" w:rsidTr="003F7A28">
        <w:tc>
          <w:tcPr>
            <w:cnfStyle w:val="001000000000" w:firstRow="0" w:lastRow="0" w:firstColumn="1" w:lastColumn="0" w:oddVBand="0" w:evenVBand="0" w:oddHBand="0" w:evenHBand="0" w:firstRowFirstColumn="0" w:firstRowLastColumn="0" w:lastRowFirstColumn="0" w:lastRowLastColumn="0"/>
            <w:tcW w:w="653" w:type="pct"/>
            <w:vAlign w:val="center"/>
          </w:tcPr>
          <w:p w14:paraId="456CC628"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w:t>
            </w:r>
            <w:r w:rsidRPr="0052533D">
              <w:rPr>
                <w:rFonts w:ascii="Arial" w:hAnsi="Arial" w:cs="Arial"/>
                <w:noProof/>
                <w:sz w:val="20"/>
                <w:szCs w:val="20"/>
              </w:rPr>
              <w:t xml:space="preserve"> [ktoe]</w:t>
            </w:r>
          </w:p>
        </w:tc>
        <w:tc>
          <w:tcPr>
            <w:tcW w:w="398" w:type="pct"/>
            <w:vAlign w:val="center"/>
          </w:tcPr>
          <w:p w14:paraId="78FAC6D1" w14:textId="77777777" w:rsidR="004A5913" w:rsidRPr="0052533D" w:rsidRDefault="004A5913" w:rsidP="009104E0">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47AA3B68"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68B5EBCE"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262434AD"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56058778"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2D2AF065"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63551873"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5297D1BD"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77" w:type="pct"/>
            <w:vAlign w:val="center"/>
          </w:tcPr>
          <w:p w14:paraId="255610F6"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381" w:type="pct"/>
            <w:vAlign w:val="center"/>
          </w:tcPr>
          <w:p w14:paraId="71D563EA"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2533D">
              <w:rPr>
                <w:rFonts w:ascii="Arial" w:hAnsi="Arial" w:cs="Arial"/>
                <w:noProof/>
                <w:sz w:val="20"/>
                <w:szCs w:val="20"/>
              </w:rPr>
              <w:t>0,8%</w:t>
            </w:r>
          </w:p>
        </w:tc>
        <w:tc>
          <w:tcPr>
            <w:tcW w:w="552" w:type="pct"/>
            <w:vAlign w:val="center"/>
          </w:tcPr>
          <w:p w14:paraId="2266EAD7" w14:textId="77777777" w:rsidR="004A5913" w:rsidRPr="0052533D" w:rsidRDefault="004A5913">
            <w:pPr>
              <w:pStyle w:val="PointManual1"/>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4A5913" w:rsidRPr="0052533D" w14:paraId="5C644E28"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3C449801"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2021</w:t>
            </w:r>
          </w:p>
        </w:tc>
        <w:tc>
          <w:tcPr>
            <w:tcW w:w="398" w:type="pct"/>
          </w:tcPr>
          <w:p w14:paraId="2E882F10"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982445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5849B0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B3CBBE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44007A2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15A4A8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FEB327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CFC6D0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AF079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567D341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1C43496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34,80</w:t>
            </w:r>
          </w:p>
        </w:tc>
      </w:tr>
      <w:tr w:rsidR="004A5913" w:rsidRPr="0052533D" w14:paraId="7924CD11"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0F174EE4"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2022</w:t>
            </w:r>
          </w:p>
        </w:tc>
        <w:tc>
          <w:tcPr>
            <w:tcW w:w="398" w:type="pct"/>
          </w:tcPr>
          <w:p w14:paraId="0C3A4C0F"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3849D0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188537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5F6816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3CCF145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F4C8E0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6F1410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058F3C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7F8CD64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590582D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43784CB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69,59</w:t>
            </w:r>
          </w:p>
        </w:tc>
      </w:tr>
      <w:tr w:rsidR="004A5913" w:rsidRPr="0052533D" w14:paraId="702F2A05"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13DC004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2023</w:t>
            </w:r>
          </w:p>
        </w:tc>
        <w:tc>
          <w:tcPr>
            <w:tcW w:w="398" w:type="pct"/>
          </w:tcPr>
          <w:p w14:paraId="7A03B4C7"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7B3B225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6A13AC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125794D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44F4F13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03D5A16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359E5DB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177CFE4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3133E5B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2F00D4A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4DEBF55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104,39</w:t>
            </w:r>
          </w:p>
        </w:tc>
      </w:tr>
      <w:tr w:rsidR="004A5913" w:rsidRPr="0052533D" w14:paraId="67272F45"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5C6BFCD9"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2024</w:t>
            </w:r>
          </w:p>
        </w:tc>
        <w:tc>
          <w:tcPr>
            <w:tcW w:w="398" w:type="pct"/>
          </w:tcPr>
          <w:p w14:paraId="35CFF490"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5E6091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64F7637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1B08BB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6CED25D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0D105E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4DDBDE8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06F4038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A385E3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3F83F7D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44C8D1D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139,19</w:t>
            </w:r>
          </w:p>
        </w:tc>
      </w:tr>
      <w:tr w:rsidR="004A5913" w:rsidRPr="0052533D" w14:paraId="5CE4CE4E"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54D682B"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2025</w:t>
            </w:r>
          </w:p>
        </w:tc>
        <w:tc>
          <w:tcPr>
            <w:tcW w:w="398" w:type="pct"/>
          </w:tcPr>
          <w:p w14:paraId="65A22E5B"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19D9591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23C714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3D245B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54C8B18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24E74A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06DE4639"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1838AF7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51B0D30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079DA3F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45A8197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173,98</w:t>
            </w:r>
          </w:p>
        </w:tc>
      </w:tr>
      <w:tr w:rsidR="004A5913" w:rsidRPr="0052533D" w14:paraId="0B48E5AF"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50CB6066"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2026</w:t>
            </w:r>
          </w:p>
        </w:tc>
        <w:tc>
          <w:tcPr>
            <w:tcW w:w="398" w:type="pct"/>
          </w:tcPr>
          <w:p w14:paraId="253E0FA2"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58EA86E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845351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5212748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90DD36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12733D1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69FBFAD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02D3EA1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16C9681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47AA7F5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72E30BC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208,78</w:t>
            </w:r>
          </w:p>
        </w:tc>
      </w:tr>
      <w:tr w:rsidR="004A5913" w:rsidRPr="0052533D" w14:paraId="2C7DB333"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06A02A31"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2027</w:t>
            </w:r>
          </w:p>
        </w:tc>
        <w:tc>
          <w:tcPr>
            <w:tcW w:w="398" w:type="pct"/>
          </w:tcPr>
          <w:p w14:paraId="497F5572"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4FDC05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5C9BAB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70C5C1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035A9E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5C3208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69C41503"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2670DD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77" w:type="pct"/>
          </w:tcPr>
          <w:p w14:paraId="668B1E0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020C482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2C3947A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243,58</w:t>
            </w:r>
          </w:p>
        </w:tc>
      </w:tr>
      <w:tr w:rsidR="004A5913" w:rsidRPr="0052533D" w14:paraId="42DA499C"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D506F7C"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2028</w:t>
            </w:r>
          </w:p>
        </w:tc>
        <w:tc>
          <w:tcPr>
            <w:tcW w:w="398" w:type="pct"/>
          </w:tcPr>
          <w:p w14:paraId="41D1DE95"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B54E1C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72658AF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C912E7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8B0C4D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07BCFE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8E4D24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D63A817"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33439F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1" w:type="pct"/>
          </w:tcPr>
          <w:p w14:paraId="45A0C11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431CCC6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278,38</w:t>
            </w:r>
          </w:p>
        </w:tc>
      </w:tr>
      <w:tr w:rsidR="004A5913" w:rsidRPr="0052533D" w14:paraId="384FECE6"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4B46B65F"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2029</w:t>
            </w:r>
          </w:p>
        </w:tc>
        <w:tc>
          <w:tcPr>
            <w:tcW w:w="398" w:type="pct"/>
          </w:tcPr>
          <w:p w14:paraId="72CF2609"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0FF32B12"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7EC8187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5D609A8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5E13FCB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FD3A92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60C92AF"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1B641DC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6AD79C88"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81" w:type="pct"/>
          </w:tcPr>
          <w:p w14:paraId="6C9CF88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52" w:type="pct"/>
          </w:tcPr>
          <w:p w14:paraId="5CF82FD5"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313,17</w:t>
            </w:r>
          </w:p>
        </w:tc>
      </w:tr>
      <w:tr w:rsidR="004A5913" w:rsidRPr="0052533D" w14:paraId="7ADE64D4" w14:textId="77777777" w:rsidTr="003F7A28">
        <w:tc>
          <w:tcPr>
            <w:cnfStyle w:val="001000000000" w:firstRow="0" w:lastRow="0" w:firstColumn="1" w:lastColumn="0" w:oddVBand="0" w:evenVBand="0" w:oddHBand="0" w:evenHBand="0" w:firstRowFirstColumn="0" w:firstRowLastColumn="0" w:lastRowFirstColumn="0" w:lastRowLastColumn="0"/>
            <w:tcW w:w="653" w:type="pct"/>
          </w:tcPr>
          <w:p w14:paraId="6D400A52"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r w:rsidRPr="0052533D">
              <w:rPr>
                <w:rFonts w:ascii="Arial" w:hAnsi="Arial" w:cs="Arial"/>
                <w:noProof/>
                <w:sz w:val="20"/>
                <w:szCs w:val="20"/>
              </w:rPr>
              <w:t>2030</w:t>
            </w:r>
          </w:p>
        </w:tc>
        <w:tc>
          <w:tcPr>
            <w:tcW w:w="398" w:type="pct"/>
          </w:tcPr>
          <w:p w14:paraId="4CD8D2AA" w14:textId="77777777" w:rsidR="004A5913" w:rsidRPr="0052533D" w:rsidRDefault="004A5913" w:rsidP="009104E0">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516ACB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1ED6E21"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4CA6CCEB"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610208C"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3BD7826"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6B702C0"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25F15B64"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77" w:type="pct"/>
          </w:tcPr>
          <w:p w14:paraId="374BC46D"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381" w:type="pct"/>
          </w:tcPr>
          <w:p w14:paraId="70BB4CCE"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4B2">
              <w:rPr>
                <w:rFonts w:ascii="Arial" w:hAnsi="Arial" w:cs="Arial"/>
                <w:sz w:val="18"/>
                <w:szCs w:val="18"/>
              </w:rPr>
              <w:t>22,62</w:t>
            </w:r>
          </w:p>
        </w:tc>
        <w:tc>
          <w:tcPr>
            <w:tcW w:w="552" w:type="pct"/>
          </w:tcPr>
          <w:p w14:paraId="5C7E786A" w14:textId="77777777" w:rsidR="004A5913" w:rsidRPr="0052533D" w:rsidRDefault="004A5913">
            <w:pPr>
              <w:pStyle w:val="PointManual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533D">
              <w:rPr>
                <w:rFonts w:ascii="Arial" w:hAnsi="Arial" w:cs="Arial"/>
                <w:sz w:val="18"/>
                <w:szCs w:val="18"/>
              </w:rPr>
              <w:t>347,97</w:t>
            </w:r>
          </w:p>
        </w:tc>
      </w:tr>
      <w:tr w:rsidR="004A5913" w:rsidRPr="0052533D" w14:paraId="756015AF"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40CF0F8D" w14:textId="77777777" w:rsidR="004A5913" w:rsidRPr="0052533D" w:rsidRDefault="004A5913" w:rsidP="001B6C7B">
            <w:pPr>
              <w:pStyle w:val="PointManual1"/>
              <w:spacing w:before="0" w:after="0" w:line="276" w:lineRule="auto"/>
              <w:ind w:left="0" w:firstLine="0"/>
              <w:rPr>
                <w:rFonts w:ascii="Arial" w:hAnsi="Arial" w:cs="Arial"/>
                <w:noProof/>
                <w:sz w:val="20"/>
                <w:szCs w:val="20"/>
              </w:rPr>
            </w:pPr>
            <w:bookmarkStart w:id="527" w:name="_Hlk531343250"/>
            <w:r>
              <w:rPr>
                <w:rFonts w:ascii="Arial" w:hAnsi="Arial" w:cs="Arial"/>
                <w:noProof/>
                <w:sz w:val="20"/>
                <w:szCs w:val="20"/>
              </w:rPr>
              <w:t>UKUPNI KUMULATIVNI CILJ ZA RAZDOBLJE 2021. – 2030. [ktoe]</w:t>
            </w:r>
          </w:p>
        </w:tc>
        <w:tc>
          <w:tcPr>
            <w:tcW w:w="552" w:type="pct"/>
          </w:tcPr>
          <w:p w14:paraId="62947BD9"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C91B0D">
              <w:rPr>
                <w:rFonts w:cs="Arial"/>
                <w:b/>
                <w:noProof/>
                <w:color w:val="000000"/>
                <w:sz w:val="20"/>
                <w:szCs w:val="20"/>
              </w:rPr>
              <w:t>1.243,99</w:t>
            </w:r>
          </w:p>
        </w:tc>
      </w:tr>
      <w:tr w:rsidR="004A5913" w:rsidRPr="0052533D" w14:paraId="61684587"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022CE353"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UKUPNI KUMULATIVNI CILJ ZA RAZDOBLJE 2021. – 2030. [PJ]</w:t>
            </w:r>
          </w:p>
        </w:tc>
        <w:tc>
          <w:tcPr>
            <w:tcW w:w="552" w:type="pct"/>
          </w:tcPr>
          <w:p w14:paraId="0F19874D" w14:textId="77777777" w:rsidR="004A5913" w:rsidRPr="0052533D"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sidRPr="00C91B0D">
              <w:rPr>
                <w:rFonts w:cs="Arial"/>
                <w:b/>
                <w:noProof/>
                <w:color w:val="000000"/>
                <w:sz w:val="20"/>
                <w:szCs w:val="20"/>
              </w:rPr>
              <w:t>52,08</w:t>
            </w:r>
          </w:p>
        </w:tc>
      </w:tr>
      <w:tr w:rsidR="004A5913" w:rsidRPr="0052533D" w14:paraId="0E6A4273" w14:textId="77777777" w:rsidTr="003F7A28">
        <w:tc>
          <w:tcPr>
            <w:cnfStyle w:val="001000000000" w:firstRow="0" w:lastRow="0" w:firstColumn="1" w:lastColumn="0" w:oddVBand="0" w:evenVBand="0" w:oddHBand="0" w:evenHBand="0" w:firstRowFirstColumn="0" w:firstRowLastColumn="0" w:lastRowFirstColumn="0" w:lastRowLastColumn="0"/>
            <w:tcW w:w="4448" w:type="pct"/>
            <w:gridSpan w:val="11"/>
          </w:tcPr>
          <w:p w14:paraId="7840317E" w14:textId="77777777" w:rsidR="004A5913" w:rsidRDefault="004A5913" w:rsidP="001B6C7B">
            <w:pPr>
              <w:pStyle w:val="PointManual1"/>
              <w:spacing w:before="0" w:after="0" w:line="276" w:lineRule="auto"/>
              <w:ind w:left="0" w:firstLine="0"/>
              <w:rPr>
                <w:rFonts w:ascii="Arial" w:hAnsi="Arial" w:cs="Arial"/>
                <w:noProof/>
                <w:sz w:val="20"/>
                <w:szCs w:val="20"/>
              </w:rPr>
            </w:pPr>
            <w:r>
              <w:rPr>
                <w:rFonts w:ascii="Arial" w:hAnsi="Arial" w:cs="Arial"/>
                <w:noProof/>
                <w:sz w:val="20"/>
                <w:szCs w:val="20"/>
              </w:rPr>
              <w:t>Godišnje uštede [PJ]</w:t>
            </w:r>
          </w:p>
        </w:tc>
        <w:tc>
          <w:tcPr>
            <w:tcW w:w="552" w:type="pct"/>
          </w:tcPr>
          <w:p w14:paraId="51B7ACBA" w14:textId="77777777" w:rsidR="004A5913" w:rsidRPr="001A054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rPr>
            </w:pPr>
            <w:r>
              <w:rPr>
                <w:rFonts w:cs="Arial"/>
                <w:b/>
                <w:noProof/>
                <w:color w:val="000000"/>
                <w:sz w:val="20"/>
                <w:szCs w:val="20"/>
              </w:rPr>
              <w:t>0,95</w:t>
            </w:r>
          </w:p>
        </w:tc>
      </w:tr>
      <w:bookmarkEnd w:id="527"/>
    </w:tbl>
    <w:p w14:paraId="1D83F851" w14:textId="77777777" w:rsidR="004A5913" w:rsidRPr="00A548FF" w:rsidRDefault="004A5913" w:rsidP="004A5913">
      <w:pPr>
        <w:pStyle w:val="PointManual1"/>
        <w:spacing w:before="0" w:after="0" w:line="276" w:lineRule="auto"/>
        <w:ind w:left="927" w:firstLine="0"/>
        <w:rPr>
          <w:rFonts w:ascii="Arial" w:hAnsi="Arial" w:cs="Arial"/>
          <w:i/>
          <w:sz w:val="22"/>
        </w:rPr>
      </w:pPr>
    </w:p>
    <w:p w14:paraId="6AD9FA4A" w14:textId="77777777" w:rsidR="004A5913" w:rsidRDefault="004A5913" w:rsidP="004A5913">
      <w:pPr>
        <w:pStyle w:val="PointManual1"/>
        <w:numPr>
          <w:ilvl w:val="0"/>
          <w:numId w:val="97"/>
        </w:numPr>
        <w:spacing w:before="0" w:after="0" w:line="276" w:lineRule="auto"/>
        <w:rPr>
          <w:rFonts w:ascii="Arial" w:hAnsi="Arial" w:cs="Arial"/>
          <w:i/>
          <w:sz w:val="22"/>
        </w:rPr>
      </w:pPr>
      <w:r w:rsidRPr="00A548FF">
        <w:rPr>
          <w:rFonts w:ascii="Arial" w:hAnsi="Arial" w:cs="Arial"/>
          <w:i/>
          <w:sz w:val="22"/>
        </w:rPr>
        <w:t>iznos uštede koji premašuje traženi ukupni kumulativni iznos uštede za razdoblje od 1. siječnja 2014. do 31. prosinca 2020. [u ktoe] ako se to treba prenijeti na razdoblje od 1. siječnja 2021. do 31. prosinca 2030., u skladu s člankom 7. stavkom 4.a.</w:t>
      </w:r>
    </w:p>
    <w:p w14:paraId="4763D1EF" w14:textId="77777777" w:rsidR="004A5913" w:rsidRPr="002F3855" w:rsidRDefault="004A5913" w:rsidP="004A5913">
      <w:pPr>
        <w:pStyle w:val="PointManual1"/>
        <w:spacing w:before="0" w:after="0" w:line="276" w:lineRule="auto"/>
        <w:ind w:left="0" w:firstLine="0"/>
        <w:rPr>
          <w:rFonts w:ascii="Arial" w:hAnsi="Arial" w:cs="Arial"/>
          <w:sz w:val="22"/>
        </w:rPr>
      </w:pPr>
      <w:r w:rsidRPr="00C71373">
        <w:rPr>
          <w:rFonts w:ascii="Arial" w:hAnsi="Arial" w:cs="Arial"/>
          <w:sz w:val="22"/>
        </w:rPr>
        <w:t>Nije primjenjivo.</w:t>
      </w:r>
      <w:r w:rsidRPr="002F3855">
        <w:rPr>
          <w:rFonts w:cs="Arial"/>
          <w:noProof/>
        </w:rPr>
        <w:br w:type="page"/>
      </w:r>
    </w:p>
    <w:p w14:paraId="5B798AC6" w14:textId="77777777" w:rsidR="004A5913" w:rsidRPr="009D19A1" w:rsidRDefault="004A5913" w:rsidP="004A5913">
      <w:pPr>
        <w:pStyle w:val="ManualNumPar1"/>
        <w:numPr>
          <w:ilvl w:val="0"/>
          <w:numId w:val="100"/>
        </w:numPr>
        <w:spacing w:before="0" w:after="0" w:line="276" w:lineRule="auto"/>
        <w:jc w:val="both"/>
        <w:rPr>
          <w:rFonts w:ascii="Arial" w:hAnsi="Arial" w:cs="Arial"/>
          <w:b/>
          <w:i/>
          <w:sz w:val="22"/>
        </w:rPr>
      </w:pPr>
      <w:r w:rsidRPr="009D19A1">
        <w:rPr>
          <w:rFonts w:ascii="Arial" w:hAnsi="Arial" w:cs="Arial"/>
          <w:b/>
          <w:i/>
          <w:sz w:val="22"/>
        </w:rPr>
        <w:t>Mjere politike u pogledu ostvarivanja propisane uštede iz članka 7. stavka 1. Direktive 2012/27/EU:</w:t>
      </w:r>
    </w:p>
    <w:p w14:paraId="60CDBCAC" w14:textId="77777777" w:rsidR="004A5913" w:rsidRPr="002F3855" w:rsidRDefault="004A5913" w:rsidP="00A87274">
      <w:pPr>
        <w:spacing w:before="0" w:after="0" w:line="276" w:lineRule="auto"/>
        <w:ind w:left="357"/>
        <w:rPr>
          <w:rFonts w:cs="Arial"/>
          <w:lang w:eastAsia="en-US"/>
        </w:rPr>
      </w:pPr>
    </w:p>
    <w:p w14:paraId="4FCBFE28" w14:textId="77777777" w:rsidR="004A5913" w:rsidRPr="00C30DB2" w:rsidRDefault="004A5913" w:rsidP="004A5913">
      <w:pPr>
        <w:pStyle w:val="ManualNumPar1"/>
        <w:numPr>
          <w:ilvl w:val="1"/>
          <w:numId w:val="100"/>
        </w:numPr>
        <w:spacing w:before="0" w:after="0" w:line="276" w:lineRule="auto"/>
        <w:jc w:val="both"/>
        <w:rPr>
          <w:rFonts w:ascii="Arial" w:hAnsi="Arial" w:cs="Arial"/>
          <w:i/>
          <w:sz w:val="22"/>
        </w:rPr>
      </w:pPr>
      <w:r w:rsidRPr="00C30DB2">
        <w:rPr>
          <w:rFonts w:ascii="Arial" w:hAnsi="Arial" w:cs="Arial"/>
          <w:i/>
          <w:sz w:val="22"/>
        </w:rPr>
        <w:t>Sustavi obveze energetske učinkovitosti iz članka 7.a Direktive 2012/27/EU:</w:t>
      </w:r>
    </w:p>
    <w:p w14:paraId="5FE21F0B" w14:textId="77777777" w:rsidR="004A5913" w:rsidRPr="002F3855" w:rsidRDefault="004A5913" w:rsidP="00A87274">
      <w:pPr>
        <w:spacing w:before="0" w:after="0" w:line="276" w:lineRule="auto"/>
        <w:rPr>
          <w:rFonts w:cs="Arial"/>
          <w:lang w:eastAsia="en-US"/>
        </w:rPr>
      </w:pPr>
    </w:p>
    <w:p w14:paraId="00CDD306" w14:textId="77777777" w:rsidR="004A5913"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opis sustava obveze energetske učinkovitosti</w:t>
      </w:r>
    </w:p>
    <w:p w14:paraId="7325417A"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 xml:space="preserve">Sustav obveze energetske učinkovitosti propisuje se Zakonom o energetskoj učinkovitosti, a njegovo funkcioniranje se dodatno objašnjava posebnim propisom (pravilnikom) koji slijedi iz Zakona. U trenutku izrade ovog Plana, izmjene i dopune Zakona o energetskoj učinkovitosti su u parlamentarnoj proceduri, pa provedbeni propis još nije donesen. Stoga će se cijeli opis sustava novelirati nakon usvajanja navedenih zakonskih dokumenata. U nastavku se daju osnovne odredbe sustava, prema konačnom nacrtu izmjena i dopuna Zakona. </w:t>
      </w:r>
    </w:p>
    <w:p w14:paraId="774DDD47"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Sustav obveza propisuje se za opskrbljivače energijom (stranke obveznice). </w:t>
      </w:r>
      <w:r w:rsidRPr="009372DA">
        <w:rPr>
          <w:rFonts w:ascii="Arial" w:hAnsi="Arial" w:cs="Arial"/>
          <w:sz w:val="22"/>
        </w:rPr>
        <w:t xml:space="preserve">Ministarstvo </w:t>
      </w:r>
      <w:r>
        <w:rPr>
          <w:rFonts w:ascii="Arial" w:hAnsi="Arial" w:cs="Arial"/>
          <w:sz w:val="22"/>
        </w:rPr>
        <w:t xml:space="preserve">nadležno za energetiku posebnim </w:t>
      </w:r>
      <w:r w:rsidRPr="009372DA">
        <w:rPr>
          <w:rFonts w:ascii="Arial" w:hAnsi="Arial" w:cs="Arial"/>
          <w:sz w:val="22"/>
        </w:rPr>
        <w:t xml:space="preserve">rješenjem </w:t>
      </w:r>
      <w:r>
        <w:rPr>
          <w:rFonts w:ascii="Arial" w:hAnsi="Arial" w:cs="Arial"/>
          <w:sz w:val="22"/>
        </w:rPr>
        <w:t>svakoj</w:t>
      </w:r>
      <w:r w:rsidRPr="009372DA">
        <w:rPr>
          <w:rFonts w:ascii="Arial" w:hAnsi="Arial" w:cs="Arial"/>
          <w:sz w:val="22"/>
        </w:rPr>
        <w:t xml:space="preserve"> stranci obveznici do 30. lipnja tekuće godine </w:t>
      </w:r>
      <w:r>
        <w:rPr>
          <w:rFonts w:ascii="Arial" w:hAnsi="Arial" w:cs="Arial"/>
          <w:sz w:val="22"/>
        </w:rPr>
        <w:t xml:space="preserve">određuje </w:t>
      </w:r>
      <w:r w:rsidRPr="009372DA">
        <w:rPr>
          <w:rFonts w:ascii="Arial" w:hAnsi="Arial" w:cs="Arial"/>
          <w:sz w:val="22"/>
        </w:rPr>
        <w:t>točan godišnji iznos obveze uštede energije u kWh za narednu godinu, raspoređujući na sve stranke obveznice dio nacionalnog okvirnog cilja ušteda energije za iduću godinu koji se ostvaruje kroz sustav obveze, kao i kumulativni cilj uštede energije do kraja razdoblja kumuliranja</w:t>
      </w:r>
      <w:r>
        <w:rPr>
          <w:rFonts w:ascii="Arial" w:hAnsi="Arial" w:cs="Arial"/>
          <w:sz w:val="22"/>
        </w:rPr>
        <w:t>. Godišnja obveza se može:</w:t>
      </w:r>
    </w:p>
    <w:p w14:paraId="012EF132" w14:textId="77777777" w:rsidR="004A5913" w:rsidRPr="00154A1D"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Pr>
          <w:rFonts w:ascii="Arial" w:hAnsi="Arial" w:cs="Arial"/>
          <w:sz w:val="22"/>
        </w:rPr>
        <w:t>umanjiti</w:t>
      </w:r>
      <w:r w:rsidRPr="00154A1D">
        <w:rPr>
          <w:rFonts w:ascii="Arial" w:eastAsia="Calibri" w:hAnsi="Arial" w:cs="Arial"/>
          <w:sz w:val="22"/>
          <w:szCs w:val="22"/>
          <w:lang w:eastAsia="en-US"/>
        </w:rPr>
        <w:t xml:space="preserve"> za uštedu energije ostvarenu preko visine obveze ostvarene u pretprošloj godini, ako ista postoji</w:t>
      </w:r>
      <w:r>
        <w:rPr>
          <w:rFonts w:ascii="Arial" w:eastAsia="Calibri" w:hAnsi="Arial" w:cs="Arial"/>
          <w:sz w:val="22"/>
          <w:szCs w:val="22"/>
          <w:lang w:eastAsia="en-US"/>
        </w:rPr>
        <w:t>;</w:t>
      </w:r>
      <w:r w:rsidRPr="00154A1D">
        <w:rPr>
          <w:rFonts w:ascii="Arial" w:eastAsia="Calibri" w:hAnsi="Arial" w:cs="Arial"/>
          <w:sz w:val="22"/>
          <w:szCs w:val="22"/>
          <w:lang w:eastAsia="en-US"/>
        </w:rPr>
        <w:t xml:space="preserve"> </w:t>
      </w:r>
    </w:p>
    <w:p w14:paraId="00E7BD25" w14:textId="77777777" w:rsidR="004A5913" w:rsidRPr="00154A1D" w:rsidRDefault="004A5913" w:rsidP="004A5913">
      <w:pPr>
        <w:pStyle w:val="t-9-8"/>
        <w:numPr>
          <w:ilvl w:val="0"/>
          <w:numId w:val="103"/>
        </w:numPr>
        <w:spacing w:before="0" w:after="0" w:afterAutospacing="0"/>
        <w:jc w:val="both"/>
        <w:textAlignment w:val="baseline"/>
        <w:rPr>
          <w:rFonts w:ascii="Arial" w:eastAsia="Calibri" w:hAnsi="Arial" w:cs="Arial"/>
          <w:sz w:val="22"/>
          <w:szCs w:val="22"/>
          <w:lang w:eastAsia="en-US"/>
        </w:rPr>
      </w:pPr>
      <w:r>
        <w:rPr>
          <w:rFonts w:ascii="Arial" w:hAnsi="Arial" w:cs="Arial"/>
          <w:sz w:val="22"/>
        </w:rPr>
        <w:t>umanjiti</w:t>
      </w:r>
      <w:r w:rsidRPr="00154A1D">
        <w:rPr>
          <w:rFonts w:ascii="Arial" w:eastAsia="Calibri" w:hAnsi="Arial" w:cs="Arial"/>
          <w:sz w:val="22"/>
          <w:szCs w:val="22"/>
          <w:lang w:eastAsia="en-US"/>
        </w:rPr>
        <w:t xml:space="preserve"> za uštedu energije koja je rezultat mjera poduzetih nakon 1. siječnja 2014. godine, a koja prethodno nije obračunata, ako ista postoji</w:t>
      </w:r>
      <w:r>
        <w:rPr>
          <w:rFonts w:ascii="Arial" w:eastAsia="Calibri" w:hAnsi="Arial" w:cs="Arial"/>
          <w:sz w:val="22"/>
          <w:szCs w:val="22"/>
          <w:lang w:eastAsia="en-US"/>
        </w:rPr>
        <w:t>;</w:t>
      </w:r>
      <w:r w:rsidRPr="00154A1D">
        <w:rPr>
          <w:rFonts w:ascii="Arial" w:eastAsia="Calibri" w:hAnsi="Arial" w:cs="Arial"/>
          <w:sz w:val="22"/>
          <w:szCs w:val="22"/>
          <w:lang w:eastAsia="en-US"/>
        </w:rPr>
        <w:t xml:space="preserve"> </w:t>
      </w:r>
    </w:p>
    <w:p w14:paraId="554FEDD6" w14:textId="77777777" w:rsidR="004A5913" w:rsidRPr="00154A1D" w:rsidRDefault="004A5913" w:rsidP="004A5913">
      <w:pPr>
        <w:pStyle w:val="t-9-8"/>
        <w:numPr>
          <w:ilvl w:val="0"/>
          <w:numId w:val="103"/>
        </w:numPr>
        <w:spacing w:before="0" w:after="0" w:afterAutospacing="0"/>
        <w:jc w:val="both"/>
        <w:textAlignment w:val="baseline"/>
        <w:rPr>
          <w:rFonts w:ascii="Arial" w:eastAsia="Calibri" w:hAnsi="Arial" w:cs="Arial"/>
          <w:sz w:val="22"/>
          <w:szCs w:val="22"/>
          <w:lang w:eastAsia="en-US"/>
        </w:rPr>
      </w:pPr>
      <w:r w:rsidRPr="00154A1D">
        <w:rPr>
          <w:rFonts w:ascii="Arial" w:eastAsia="Calibri" w:hAnsi="Arial" w:cs="Arial"/>
          <w:sz w:val="22"/>
          <w:szCs w:val="22"/>
          <w:lang w:eastAsia="en-US"/>
        </w:rPr>
        <w:t xml:space="preserve">na zahtjev stranke obveznice uračunati ostvarenu, ali ranije neobračunatu dokazanu uštedu u bilo koju od četiri prethodne ili tri sljedeće godine, odnosno </w:t>
      </w:r>
    </w:p>
    <w:p w14:paraId="76641553" w14:textId="77777777" w:rsidR="004A5913" w:rsidRPr="00154A1D" w:rsidRDefault="004A5913" w:rsidP="004A5913">
      <w:pPr>
        <w:pStyle w:val="t-9-8"/>
        <w:numPr>
          <w:ilvl w:val="0"/>
          <w:numId w:val="103"/>
        </w:numPr>
        <w:spacing w:before="0" w:beforeAutospacing="0" w:after="120" w:afterAutospacing="0"/>
        <w:ind w:left="714" w:hanging="357"/>
        <w:jc w:val="both"/>
        <w:textAlignment w:val="baseline"/>
        <w:rPr>
          <w:rFonts w:ascii="Arial" w:eastAsia="Calibri" w:hAnsi="Arial" w:cs="Arial"/>
          <w:sz w:val="22"/>
          <w:szCs w:val="22"/>
          <w:lang w:eastAsia="en-US"/>
        </w:rPr>
      </w:pPr>
      <w:r w:rsidRPr="00154A1D">
        <w:rPr>
          <w:rFonts w:ascii="Arial" w:eastAsia="Calibri" w:hAnsi="Arial" w:cs="Arial"/>
          <w:sz w:val="22"/>
          <w:szCs w:val="22"/>
          <w:lang w:eastAsia="en-US"/>
        </w:rPr>
        <w:t xml:space="preserve">uvećati za neostvarene uštede iz prošle godine, ako neostvarene uštede nisu veće od 10% ukupne obveze u pretprošloj godini. </w:t>
      </w:r>
    </w:p>
    <w:p w14:paraId="7892F5EE" w14:textId="77777777" w:rsidR="004A5913" w:rsidRPr="009372DA" w:rsidRDefault="004A5913" w:rsidP="004A5913">
      <w:pPr>
        <w:pStyle w:val="PointManual1"/>
        <w:spacing w:before="0" w:after="0" w:line="276" w:lineRule="auto"/>
        <w:ind w:left="0" w:firstLine="0"/>
        <w:rPr>
          <w:rFonts w:ascii="Arial" w:hAnsi="Arial" w:cs="Arial"/>
          <w:sz w:val="22"/>
        </w:rPr>
      </w:pPr>
    </w:p>
    <w:p w14:paraId="38F19124" w14:textId="77777777" w:rsidR="004A5913"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očekivane kumulativne i godišnje količine uštede i trajanje razdoblja obveze</w:t>
      </w:r>
    </w:p>
    <w:p w14:paraId="2659D84A" w14:textId="77777777" w:rsidR="004A5913" w:rsidRDefault="004A5913" w:rsidP="00A87274">
      <w:pPr>
        <w:spacing w:before="0" w:after="0"/>
        <w:rPr>
          <w:rFonts w:cs="Arial"/>
        </w:rPr>
      </w:pPr>
      <w:r>
        <w:rPr>
          <w:rFonts w:cs="Arial"/>
        </w:rPr>
        <w:t>Sustavom obveza u RH se planira u razdoblju od 2021. do 2030. godine ostvariti do 50% cilja, što iznosi kumulativno u cijelom razdoblju 622 ktoe (26 PJ) odnosno na godišnjoj razini 11,31 ktoe (0,475 PJ).</w:t>
      </w:r>
    </w:p>
    <w:p w14:paraId="14DFE809" w14:textId="77777777" w:rsidR="004A5913" w:rsidRPr="00722E6F" w:rsidRDefault="004A5913" w:rsidP="004A5913">
      <w:pPr>
        <w:rPr>
          <w:rFonts w:cs="Arial"/>
          <w:b/>
        </w:rPr>
      </w:pPr>
      <w:r w:rsidRPr="00722E6F">
        <w:rPr>
          <w:rFonts w:cs="Arial"/>
          <w:b/>
        </w:rPr>
        <w:t xml:space="preserve">Važna napomena: </w:t>
      </w:r>
      <w:r>
        <w:rPr>
          <w:rFonts w:cs="Arial"/>
        </w:rPr>
        <w:t xml:space="preserve">Točan udio sustava obveza i alternativnih mjera nije još utvrđen, a u tvrdit će se Pravilnikom o sustavu obveza energetske učinkovitosti, koji će se usvojiti na temelju izmjena i dopuna Zakona o energetskoj učinkovitosti. Stoga je udio od 50% samo indikativan, a s obzirom na potencijal alternativnih mjera (pogledati točku 2.2.), moguće je da će konačno utvrđeni udio biti i manji. </w:t>
      </w:r>
    </w:p>
    <w:p w14:paraId="6CD55A10" w14:textId="77777777" w:rsidR="004A5913" w:rsidRPr="00C30DB2" w:rsidRDefault="004A5913" w:rsidP="004A5913">
      <w:pPr>
        <w:pStyle w:val="PointManual1"/>
        <w:spacing w:before="0" w:after="0" w:line="276" w:lineRule="auto"/>
        <w:ind w:left="927" w:firstLine="0"/>
        <w:rPr>
          <w:rFonts w:ascii="Arial" w:hAnsi="Arial" w:cs="Arial"/>
          <w:i/>
          <w:sz w:val="22"/>
        </w:rPr>
      </w:pPr>
    </w:p>
    <w:p w14:paraId="4FED0BE0" w14:textId="77777777" w:rsidR="004A5913"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stranke obveznice i njihove odgovornosti</w:t>
      </w:r>
    </w:p>
    <w:p w14:paraId="53ED7826" w14:textId="77777777" w:rsidR="004A5913" w:rsidRPr="00154A1D"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Stranke obveznice su opskrbljivači energije i to od 2021.godine i za sve godine nakon njem svi oni opskrbljivači koji </w:t>
      </w:r>
      <w:r w:rsidRPr="00496238">
        <w:rPr>
          <w:rFonts w:ascii="Arial" w:hAnsi="Arial" w:cs="Arial"/>
          <w:sz w:val="22"/>
        </w:rPr>
        <w:t xml:space="preserve">su na tržište isporučili više od 50 GWh energije tijekom pretprošle godine. </w:t>
      </w:r>
      <w:r w:rsidRPr="00154A1D">
        <w:rPr>
          <w:rFonts w:ascii="Arial" w:hAnsi="Arial" w:cs="Arial"/>
          <w:sz w:val="22"/>
        </w:rPr>
        <w:t>Pri izračunu na tržište isporučene energije</w:t>
      </w:r>
      <w:r>
        <w:rPr>
          <w:rFonts w:ascii="Arial" w:hAnsi="Arial" w:cs="Arial"/>
          <w:sz w:val="22"/>
        </w:rPr>
        <w:t xml:space="preserve"> (vidi točku (c))</w:t>
      </w:r>
      <w:r w:rsidRPr="00154A1D">
        <w:rPr>
          <w:rFonts w:ascii="Arial" w:hAnsi="Arial" w:cs="Arial"/>
          <w:sz w:val="22"/>
        </w:rPr>
        <w:t xml:space="preserve"> isključuje se: </w:t>
      </w:r>
    </w:p>
    <w:p w14:paraId="58273999" w14:textId="77777777" w:rsidR="004A5913" w:rsidRPr="00154A1D"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154A1D">
        <w:rPr>
          <w:rFonts w:ascii="Arial" w:eastAsia="Calibri" w:hAnsi="Arial" w:cs="Arial"/>
          <w:sz w:val="22"/>
          <w:szCs w:val="22"/>
          <w:lang w:eastAsia="en-US"/>
        </w:rPr>
        <w:t>dio biogoriva koji su stranke obveznice koji stavljaju na tržište dizelsko gorivo ili motorni benzin za pogon motornih vozila u određenom postotku morali staviti sukladno posebnom propisu kojim se uređuje korištenje biogoriva za prijevoz</w:t>
      </w:r>
      <w:r>
        <w:rPr>
          <w:rFonts w:ascii="Arial" w:eastAsia="Calibri" w:hAnsi="Arial" w:cs="Arial"/>
          <w:sz w:val="22"/>
          <w:szCs w:val="22"/>
          <w:lang w:eastAsia="en-US"/>
        </w:rPr>
        <w:t>;</w:t>
      </w:r>
      <w:r w:rsidRPr="00154A1D">
        <w:rPr>
          <w:rFonts w:ascii="Arial" w:eastAsia="Calibri" w:hAnsi="Arial" w:cs="Arial"/>
          <w:sz w:val="22"/>
          <w:szCs w:val="22"/>
          <w:lang w:eastAsia="en-US"/>
        </w:rPr>
        <w:t xml:space="preserve"> </w:t>
      </w:r>
    </w:p>
    <w:p w14:paraId="73D97CB8" w14:textId="77777777" w:rsidR="004A5913" w:rsidRPr="00154A1D" w:rsidRDefault="004A5913" w:rsidP="004A5913">
      <w:pPr>
        <w:pStyle w:val="t-9-8"/>
        <w:numPr>
          <w:ilvl w:val="0"/>
          <w:numId w:val="103"/>
        </w:numPr>
        <w:spacing w:before="0" w:after="0" w:afterAutospacing="0"/>
        <w:jc w:val="both"/>
        <w:textAlignment w:val="baseline"/>
        <w:rPr>
          <w:rFonts w:ascii="Arial" w:eastAsia="Calibri" w:hAnsi="Arial" w:cs="Arial"/>
          <w:sz w:val="22"/>
          <w:szCs w:val="22"/>
          <w:lang w:eastAsia="en-US"/>
        </w:rPr>
      </w:pPr>
      <w:r w:rsidRPr="00154A1D">
        <w:rPr>
          <w:rFonts w:ascii="Arial" w:eastAsia="Calibri" w:hAnsi="Arial" w:cs="Arial"/>
          <w:sz w:val="22"/>
          <w:szCs w:val="22"/>
          <w:lang w:eastAsia="en-US"/>
        </w:rPr>
        <w:t xml:space="preserve">energija koju su na tržište isporučili subjekti koji obavljaju djelatnost kupca toplinske energije. </w:t>
      </w:r>
    </w:p>
    <w:p w14:paraId="79928C63" w14:textId="77777777" w:rsidR="004A5913" w:rsidRPr="00C30DB2" w:rsidRDefault="004A5913" w:rsidP="004A5913">
      <w:pPr>
        <w:pStyle w:val="PointManual1"/>
        <w:spacing w:before="0" w:after="0" w:line="276" w:lineRule="auto"/>
        <w:ind w:left="0" w:firstLine="0"/>
        <w:rPr>
          <w:rFonts w:ascii="Arial" w:hAnsi="Arial" w:cs="Arial"/>
          <w:i/>
          <w:sz w:val="22"/>
        </w:rPr>
      </w:pPr>
    </w:p>
    <w:p w14:paraId="0620A163" w14:textId="77777777" w:rsidR="004A5913"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ciljani sektori</w:t>
      </w:r>
    </w:p>
    <w:p w14:paraId="2CDC0A57" w14:textId="77777777" w:rsidR="004A5913" w:rsidRPr="009372DA" w:rsidRDefault="004A5913" w:rsidP="001B6C7B">
      <w:pPr>
        <w:spacing w:before="0" w:after="0"/>
        <w:rPr>
          <w:rFonts w:cs="Arial"/>
        </w:rPr>
      </w:pPr>
      <w:r>
        <w:rPr>
          <w:rFonts w:cs="Arial"/>
        </w:rPr>
        <w:t xml:space="preserve">Ciljani sektori za ostvarenje ušteda energije nisu propisani. </w:t>
      </w:r>
    </w:p>
    <w:p w14:paraId="10856800" w14:textId="77777777" w:rsidR="004A5913" w:rsidRPr="00C30DB2" w:rsidRDefault="004A5913" w:rsidP="004A5913">
      <w:pPr>
        <w:pStyle w:val="PointManual1"/>
        <w:spacing w:before="0" w:after="0" w:line="276" w:lineRule="auto"/>
        <w:ind w:left="927" w:firstLine="0"/>
        <w:rPr>
          <w:rFonts w:ascii="Arial" w:hAnsi="Arial" w:cs="Arial"/>
          <w:i/>
          <w:sz w:val="22"/>
        </w:rPr>
      </w:pPr>
    </w:p>
    <w:p w14:paraId="68F38AE9" w14:textId="77777777" w:rsidR="004A5913"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prihvatljive aktivnosti predviđene u okviru mjere</w:t>
      </w:r>
    </w:p>
    <w:p w14:paraId="6224EE59" w14:textId="77777777" w:rsidR="004A5913" w:rsidRDefault="004A5913" w:rsidP="001B6C7B">
      <w:pPr>
        <w:spacing w:before="0" w:after="0"/>
      </w:pPr>
      <w:r w:rsidRPr="009F71C5">
        <w:rPr>
          <w:rFonts w:cs="Arial"/>
        </w:rPr>
        <w:t xml:space="preserve">Stranke obveznice obvezu ostvaruju: </w:t>
      </w:r>
    </w:p>
    <w:p w14:paraId="3DD8C724" w14:textId="77777777" w:rsidR="004A5913" w:rsidRPr="009F71C5"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9F71C5">
        <w:rPr>
          <w:rFonts w:ascii="Arial" w:eastAsia="Calibri" w:hAnsi="Arial" w:cs="Arial"/>
          <w:sz w:val="22"/>
          <w:szCs w:val="22"/>
          <w:lang w:eastAsia="en-US"/>
        </w:rPr>
        <w:t>ulaganjem i poticanjem u poboljšanje energetske učinkovitosti u neposrednoj potrošnji i to na način da se ta ulaganja ostvare kao nove uštede energije</w:t>
      </w:r>
      <w:r>
        <w:rPr>
          <w:rFonts w:ascii="Arial" w:eastAsia="Calibri" w:hAnsi="Arial" w:cs="Arial"/>
          <w:sz w:val="22"/>
          <w:szCs w:val="22"/>
          <w:lang w:eastAsia="en-US"/>
        </w:rPr>
        <w:t>;</w:t>
      </w:r>
    </w:p>
    <w:p w14:paraId="405C7EC1" w14:textId="77777777" w:rsidR="004A5913" w:rsidRPr="009F71C5"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9F71C5">
        <w:rPr>
          <w:rFonts w:ascii="Arial" w:eastAsia="Calibri" w:hAnsi="Arial" w:cs="Arial"/>
          <w:sz w:val="22"/>
          <w:szCs w:val="22"/>
          <w:lang w:eastAsia="en-US"/>
        </w:rPr>
        <w:t>kupnjom uštede od druge stranke obveznice</w:t>
      </w:r>
      <w:r>
        <w:rPr>
          <w:rFonts w:ascii="Arial" w:eastAsia="Calibri" w:hAnsi="Arial" w:cs="Arial"/>
          <w:sz w:val="22"/>
          <w:szCs w:val="22"/>
          <w:lang w:eastAsia="en-US"/>
        </w:rPr>
        <w:t>;</w:t>
      </w:r>
    </w:p>
    <w:p w14:paraId="37778150" w14:textId="2EE1157C" w:rsidR="004A5913" w:rsidRPr="009F71C5"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9F71C5">
        <w:rPr>
          <w:rFonts w:ascii="Arial" w:eastAsia="Calibri" w:hAnsi="Arial" w:cs="Arial"/>
          <w:sz w:val="22"/>
          <w:szCs w:val="22"/>
          <w:lang w:eastAsia="en-US"/>
        </w:rPr>
        <w:t xml:space="preserve">uplatom </w:t>
      </w:r>
      <w:r>
        <w:rPr>
          <w:rFonts w:ascii="Arial" w:eastAsia="Calibri" w:hAnsi="Arial" w:cs="Arial"/>
          <w:sz w:val="22"/>
          <w:szCs w:val="22"/>
          <w:lang w:eastAsia="en-US"/>
        </w:rPr>
        <w:t>odgovarajuće naknade u Fond za zaštitu okoliša i energetsku učinkovitost;</w:t>
      </w:r>
      <w:r w:rsidR="00461782">
        <w:rPr>
          <w:rFonts w:ascii="Arial" w:eastAsia="Calibri" w:hAnsi="Arial" w:cs="Arial"/>
          <w:sz w:val="22"/>
          <w:szCs w:val="22"/>
          <w:lang w:eastAsia="en-US"/>
        </w:rPr>
        <w:t xml:space="preserve"> </w:t>
      </w:r>
    </w:p>
    <w:p w14:paraId="7EA8B3AC" w14:textId="77777777" w:rsidR="004A5913" w:rsidRPr="009F71C5"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9F71C5">
        <w:rPr>
          <w:rFonts w:ascii="Arial" w:eastAsia="Calibri" w:hAnsi="Arial" w:cs="Arial"/>
          <w:sz w:val="22"/>
          <w:szCs w:val="22"/>
          <w:lang w:eastAsia="en-US"/>
        </w:rPr>
        <w:t xml:space="preserve">ulaganjem i poticanjem koje dovodi do većeg učinka nego što bi to imala mjera učinjena u redovnim tržišnim uvjetima </w:t>
      </w:r>
    </w:p>
    <w:p w14:paraId="2901D6FB" w14:textId="77777777" w:rsidR="004A5913" w:rsidRPr="009F71C5"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9F71C5">
        <w:rPr>
          <w:rFonts w:ascii="Arial" w:eastAsia="Calibri" w:hAnsi="Arial" w:cs="Arial"/>
          <w:sz w:val="22"/>
          <w:szCs w:val="22"/>
          <w:lang w:eastAsia="en-US"/>
        </w:rPr>
        <w:t>ulaganjem i poticanjem u mjere ili aktivnosti koje u trenutku kada se ulaganje ugovara ili započinje izvoditi (što je kasnije) nisu već obuhvaćene drugim mjerama politike za ostvarivanje uštede energije predviđene mimo sustava obveze (alternativne mjere).</w:t>
      </w:r>
    </w:p>
    <w:p w14:paraId="46A11AA6" w14:textId="77777777" w:rsidR="004A5913" w:rsidRPr="00C30DB2" w:rsidRDefault="004A5913" w:rsidP="004A5913">
      <w:pPr>
        <w:pStyle w:val="PointManual1"/>
        <w:spacing w:before="0" w:after="0" w:line="276" w:lineRule="auto"/>
        <w:ind w:left="0" w:firstLine="0"/>
        <w:rPr>
          <w:rFonts w:ascii="Arial" w:hAnsi="Arial" w:cs="Arial"/>
          <w:i/>
          <w:sz w:val="22"/>
        </w:rPr>
      </w:pPr>
    </w:p>
    <w:p w14:paraId="2D882660" w14:textId="77777777" w:rsidR="004A5913" w:rsidRPr="00C30DB2"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 xml:space="preserve">informacije o primjeni </w:t>
      </w:r>
      <w:r>
        <w:rPr>
          <w:rFonts w:ascii="Arial" w:hAnsi="Arial" w:cs="Arial"/>
          <w:i/>
          <w:sz w:val="22"/>
        </w:rPr>
        <w:t>sljedećih odredbi</w:t>
      </w:r>
      <w:r w:rsidRPr="00C30DB2">
        <w:rPr>
          <w:rFonts w:ascii="Arial" w:hAnsi="Arial" w:cs="Arial"/>
          <w:i/>
          <w:sz w:val="22"/>
        </w:rPr>
        <w:t xml:space="preserve"> Direktive 2012/27/EU:</w:t>
      </w:r>
    </w:p>
    <w:p w14:paraId="5B350312" w14:textId="77777777" w:rsidR="004A5913" w:rsidRDefault="004A5913" w:rsidP="004A5913">
      <w:pPr>
        <w:pStyle w:val="PointManual1"/>
        <w:numPr>
          <w:ilvl w:val="1"/>
          <w:numId w:val="102"/>
        </w:numPr>
        <w:spacing w:before="0" w:after="0" w:line="276" w:lineRule="auto"/>
        <w:rPr>
          <w:rFonts w:ascii="Arial" w:hAnsi="Arial" w:cs="Arial"/>
          <w:i/>
          <w:sz w:val="22"/>
        </w:rPr>
      </w:pPr>
      <w:r w:rsidRPr="00C30DB2">
        <w:rPr>
          <w:rFonts w:ascii="Arial" w:hAnsi="Arial" w:cs="Arial"/>
          <w:i/>
          <w:sz w:val="22"/>
        </w:rPr>
        <w:t>posebne mjere da se dio uštede ostvari u kućanstvima koja su pogođena energetskim siromaštvom;</w:t>
      </w:r>
    </w:p>
    <w:p w14:paraId="1BC3AD59"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S</w:t>
      </w:r>
      <w:r w:rsidRPr="00C21E49">
        <w:rPr>
          <w:rFonts w:ascii="Arial" w:hAnsi="Arial" w:cs="Arial"/>
          <w:sz w:val="22"/>
        </w:rPr>
        <w:t>tranke obveznice se potiče povećavati energetsku učinkovitost prioritetno u kućanstvima koja su pogođena energetskim siromaštvom ili u socijalnim prostorima za stanova</w:t>
      </w:r>
      <w:r>
        <w:rPr>
          <w:rFonts w:ascii="Arial" w:hAnsi="Arial" w:cs="Arial"/>
          <w:sz w:val="22"/>
        </w:rPr>
        <w:t xml:space="preserve">nje </w:t>
      </w:r>
      <w:r w:rsidRPr="00C21E49">
        <w:rPr>
          <w:rFonts w:ascii="Arial" w:hAnsi="Arial" w:cs="Arial"/>
          <w:sz w:val="22"/>
        </w:rPr>
        <w:t>poticajne izračune ostvarenja uštede povećanjem energetske učinkovitosti u kućanstvima koja su pogođena energetskim siromaštvom ili u socijalnim stanovima</w:t>
      </w:r>
      <w:r>
        <w:rPr>
          <w:rFonts w:ascii="Arial" w:hAnsi="Arial" w:cs="Arial"/>
          <w:sz w:val="22"/>
        </w:rPr>
        <w:t xml:space="preserve"> potrebno je utvrditi u provedbenom propisu (pravilniku). </w:t>
      </w:r>
    </w:p>
    <w:p w14:paraId="3CDDE0B6" w14:textId="77777777" w:rsidR="004A5913" w:rsidRPr="00C21E49" w:rsidRDefault="004A5913" w:rsidP="004A5913">
      <w:pPr>
        <w:pStyle w:val="PointManual1"/>
        <w:spacing w:before="0" w:after="0" w:line="276" w:lineRule="auto"/>
        <w:ind w:left="0" w:firstLine="0"/>
        <w:rPr>
          <w:rFonts w:ascii="Arial" w:hAnsi="Arial" w:cs="Arial"/>
          <w:sz w:val="22"/>
        </w:rPr>
      </w:pPr>
    </w:p>
    <w:p w14:paraId="2702747E" w14:textId="77777777" w:rsidR="004A5913" w:rsidRDefault="004A5913" w:rsidP="004A5913">
      <w:pPr>
        <w:pStyle w:val="PointManual1"/>
        <w:numPr>
          <w:ilvl w:val="1"/>
          <w:numId w:val="102"/>
        </w:numPr>
        <w:spacing w:before="0" w:after="0" w:line="276" w:lineRule="auto"/>
        <w:rPr>
          <w:rFonts w:ascii="Arial" w:hAnsi="Arial" w:cs="Arial"/>
          <w:i/>
          <w:sz w:val="22"/>
        </w:rPr>
      </w:pPr>
      <w:r w:rsidRPr="00C30DB2">
        <w:rPr>
          <w:rFonts w:ascii="Arial" w:hAnsi="Arial" w:cs="Arial"/>
          <w:i/>
          <w:sz w:val="22"/>
        </w:rPr>
        <w:t>uštede koje su ostvarili pružatelji energetskih usluga ili druge treće strane u skladu s člankom 7.a stavkom 5. točkom (b);</w:t>
      </w:r>
    </w:p>
    <w:p w14:paraId="243BDF77"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Ne predviđa se mogućnost da stranke obveznice zadovoljavaju svoju obvezu putem pružatelja energetske usluge ili treće strane. </w:t>
      </w:r>
    </w:p>
    <w:p w14:paraId="27F89BF8" w14:textId="77777777" w:rsidR="004A5913" w:rsidRPr="00C21E49" w:rsidRDefault="004A5913" w:rsidP="004A5913">
      <w:pPr>
        <w:pStyle w:val="PointManual1"/>
        <w:spacing w:before="0" w:after="0" w:line="276" w:lineRule="auto"/>
        <w:ind w:left="0" w:firstLine="0"/>
        <w:rPr>
          <w:rFonts w:ascii="Arial" w:hAnsi="Arial" w:cs="Arial"/>
          <w:sz w:val="22"/>
        </w:rPr>
      </w:pPr>
    </w:p>
    <w:p w14:paraId="0784345E" w14:textId="0C020B05" w:rsidR="004A5913" w:rsidRDefault="004A5913" w:rsidP="004A5913">
      <w:pPr>
        <w:pStyle w:val="PointManual1"/>
        <w:numPr>
          <w:ilvl w:val="1"/>
          <w:numId w:val="102"/>
        </w:numPr>
        <w:spacing w:before="0" w:after="0" w:line="276" w:lineRule="auto"/>
        <w:rPr>
          <w:rFonts w:ascii="Arial" w:hAnsi="Arial" w:cs="Arial"/>
          <w:i/>
          <w:sz w:val="22"/>
        </w:rPr>
      </w:pPr>
      <w:r w:rsidRPr="00C30DB2">
        <w:rPr>
          <w:rFonts w:ascii="Arial" w:hAnsi="Arial" w:cs="Arial"/>
          <w:i/>
          <w:sz w:val="22"/>
        </w:rPr>
        <w:t xml:space="preserve"> „akumuliranje i posuđivanje” u skladu s</w:t>
      </w:r>
      <w:r w:rsidR="00461782">
        <w:rPr>
          <w:rFonts w:ascii="Arial" w:hAnsi="Arial" w:cs="Arial"/>
          <w:i/>
          <w:sz w:val="22"/>
        </w:rPr>
        <w:t xml:space="preserve"> </w:t>
      </w:r>
      <w:r w:rsidRPr="00C30DB2">
        <w:rPr>
          <w:rFonts w:ascii="Arial" w:hAnsi="Arial" w:cs="Arial"/>
          <w:i/>
          <w:sz w:val="22"/>
        </w:rPr>
        <w:t>člankom 7</w:t>
      </w:r>
      <w:r>
        <w:rPr>
          <w:rFonts w:ascii="Arial" w:hAnsi="Arial" w:cs="Arial"/>
          <w:i/>
          <w:sz w:val="22"/>
        </w:rPr>
        <w:t>a</w:t>
      </w:r>
      <w:r w:rsidRPr="00C30DB2">
        <w:rPr>
          <w:rFonts w:ascii="Arial" w:hAnsi="Arial" w:cs="Arial"/>
          <w:i/>
          <w:sz w:val="22"/>
        </w:rPr>
        <w:t xml:space="preserve">. stavkom </w:t>
      </w:r>
      <w:r>
        <w:rPr>
          <w:rFonts w:ascii="Arial" w:hAnsi="Arial" w:cs="Arial"/>
          <w:i/>
          <w:sz w:val="22"/>
        </w:rPr>
        <w:t>5</w:t>
      </w:r>
      <w:r w:rsidRPr="00C30DB2">
        <w:rPr>
          <w:rFonts w:ascii="Arial" w:hAnsi="Arial" w:cs="Arial"/>
          <w:i/>
          <w:sz w:val="22"/>
        </w:rPr>
        <w:t>.b.</w:t>
      </w:r>
    </w:p>
    <w:p w14:paraId="75D9A142"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Stranci obveznici je dopušteno </w:t>
      </w:r>
      <w:r w:rsidRPr="00F54D96">
        <w:rPr>
          <w:rFonts w:ascii="Arial" w:hAnsi="Arial" w:cs="Arial"/>
          <w:sz w:val="22"/>
        </w:rPr>
        <w:t xml:space="preserve">na </w:t>
      </w:r>
      <w:r>
        <w:rPr>
          <w:rFonts w:ascii="Arial" w:hAnsi="Arial" w:cs="Arial"/>
          <w:sz w:val="22"/>
        </w:rPr>
        <w:t xml:space="preserve">vlastiti </w:t>
      </w:r>
      <w:r w:rsidRPr="00F54D96">
        <w:rPr>
          <w:rFonts w:ascii="Arial" w:hAnsi="Arial" w:cs="Arial"/>
          <w:sz w:val="22"/>
        </w:rPr>
        <w:t>zahtjev uračunati ostvarenu, ali ranije neobračunatu dokazanu uštedu u bilo koju od četiri prethodne ili tri sljedeće godine</w:t>
      </w:r>
      <w:r>
        <w:rPr>
          <w:rFonts w:ascii="Arial" w:hAnsi="Arial" w:cs="Arial"/>
          <w:sz w:val="22"/>
        </w:rPr>
        <w:t>.</w:t>
      </w:r>
    </w:p>
    <w:p w14:paraId="390C5A23" w14:textId="77777777" w:rsidR="004A5913" w:rsidRPr="00F54D96" w:rsidRDefault="004A5913" w:rsidP="004A5913">
      <w:pPr>
        <w:pStyle w:val="PointManual1"/>
        <w:spacing w:before="0" w:after="0" w:line="276" w:lineRule="auto"/>
        <w:ind w:left="0" w:firstLine="0"/>
        <w:rPr>
          <w:rFonts w:ascii="Arial" w:hAnsi="Arial" w:cs="Arial"/>
          <w:sz w:val="22"/>
        </w:rPr>
      </w:pPr>
    </w:p>
    <w:p w14:paraId="29EABF9E" w14:textId="77777777" w:rsidR="004A5913" w:rsidRPr="00C30DB2" w:rsidRDefault="004A5913" w:rsidP="004A5913">
      <w:pPr>
        <w:pStyle w:val="PointManual1"/>
        <w:numPr>
          <w:ilvl w:val="0"/>
          <w:numId w:val="101"/>
        </w:numPr>
        <w:spacing w:before="0" w:after="0" w:line="276" w:lineRule="auto"/>
        <w:rPr>
          <w:rFonts w:ascii="Arial" w:hAnsi="Arial" w:cs="Arial"/>
          <w:i/>
          <w:sz w:val="22"/>
        </w:rPr>
      </w:pPr>
      <w:r w:rsidRPr="00C30DB2">
        <w:rPr>
          <w:rFonts w:ascii="Arial" w:hAnsi="Arial" w:cs="Arial"/>
          <w:i/>
          <w:sz w:val="22"/>
        </w:rPr>
        <w:t>Podaci o trgovanju uštedama energije (prema potrebi).</w:t>
      </w:r>
    </w:p>
    <w:p w14:paraId="2DC5CE24" w14:textId="77777777" w:rsidR="004A5913" w:rsidRDefault="004A5913" w:rsidP="004A5913">
      <w:pPr>
        <w:pStyle w:val="PointManual1"/>
        <w:spacing w:before="0" w:after="0" w:line="276" w:lineRule="auto"/>
        <w:ind w:left="0" w:firstLine="0"/>
        <w:jc w:val="both"/>
        <w:rPr>
          <w:rFonts w:ascii="Arial" w:hAnsi="Arial" w:cs="Arial"/>
          <w:sz w:val="22"/>
        </w:rPr>
      </w:pPr>
      <w:r w:rsidRPr="00F54D96">
        <w:rPr>
          <w:rFonts w:ascii="Arial" w:hAnsi="Arial" w:cs="Arial"/>
          <w:sz w:val="22"/>
        </w:rPr>
        <w:t>Stranke obveznice mogu trgovati uštedama, tj. stranka obveznica može svoju obvezu ostvariti i kupnjom uštede od druge stranke obveznice.</w:t>
      </w:r>
    </w:p>
    <w:p w14:paraId="18820855" w14:textId="77777777" w:rsidR="004A5913" w:rsidRPr="00F54D96" w:rsidRDefault="004A5913" w:rsidP="004A5913">
      <w:pPr>
        <w:pStyle w:val="PointManual1"/>
        <w:spacing w:before="0" w:after="0" w:line="276" w:lineRule="auto"/>
        <w:ind w:left="0" w:firstLine="0"/>
        <w:jc w:val="both"/>
        <w:rPr>
          <w:rFonts w:ascii="Arial" w:hAnsi="Arial" w:cs="Arial"/>
          <w:sz w:val="22"/>
        </w:rPr>
      </w:pPr>
    </w:p>
    <w:p w14:paraId="4F8662C5" w14:textId="77777777" w:rsidR="004A5913" w:rsidRDefault="004A5913" w:rsidP="004A5913">
      <w:pPr>
        <w:spacing w:after="160" w:line="259" w:lineRule="auto"/>
        <w:jc w:val="left"/>
        <w:rPr>
          <w:rFonts w:eastAsia="Calibri" w:cs="Arial"/>
          <w:i/>
          <w:lang w:eastAsia="en-US"/>
        </w:rPr>
      </w:pPr>
      <w:r>
        <w:rPr>
          <w:rFonts w:cs="Arial"/>
          <w:i/>
        </w:rPr>
        <w:br w:type="page"/>
      </w:r>
    </w:p>
    <w:p w14:paraId="7187FAC0" w14:textId="77777777" w:rsidR="004A5913" w:rsidRDefault="004A5913" w:rsidP="004A5913">
      <w:pPr>
        <w:pStyle w:val="ManualNumPar1"/>
        <w:numPr>
          <w:ilvl w:val="1"/>
          <w:numId w:val="100"/>
        </w:numPr>
        <w:spacing w:before="0" w:after="0" w:line="276" w:lineRule="auto"/>
        <w:jc w:val="both"/>
        <w:rPr>
          <w:rFonts w:ascii="Arial" w:hAnsi="Arial" w:cs="Arial"/>
          <w:i/>
          <w:sz w:val="22"/>
        </w:rPr>
      </w:pPr>
      <w:r w:rsidRPr="00F34417">
        <w:rPr>
          <w:rFonts w:ascii="Arial" w:hAnsi="Arial" w:cs="Arial"/>
          <w:i/>
          <w:sz w:val="22"/>
        </w:rPr>
        <w:t>Alternativne mjere iz članka 7.b i članka 20. stavka 6. Direktive 2012/27/EU (osim oporezivanja):</w:t>
      </w:r>
    </w:p>
    <w:p w14:paraId="08AB9A21" w14:textId="77777777" w:rsidR="004A5913" w:rsidRPr="008239EE" w:rsidRDefault="004A5913" w:rsidP="00A87274">
      <w:pPr>
        <w:spacing w:before="0" w:after="0"/>
        <w:rPr>
          <w:lang w:eastAsia="en-US"/>
        </w:rPr>
      </w:pPr>
    </w:p>
    <w:p w14:paraId="3A449990"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vrsta mjere</w:t>
      </w:r>
    </w:p>
    <w:p w14:paraId="74C3FE47"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kratki opis mjere u okviru politike, uključujući osobine svake mjere o kojoj se dostavlja obavijest</w:t>
      </w:r>
    </w:p>
    <w:p w14:paraId="1DFEE940"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očekivani ukupni kumulativni i godišnji iznos uštede po svakoj mjeri i/ili iznos uštede energije za bilo koje prijelazno razdoblje</w:t>
      </w:r>
    </w:p>
    <w:p w14:paraId="5746EEAD"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provedbena tijela javne vlasti, stranke sudionice ili ovlaštene stranke i njihove odgovornosti za provedbu mjere ili mjera politike</w:t>
      </w:r>
    </w:p>
    <w:p w14:paraId="573F460D"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ciljani sektori</w:t>
      </w:r>
    </w:p>
    <w:p w14:paraId="316F4D72" w14:textId="77777777" w:rsidR="004A5913" w:rsidRPr="008239EE"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prihvatljive aktivnosti predviđene u okviru mjere</w:t>
      </w:r>
    </w:p>
    <w:p w14:paraId="15FAD766" w14:textId="77777777" w:rsidR="004A5913" w:rsidRDefault="004A5913" w:rsidP="004A5913">
      <w:pPr>
        <w:pStyle w:val="PointManual1"/>
        <w:numPr>
          <w:ilvl w:val="0"/>
          <w:numId w:val="105"/>
        </w:numPr>
        <w:spacing w:before="0" w:after="0" w:line="276" w:lineRule="auto"/>
        <w:rPr>
          <w:rFonts w:ascii="Arial" w:hAnsi="Arial" w:cs="Arial"/>
          <w:i/>
          <w:sz w:val="22"/>
        </w:rPr>
      </w:pPr>
      <w:r w:rsidRPr="008239EE">
        <w:rPr>
          <w:rFonts w:ascii="Arial" w:hAnsi="Arial" w:cs="Arial"/>
          <w:i/>
          <w:sz w:val="22"/>
        </w:rPr>
        <w:t>posebne mjere politike ili pojedinačne mjere usmjerene na energetsko siromaštvo</w:t>
      </w:r>
    </w:p>
    <w:p w14:paraId="53261462" w14:textId="77777777" w:rsidR="004A5913" w:rsidRDefault="004A5913" w:rsidP="004A5913">
      <w:pPr>
        <w:pStyle w:val="PointManual1"/>
        <w:spacing w:before="0" w:after="0" w:line="276" w:lineRule="auto"/>
        <w:ind w:left="0" w:firstLine="0"/>
        <w:rPr>
          <w:rFonts w:ascii="Arial" w:hAnsi="Arial" w:cs="Arial"/>
          <w:sz w:val="22"/>
        </w:rPr>
      </w:pPr>
    </w:p>
    <w:p w14:paraId="76E8D382" w14:textId="77777777" w:rsidR="004A5913" w:rsidRPr="00F579F5" w:rsidRDefault="004A5913" w:rsidP="004A5913">
      <w:pPr>
        <w:pStyle w:val="PointManual1"/>
        <w:spacing w:before="0" w:after="0" w:line="276" w:lineRule="auto"/>
        <w:ind w:left="0" w:firstLine="0"/>
        <w:rPr>
          <w:rFonts w:ascii="Arial" w:hAnsi="Arial" w:cs="Arial"/>
          <w:sz w:val="22"/>
        </w:rPr>
      </w:pPr>
      <w:r>
        <w:rPr>
          <w:rFonts w:ascii="Arial" w:hAnsi="Arial" w:cs="Arial"/>
          <w:sz w:val="22"/>
        </w:rPr>
        <w:t xml:space="preserve">Gore traženi podatci za sve predviđene alternativne mjere prikazane su u sljedećoj tablici. </w:t>
      </w:r>
    </w:p>
    <w:p w14:paraId="5D070F3F" w14:textId="77777777" w:rsidR="004A5913" w:rsidRPr="002F3855" w:rsidRDefault="004A5913" w:rsidP="004A5913">
      <w:pPr>
        <w:pStyle w:val="PointManual1"/>
        <w:spacing w:before="0" w:after="0" w:line="276" w:lineRule="auto"/>
        <w:ind w:left="1701"/>
        <w:rPr>
          <w:rFonts w:ascii="Arial" w:hAnsi="Arial" w:cs="Arial"/>
          <w:noProof/>
          <w:sz w:val="22"/>
        </w:rPr>
      </w:pPr>
    </w:p>
    <w:p w14:paraId="72E0C8D0" w14:textId="77777777" w:rsidR="004A5913" w:rsidRDefault="004A5913" w:rsidP="004A5913">
      <w:pPr>
        <w:pStyle w:val="ManualNumPar1"/>
        <w:numPr>
          <w:ilvl w:val="1"/>
          <w:numId w:val="100"/>
        </w:numPr>
        <w:spacing w:before="0" w:after="0" w:line="276" w:lineRule="auto"/>
        <w:jc w:val="both"/>
        <w:rPr>
          <w:rFonts w:ascii="Arial" w:hAnsi="Arial" w:cs="Arial"/>
          <w:i/>
          <w:sz w:val="22"/>
        </w:rPr>
        <w:sectPr w:rsidR="004A5913" w:rsidSect="003F7A28">
          <w:headerReference w:type="even" r:id="rId82"/>
          <w:headerReference w:type="default" r:id="rId83"/>
          <w:footerReference w:type="even" r:id="rId84"/>
          <w:headerReference w:type="first" r:id="rId85"/>
          <w:footerReference w:type="first" r:id="rId86"/>
          <w:pgSz w:w="11906" w:h="16838"/>
          <w:pgMar w:top="1417" w:right="1417" w:bottom="1417" w:left="1417" w:header="708" w:footer="708" w:gutter="0"/>
          <w:cols w:space="708"/>
          <w:docGrid w:linePitch="360"/>
        </w:sectPr>
      </w:pPr>
    </w:p>
    <w:tbl>
      <w:tblPr>
        <w:tblStyle w:val="GridTable1Light"/>
        <w:tblW w:w="4891" w:type="pct"/>
        <w:tblLook w:val="04A0" w:firstRow="1" w:lastRow="0" w:firstColumn="1" w:lastColumn="0" w:noHBand="0" w:noVBand="1"/>
      </w:tblPr>
      <w:tblGrid>
        <w:gridCol w:w="859"/>
        <w:gridCol w:w="2108"/>
        <w:gridCol w:w="1567"/>
        <w:gridCol w:w="1982"/>
        <w:gridCol w:w="2126"/>
        <w:gridCol w:w="1985"/>
        <w:gridCol w:w="1701"/>
        <w:gridCol w:w="2725"/>
      </w:tblGrid>
      <w:tr w:rsidR="004A5913" w14:paraId="6436B871"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 w:type="pct"/>
          </w:tcPr>
          <w:p w14:paraId="3484C71A"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Id.</w:t>
            </w:r>
          </w:p>
        </w:tc>
        <w:tc>
          <w:tcPr>
            <w:tcW w:w="700" w:type="pct"/>
          </w:tcPr>
          <w:p w14:paraId="64D70DE1" w14:textId="77777777" w:rsidR="004A5913" w:rsidRPr="001F0238" w:rsidRDefault="004A5913" w:rsidP="009104E0">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Naziv mjere</w:t>
            </w:r>
          </w:p>
        </w:tc>
        <w:tc>
          <w:tcPr>
            <w:tcW w:w="520" w:type="pct"/>
          </w:tcPr>
          <w:p w14:paraId="293C5DFC"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Vrsta mjere (a)</w:t>
            </w:r>
          </w:p>
        </w:tc>
        <w:tc>
          <w:tcPr>
            <w:tcW w:w="658" w:type="pct"/>
          </w:tcPr>
          <w:p w14:paraId="0BEE5FF2"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Kratki opis mjere (b)</w:t>
            </w:r>
          </w:p>
        </w:tc>
        <w:tc>
          <w:tcPr>
            <w:tcW w:w="706" w:type="pct"/>
          </w:tcPr>
          <w:p w14:paraId="52E380C2"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Godišnja ušteda (c)</w:t>
            </w:r>
          </w:p>
        </w:tc>
        <w:tc>
          <w:tcPr>
            <w:tcW w:w="659" w:type="pct"/>
          </w:tcPr>
          <w:p w14:paraId="7CCF7501"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Provedbeno tijelo (d)</w:t>
            </w:r>
          </w:p>
        </w:tc>
        <w:tc>
          <w:tcPr>
            <w:tcW w:w="565" w:type="pct"/>
          </w:tcPr>
          <w:p w14:paraId="3DC8A219"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Ciljani sektor (e)</w:t>
            </w:r>
          </w:p>
        </w:tc>
        <w:tc>
          <w:tcPr>
            <w:tcW w:w="905" w:type="pct"/>
          </w:tcPr>
          <w:p w14:paraId="54FF60F0" w14:textId="77777777" w:rsidR="004A5913" w:rsidRPr="001F0238" w:rsidRDefault="004A5913">
            <w:pPr>
              <w:pStyle w:val="ManualNumPar1"/>
              <w:spacing w:before="0" w:after="0" w:line="240"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Prihvatljive aktivnosti (f)</w:t>
            </w:r>
          </w:p>
        </w:tc>
      </w:tr>
      <w:tr w:rsidR="004A5913" w14:paraId="13073772"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224EBE6A"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ENU-3</w:t>
            </w:r>
          </w:p>
        </w:tc>
        <w:tc>
          <w:tcPr>
            <w:tcW w:w="700" w:type="pct"/>
          </w:tcPr>
          <w:p w14:paraId="41EBA98C" w14:textId="77777777"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1F0238">
              <w:rPr>
                <w:rFonts w:ascii="Arial" w:hAnsi="Arial" w:cs="Arial"/>
                <w:i/>
                <w:sz w:val="18"/>
                <w:szCs w:val="18"/>
              </w:rPr>
              <w:t>Program energetske obnove višestambenih</w:t>
            </w:r>
            <w:r>
              <w:rPr>
                <w:rFonts w:ascii="Arial" w:hAnsi="Arial" w:cs="Arial"/>
                <w:i/>
                <w:sz w:val="18"/>
                <w:szCs w:val="18"/>
              </w:rPr>
              <w:t xml:space="preserve"> (VSZ)</w:t>
            </w:r>
            <w:r w:rsidRPr="001F0238">
              <w:rPr>
                <w:rFonts w:ascii="Arial" w:hAnsi="Arial" w:cs="Arial"/>
                <w:i/>
                <w:sz w:val="18"/>
                <w:szCs w:val="18"/>
              </w:rPr>
              <w:t xml:space="preserve"> zgrada</w:t>
            </w:r>
          </w:p>
        </w:tc>
        <w:tc>
          <w:tcPr>
            <w:tcW w:w="520" w:type="pct"/>
          </w:tcPr>
          <w:p w14:paraId="08D42CD0"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vMerge w:val="restart"/>
          </w:tcPr>
          <w:p w14:paraId="4EC7EFF1" w14:textId="456D718B"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Bespovratna sredstva za energetsku obnovu VSZ/OK kojima se postiže smanjenje toplinskih potreba zgrade od najmanje 50%; za OK za zadovoljavajućim stanje vanjske ovojnice sufinanciranje pojedinačnih mjera EnU i OIE;</w:t>
            </w:r>
            <w:r w:rsidR="00461782">
              <w:rPr>
                <w:rFonts w:ascii="Arial" w:hAnsi="Arial" w:cs="Arial"/>
                <w:i/>
                <w:sz w:val="18"/>
                <w:szCs w:val="18"/>
              </w:rPr>
              <w:t xml:space="preserve"> </w:t>
            </w:r>
            <w:r>
              <w:rPr>
                <w:rFonts w:ascii="Arial" w:hAnsi="Arial" w:cs="Arial"/>
                <w:i/>
                <w:sz w:val="18"/>
                <w:szCs w:val="18"/>
              </w:rPr>
              <w:t>snažnije poticanje do nZEB standarda</w:t>
            </w:r>
          </w:p>
        </w:tc>
        <w:tc>
          <w:tcPr>
            <w:tcW w:w="706" w:type="pct"/>
          </w:tcPr>
          <w:p w14:paraId="674CDC38" w14:textId="77777777" w:rsidR="004A5913"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3,54 ktoe</w:t>
            </w:r>
          </w:p>
          <w:p w14:paraId="0AA95139"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0,148 PJ</w:t>
            </w:r>
          </w:p>
        </w:tc>
        <w:tc>
          <w:tcPr>
            <w:tcW w:w="659" w:type="pct"/>
          </w:tcPr>
          <w:p w14:paraId="1C9DBB5F" w14:textId="77777777" w:rsidR="004A5913"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MGIPU – donošenje Programa</w:t>
            </w:r>
          </w:p>
          <w:p w14:paraId="6A29DFCF" w14:textId="77777777" w:rsidR="004A5913"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MGIPU – PT1</w:t>
            </w:r>
          </w:p>
          <w:p w14:paraId="637C0028" w14:textId="77777777" w:rsidR="004A5913"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FZOEU</w:t>
            </w:r>
            <w:r>
              <w:rPr>
                <w:rFonts w:eastAsia="Calibri" w:cs="Arial"/>
                <w:i/>
                <w:sz w:val="18"/>
                <w:szCs w:val="18"/>
                <w:lang w:eastAsia="en-US"/>
              </w:rPr>
              <w:t xml:space="preserve"> – PT2</w:t>
            </w:r>
          </w:p>
          <w:p w14:paraId="271EF751" w14:textId="77777777" w:rsidR="004A5913" w:rsidRPr="004310D1"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FZOEU – tehnička pomoć</w:t>
            </w:r>
          </w:p>
        </w:tc>
        <w:tc>
          <w:tcPr>
            <w:tcW w:w="565" w:type="pct"/>
            <w:vMerge w:val="restart"/>
            <w:vAlign w:val="center"/>
          </w:tcPr>
          <w:p w14:paraId="6A02B0C5"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Kućanstva</w:t>
            </w:r>
          </w:p>
        </w:tc>
        <w:tc>
          <w:tcPr>
            <w:tcW w:w="905" w:type="pct"/>
            <w:vMerge w:val="restart"/>
          </w:tcPr>
          <w:p w14:paraId="04446750" w14:textId="77777777" w:rsidR="004A5913" w:rsidRDefault="004A5913" w:rsidP="001B6C7B">
            <w:pPr>
              <w:pStyle w:val="ManualNumPar1"/>
              <w:numPr>
                <w:ilvl w:val="0"/>
                <w:numId w:val="113"/>
              </w:numPr>
              <w:spacing w:before="0" w:after="0" w:line="240" w:lineRule="auto"/>
              <w:ind w:left="261" w:hanging="26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Energetski pregled i energetsko certificiranje prije i poslije obnove</w:t>
            </w:r>
          </w:p>
          <w:p w14:paraId="4F3C1133" w14:textId="77777777" w:rsidR="004A5913" w:rsidRPr="004310D1"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 xml:space="preserve">Izrada projektne dokumentacije </w:t>
            </w:r>
            <w:r>
              <w:rPr>
                <w:rFonts w:eastAsia="Calibri" w:cs="Arial"/>
                <w:i/>
                <w:sz w:val="18"/>
                <w:szCs w:val="18"/>
                <w:lang w:eastAsia="en-US"/>
              </w:rPr>
              <w:t>(ako je potrebno)</w:t>
            </w:r>
          </w:p>
          <w:p w14:paraId="4E6CA0A7" w14:textId="77777777" w:rsidR="004A5913"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Oprema i radovi energetske obnove (ovojnica, stolarija, sustavi GVK, OIE, unutarnja rasvjeta</w:t>
            </w:r>
            <w:r>
              <w:rPr>
                <w:rFonts w:eastAsia="Calibri" w:cs="Arial"/>
                <w:i/>
                <w:sz w:val="18"/>
                <w:szCs w:val="18"/>
                <w:lang w:eastAsia="en-US"/>
              </w:rPr>
              <w:t xml:space="preserve"> i dr.</w:t>
            </w:r>
            <w:r w:rsidRPr="004310D1">
              <w:rPr>
                <w:rFonts w:eastAsia="Calibri" w:cs="Arial"/>
                <w:i/>
                <w:sz w:val="18"/>
                <w:szCs w:val="18"/>
                <w:lang w:eastAsia="en-US"/>
              </w:rPr>
              <w:t>)</w:t>
            </w:r>
          </w:p>
          <w:p w14:paraId="385BF951" w14:textId="77777777" w:rsidR="004A5913"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Stručni i projektantski nadzor (ako je potrebno)</w:t>
            </w:r>
          </w:p>
          <w:p w14:paraId="3B785950" w14:textId="77777777" w:rsidR="004A5913" w:rsidRPr="004310D1"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Tehnička pomoć</w:t>
            </w:r>
          </w:p>
        </w:tc>
      </w:tr>
      <w:tr w:rsidR="004A5913" w14:paraId="42EF4B99"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16E6BAAD"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ENU-4</w:t>
            </w:r>
          </w:p>
        </w:tc>
        <w:tc>
          <w:tcPr>
            <w:tcW w:w="700" w:type="pct"/>
          </w:tcPr>
          <w:p w14:paraId="2C944369" w14:textId="77777777"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1F0238">
              <w:rPr>
                <w:rFonts w:ascii="Arial" w:hAnsi="Arial" w:cs="Arial"/>
                <w:i/>
                <w:sz w:val="18"/>
                <w:szCs w:val="18"/>
              </w:rPr>
              <w:t>Program energetske obnove obiteljskih</w:t>
            </w:r>
            <w:r>
              <w:rPr>
                <w:rFonts w:ascii="Arial" w:hAnsi="Arial" w:cs="Arial"/>
                <w:i/>
                <w:sz w:val="18"/>
                <w:szCs w:val="18"/>
              </w:rPr>
              <w:t xml:space="preserve"> (OK)</w:t>
            </w:r>
            <w:r w:rsidRPr="001F0238">
              <w:rPr>
                <w:rFonts w:ascii="Arial" w:hAnsi="Arial" w:cs="Arial"/>
                <w:i/>
                <w:sz w:val="18"/>
                <w:szCs w:val="18"/>
              </w:rPr>
              <w:t xml:space="preserve"> kuća</w:t>
            </w:r>
          </w:p>
        </w:tc>
        <w:tc>
          <w:tcPr>
            <w:tcW w:w="520" w:type="pct"/>
          </w:tcPr>
          <w:p w14:paraId="4EEACE56"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vMerge/>
          </w:tcPr>
          <w:p w14:paraId="20FAA61D"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06" w:type="pct"/>
          </w:tcPr>
          <w:p w14:paraId="4AC37D74" w14:textId="77777777" w:rsidR="004A5913"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4,56 ktoe</w:t>
            </w:r>
          </w:p>
          <w:p w14:paraId="48B09997"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0,191 PJ</w:t>
            </w:r>
          </w:p>
        </w:tc>
        <w:tc>
          <w:tcPr>
            <w:tcW w:w="659" w:type="pct"/>
          </w:tcPr>
          <w:p w14:paraId="3A011683" w14:textId="77777777" w:rsidR="004A5913"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MGIPU – donošenje Programa</w:t>
            </w:r>
          </w:p>
          <w:p w14:paraId="56C98591" w14:textId="77777777" w:rsidR="004A5913" w:rsidRPr="00FA0AD8"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lang w:eastAsia="en-US"/>
              </w:rPr>
            </w:pPr>
            <w:r>
              <w:rPr>
                <w:rFonts w:eastAsia="Calibri" w:cs="Arial"/>
                <w:i/>
                <w:sz w:val="18"/>
                <w:szCs w:val="18"/>
                <w:lang w:eastAsia="en-US"/>
              </w:rPr>
              <w:t>FZOEU – provedba</w:t>
            </w:r>
          </w:p>
        </w:tc>
        <w:tc>
          <w:tcPr>
            <w:tcW w:w="565" w:type="pct"/>
            <w:vMerge/>
          </w:tcPr>
          <w:p w14:paraId="0C15EDAF"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905" w:type="pct"/>
            <w:vMerge/>
          </w:tcPr>
          <w:p w14:paraId="404C1C87" w14:textId="77777777" w:rsidR="004A5913" w:rsidRPr="001F0238"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4A5913" w14:paraId="60E2168C"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7133FD47"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ENU-5</w:t>
            </w:r>
          </w:p>
        </w:tc>
        <w:tc>
          <w:tcPr>
            <w:tcW w:w="700" w:type="pct"/>
          </w:tcPr>
          <w:p w14:paraId="72887EAE"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1F0238">
              <w:rPr>
                <w:rFonts w:ascii="Arial" w:hAnsi="Arial" w:cs="Arial"/>
                <w:i/>
                <w:sz w:val="18"/>
                <w:szCs w:val="18"/>
              </w:rPr>
              <w:t>Program energetske obnove zgrada javnog sektora</w:t>
            </w:r>
          </w:p>
        </w:tc>
        <w:tc>
          <w:tcPr>
            <w:tcW w:w="520" w:type="pct"/>
          </w:tcPr>
          <w:p w14:paraId="7970DD02"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tcPr>
          <w:p w14:paraId="79DB830B" w14:textId="77777777" w:rsidR="004A5913" w:rsidRPr="001F0238"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Bespovratna sredstva za energetsku obnovu javnih zgrada ili ESCO model za zgrade za koje se pokazuje dobra isplativost mjera EnU; snažnije poticanje do nZEB standarda </w:t>
            </w:r>
          </w:p>
        </w:tc>
        <w:tc>
          <w:tcPr>
            <w:tcW w:w="706" w:type="pct"/>
          </w:tcPr>
          <w:p w14:paraId="753F3DCB"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4,04 ktoe</w:t>
            </w:r>
          </w:p>
          <w:p w14:paraId="16329E3E"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0,169 PJ</w:t>
            </w:r>
          </w:p>
        </w:tc>
        <w:tc>
          <w:tcPr>
            <w:tcW w:w="659" w:type="pct"/>
          </w:tcPr>
          <w:p w14:paraId="2EED6FFD" w14:textId="77777777" w:rsidR="004A5913"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MGIPU – donošenje Programa</w:t>
            </w:r>
          </w:p>
          <w:p w14:paraId="65EE10FA" w14:textId="77777777" w:rsidR="004A5913"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MGIPU – PT1</w:t>
            </w:r>
          </w:p>
          <w:p w14:paraId="790E3F60" w14:textId="77777777" w:rsidR="004A5913"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FZOEU</w:t>
            </w:r>
            <w:r>
              <w:rPr>
                <w:rFonts w:eastAsia="Calibri" w:cs="Arial"/>
                <w:i/>
                <w:sz w:val="18"/>
                <w:szCs w:val="18"/>
                <w:lang w:eastAsia="en-US"/>
              </w:rPr>
              <w:t xml:space="preserve"> – PT2</w:t>
            </w:r>
          </w:p>
          <w:p w14:paraId="32A2500B" w14:textId="77777777" w:rsidR="004A5913"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FA0AD8">
              <w:rPr>
                <w:rFonts w:ascii="Arial" w:hAnsi="Arial" w:cs="Arial"/>
                <w:i/>
                <w:sz w:val="18"/>
                <w:szCs w:val="18"/>
              </w:rPr>
              <w:t>FZOEU – tehnička pomoć</w:t>
            </w:r>
            <w:r>
              <w:rPr>
                <w:rFonts w:ascii="Arial" w:hAnsi="Arial" w:cs="Arial"/>
                <w:i/>
                <w:sz w:val="18"/>
                <w:szCs w:val="18"/>
              </w:rPr>
              <w:t xml:space="preserve"> (bespovratna sredstva)</w:t>
            </w:r>
          </w:p>
          <w:p w14:paraId="17E58DBD" w14:textId="77777777" w:rsidR="004A5913" w:rsidRPr="00FA0AD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pPr>
            <w:r w:rsidRPr="00FA0AD8">
              <w:rPr>
                <w:rFonts w:ascii="Arial" w:hAnsi="Arial" w:cs="Arial"/>
                <w:i/>
                <w:sz w:val="18"/>
                <w:szCs w:val="18"/>
              </w:rPr>
              <w:t>APN – ESCO model</w:t>
            </w:r>
          </w:p>
        </w:tc>
        <w:tc>
          <w:tcPr>
            <w:tcW w:w="565" w:type="pct"/>
          </w:tcPr>
          <w:p w14:paraId="5C7B5A09"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Uslužni sektor (javne usluge)</w:t>
            </w:r>
          </w:p>
        </w:tc>
        <w:tc>
          <w:tcPr>
            <w:tcW w:w="905" w:type="pct"/>
          </w:tcPr>
          <w:p w14:paraId="0339E4F6" w14:textId="77777777" w:rsidR="004A5913" w:rsidRDefault="004A5913">
            <w:pPr>
              <w:pStyle w:val="ManualNumPar1"/>
              <w:numPr>
                <w:ilvl w:val="0"/>
                <w:numId w:val="113"/>
              </w:numPr>
              <w:spacing w:before="0" w:after="0" w:line="240" w:lineRule="auto"/>
              <w:ind w:left="261" w:hanging="26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Energetski pregled i energetsko certificiranje prije i poslije obnove</w:t>
            </w:r>
          </w:p>
          <w:p w14:paraId="5F11751A" w14:textId="77777777" w:rsidR="004A5913" w:rsidRPr="004310D1"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Izrada projektne dokumentacije</w:t>
            </w:r>
          </w:p>
          <w:p w14:paraId="3BC64814" w14:textId="77777777" w:rsidR="004A5913"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Oprema i radovi energetske obnove (ovojnica, stolarija, sustavi GVK, OIE, unutarnja rasvjeta</w:t>
            </w:r>
            <w:r>
              <w:rPr>
                <w:rFonts w:eastAsia="Calibri" w:cs="Arial"/>
                <w:i/>
                <w:sz w:val="18"/>
                <w:szCs w:val="18"/>
                <w:lang w:eastAsia="en-US"/>
              </w:rPr>
              <w:t xml:space="preserve"> i dr.</w:t>
            </w:r>
            <w:r w:rsidRPr="004310D1">
              <w:rPr>
                <w:rFonts w:eastAsia="Calibri" w:cs="Arial"/>
                <w:i/>
                <w:sz w:val="18"/>
                <w:szCs w:val="18"/>
                <w:lang w:eastAsia="en-US"/>
              </w:rPr>
              <w:t>)</w:t>
            </w:r>
          </w:p>
          <w:p w14:paraId="40C80BBF" w14:textId="77777777" w:rsidR="004A5913"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 xml:space="preserve">Stručni i projektantski nadzor </w:t>
            </w:r>
          </w:p>
          <w:p w14:paraId="5577681D" w14:textId="77777777" w:rsidR="004A5913" w:rsidRPr="001F0238"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eastAsia="Calibri" w:cs="Arial"/>
                <w:i/>
                <w:sz w:val="18"/>
                <w:szCs w:val="18"/>
                <w:lang w:eastAsia="en-US"/>
              </w:rPr>
              <w:t>Tehnička pomoć</w:t>
            </w:r>
          </w:p>
        </w:tc>
      </w:tr>
      <w:tr w:rsidR="004A5913" w14:paraId="2C6CE03E"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5C87D5EB"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sidRPr="00BB2258">
              <w:rPr>
                <w:rFonts w:ascii="Arial" w:hAnsi="Arial" w:cs="Arial"/>
                <w:i/>
                <w:sz w:val="18"/>
                <w:szCs w:val="18"/>
              </w:rPr>
              <w:t>ENU-</w:t>
            </w:r>
            <w:r>
              <w:rPr>
                <w:rFonts w:ascii="Arial" w:hAnsi="Arial" w:cs="Arial"/>
                <w:i/>
                <w:sz w:val="18"/>
                <w:szCs w:val="18"/>
              </w:rPr>
              <w:t>6</w:t>
            </w:r>
          </w:p>
        </w:tc>
        <w:tc>
          <w:tcPr>
            <w:tcW w:w="700" w:type="pct"/>
          </w:tcPr>
          <w:p w14:paraId="62268923" w14:textId="77777777"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1F0238">
              <w:rPr>
                <w:rFonts w:ascii="Arial" w:hAnsi="Arial" w:cs="Arial"/>
                <w:i/>
                <w:sz w:val="18"/>
                <w:szCs w:val="18"/>
              </w:rPr>
              <w:t>Sustavno gospodarenje energijom u javnom sektoru</w:t>
            </w:r>
          </w:p>
        </w:tc>
        <w:tc>
          <w:tcPr>
            <w:tcW w:w="520" w:type="pct"/>
          </w:tcPr>
          <w:p w14:paraId="7B67EBB6"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Obvezna informacijska</w:t>
            </w:r>
          </w:p>
        </w:tc>
        <w:tc>
          <w:tcPr>
            <w:tcW w:w="658" w:type="pct"/>
          </w:tcPr>
          <w:p w14:paraId="5CCAA9D0" w14:textId="77777777"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Unaprjeđenje ISGE sustava i njegova primjena u cijelom javnom sektoru te provedba organizacijsko-edukacijskih mjera za smanjenje potrošnje energije u zgradama javnog sektora</w:t>
            </w:r>
          </w:p>
        </w:tc>
        <w:tc>
          <w:tcPr>
            <w:tcW w:w="706" w:type="pct"/>
          </w:tcPr>
          <w:p w14:paraId="65E184C6" w14:textId="77777777" w:rsidR="004A5913"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2,39 ktoe</w:t>
            </w:r>
          </w:p>
          <w:p w14:paraId="17AF9592"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0,100 PJ</w:t>
            </w:r>
          </w:p>
        </w:tc>
        <w:tc>
          <w:tcPr>
            <w:tcW w:w="659" w:type="pct"/>
          </w:tcPr>
          <w:p w14:paraId="4609BC42" w14:textId="77777777" w:rsidR="004A5913" w:rsidRPr="001F0238" w:rsidRDefault="004A5913" w:rsidP="001B6C7B">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APN</w:t>
            </w:r>
          </w:p>
        </w:tc>
        <w:tc>
          <w:tcPr>
            <w:tcW w:w="565" w:type="pct"/>
          </w:tcPr>
          <w:p w14:paraId="7E880EFB" w14:textId="77777777" w:rsidR="004A5913" w:rsidRPr="002E1FE4"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2E1FE4">
              <w:rPr>
                <w:rFonts w:eastAsia="Calibri" w:cs="Arial"/>
                <w:i/>
                <w:sz w:val="18"/>
                <w:szCs w:val="18"/>
                <w:lang w:eastAsia="en-US"/>
              </w:rPr>
              <w:t>Uslužni sektor (javne usluge)</w:t>
            </w:r>
          </w:p>
        </w:tc>
        <w:tc>
          <w:tcPr>
            <w:tcW w:w="905" w:type="pct"/>
          </w:tcPr>
          <w:p w14:paraId="44B3BFAD" w14:textId="77777777" w:rsidR="004A5913"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Unaprjeđenje funkcionalnosti ISGE</w:t>
            </w:r>
          </w:p>
          <w:p w14:paraId="3ECD1981" w14:textId="77777777" w:rsidR="004A5913"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Uvođenje daljinskih mjerenja u sve zgrade javnog sektora</w:t>
            </w:r>
          </w:p>
          <w:p w14:paraId="5D58328B" w14:textId="77777777" w:rsidR="004A5913"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Povezivanje ISGE-a s drugim sustavima</w:t>
            </w:r>
          </w:p>
          <w:p w14:paraId="1B97DFAE" w14:textId="77777777" w:rsidR="004A5913" w:rsidRPr="002E1FE4" w:rsidRDefault="004A5913" w:rsidP="001B6C7B">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Provedba organizacijsko-edukacijskih aktivnosti</w:t>
            </w:r>
          </w:p>
        </w:tc>
      </w:tr>
      <w:tr w:rsidR="004A5913" w14:paraId="7A28E4B2"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67E36FAE" w14:textId="77777777" w:rsidR="004A5913" w:rsidRPr="001F0238" w:rsidRDefault="004A5913" w:rsidP="001B6C7B">
            <w:pPr>
              <w:pStyle w:val="ManualNumPar1"/>
              <w:spacing w:before="0" w:after="0" w:line="240" w:lineRule="auto"/>
              <w:ind w:left="0" w:firstLine="0"/>
              <w:jc w:val="both"/>
              <w:rPr>
                <w:rFonts w:ascii="Arial" w:hAnsi="Arial" w:cs="Arial"/>
                <w:i/>
                <w:sz w:val="18"/>
                <w:szCs w:val="18"/>
              </w:rPr>
            </w:pPr>
            <w:r w:rsidRPr="00BB2258">
              <w:rPr>
                <w:rFonts w:ascii="Arial" w:hAnsi="Arial" w:cs="Arial"/>
                <w:i/>
                <w:sz w:val="18"/>
                <w:szCs w:val="18"/>
              </w:rPr>
              <w:t>ENU-</w:t>
            </w:r>
            <w:r>
              <w:rPr>
                <w:rFonts w:ascii="Arial" w:hAnsi="Arial" w:cs="Arial"/>
                <w:i/>
                <w:sz w:val="18"/>
                <w:szCs w:val="18"/>
              </w:rPr>
              <w:t>7</w:t>
            </w:r>
          </w:p>
        </w:tc>
        <w:tc>
          <w:tcPr>
            <w:tcW w:w="700" w:type="pct"/>
          </w:tcPr>
          <w:p w14:paraId="1B405927"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1F0238">
              <w:rPr>
                <w:rFonts w:ascii="Arial" w:hAnsi="Arial" w:cs="Arial"/>
                <w:i/>
                <w:sz w:val="18"/>
                <w:szCs w:val="18"/>
              </w:rPr>
              <w:t>Program energetske obnove javne rasvjete</w:t>
            </w:r>
          </w:p>
        </w:tc>
        <w:tc>
          <w:tcPr>
            <w:tcW w:w="520" w:type="pct"/>
          </w:tcPr>
          <w:p w14:paraId="0EA8F913"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tcPr>
          <w:p w14:paraId="03680175" w14:textId="77777777" w:rsidR="004A5913" w:rsidRPr="001F0238"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Uspostava modela financiranja koji će omogućiti provedbu projekata prema ESCO i JPP modelu</w:t>
            </w:r>
          </w:p>
        </w:tc>
        <w:tc>
          <w:tcPr>
            <w:tcW w:w="706" w:type="pct"/>
          </w:tcPr>
          <w:p w14:paraId="480C97C8"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2,15 ktoe</w:t>
            </w:r>
          </w:p>
          <w:p w14:paraId="2627A8ED"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0,090 PJ</w:t>
            </w:r>
          </w:p>
        </w:tc>
        <w:tc>
          <w:tcPr>
            <w:tcW w:w="659" w:type="pct"/>
          </w:tcPr>
          <w:p w14:paraId="5A885AB2" w14:textId="77777777" w:rsidR="004A5913"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MZOE – donošenje Programa</w:t>
            </w:r>
          </w:p>
          <w:p w14:paraId="3C0C4D42" w14:textId="77777777" w:rsidR="004A5913"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MZOE – PT1</w:t>
            </w:r>
          </w:p>
          <w:p w14:paraId="3EFCBAB6" w14:textId="77777777" w:rsidR="004A5913" w:rsidRDefault="004A5913" w:rsidP="001B6C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FZOEU</w:t>
            </w:r>
            <w:r>
              <w:rPr>
                <w:rFonts w:eastAsia="Calibri" w:cs="Arial"/>
                <w:i/>
                <w:sz w:val="18"/>
                <w:szCs w:val="18"/>
                <w:lang w:eastAsia="en-US"/>
              </w:rPr>
              <w:t xml:space="preserve"> – PT2</w:t>
            </w:r>
          </w:p>
          <w:p w14:paraId="0093BAE0" w14:textId="77777777" w:rsidR="004A5913" w:rsidRPr="001F0238" w:rsidRDefault="004A5913" w:rsidP="001B6C7B">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FA0AD8">
              <w:rPr>
                <w:rFonts w:ascii="Arial" w:hAnsi="Arial" w:cs="Arial"/>
                <w:i/>
                <w:sz w:val="18"/>
                <w:szCs w:val="18"/>
              </w:rPr>
              <w:t>FZOEU – tehnička pomoć</w:t>
            </w:r>
            <w:r>
              <w:rPr>
                <w:rFonts w:ascii="Arial" w:hAnsi="Arial" w:cs="Arial"/>
                <w:i/>
                <w:sz w:val="18"/>
                <w:szCs w:val="18"/>
              </w:rPr>
              <w:t xml:space="preserve"> </w:t>
            </w:r>
          </w:p>
        </w:tc>
        <w:tc>
          <w:tcPr>
            <w:tcW w:w="565" w:type="pct"/>
          </w:tcPr>
          <w:p w14:paraId="3E74E649" w14:textId="77777777" w:rsidR="004A5913" w:rsidRPr="001F0238" w:rsidRDefault="004A5913" w:rsidP="009104E0">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Uslužni sektor (javne usluge)</w:t>
            </w:r>
          </w:p>
        </w:tc>
        <w:tc>
          <w:tcPr>
            <w:tcW w:w="905" w:type="pct"/>
          </w:tcPr>
          <w:p w14:paraId="25B3603B" w14:textId="77777777" w:rsidR="004A5913" w:rsidRDefault="004A5913">
            <w:pPr>
              <w:pStyle w:val="ManualNumPar1"/>
              <w:numPr>
                <w:ilvl w:val="0"/>
                <w:numId w:val="113"/>
              </w:numPr>
              <w:spacing w:before="0" w:after="0" w:line="240" w:lineRule="auto"/>
              <w:ind w:left="261" w:hanging="26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Energetski pregled i prije i poslije obnove</w:t>
            </w:r>
          </w:p>
          <w:p w14:paraId="6D7F70FA" w14:textId="77777777" w:rsidR="004A5913" w:rsidRPr="004310D1"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Izrada projektne dokumentacije</w:t>
            </w:r>
          </w:p>
          <w:p w14:paraId="4D1E13D7" w14:textId="77777777" w:rsidR="004A5913"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4310D1">
              <w:rPr>
                <w:rFonts w:eastAsia="Calibri" w:cs="Arial"/>
                <w:i/>
                <w:sz w:val="18"/>
                <w:szCs w:val="18"/>
                <w:lang w:eastAsia="en-US"/>
              </w:rPr>
              <w:t>Oprema i radovi energetske obnove (</w:t>
            </w:r>
            <w:r>
              <w:rPr>
                <w:rFonts w:eastAsia="Calibri" w:cs="Arial"/>
                <w:i/>
                <w:sz w:val="18"/>
                <w:szCs w:val="18"/>
                <w:lang w:eastAsia="en-US"/>
              </w:rPr>
              <w:t>žarulje, svjetiljke, zaštitno-kontrolna oprema, kabliranje, stupovi i dr.</w:t>
            </w:r>
            <w:r w:rsidRPr="004310D1">
              <w:rPr>
                <w:rFonts w:eastAsia="Calibri" w:cs="Arial"/>
                <w:i/>
                <w:sz w:val="18"/>
                <w:szCs w:val="18"/>
                <w:lang w:eastAsia="en-US"/>
              </w:rPr>
              <w:t>)</w:t>
            </w:r>
          </w:p>
          <w:p w14:paraId="15EC0409" w14:textId="77777777" w:rsidR="004A5913"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 xml:space="preserve">Stručni i projektantski nadzor </w:t>
            </w:r>
          </w:p>
          <w:p w14:paraId="1A639A73" w14:textId="77777777" w:rsidR="004A5913" w:rsidRPr="001F0238"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eastAsia="Calibri" w:cs="Arial"/>
                <w:i/>
                <w:sz w:val="18"/>
                <w:szCs w:val="18"/>
                <w:lang w:eastAsia="en-US"/>
              </w:rPr>
              <w:t>Tehnička pomoć</w:t>
            </w:r>
          </w:p>
        </w:tc>
      </w:tr>
      <w:tr w:rsidR="004A5913" w14:paraId="4E76626D"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0DDA8657" w14:textId="77777777" w:rsidR="004A5913" w:rsidRPr="00BB225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TR-9</w:t>
            </w:r>
          </w:p>
        </w:tc>
        <w:tc>
          <w:tcPr>
            <w:tcW w:w="700" w:type="pct"/>
          </w:tcPr>
          <w:p w14:paraId="13606CE2"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B77C41">
              <w:rPr>
                <w:rFonts w:ascii="Arial" w:hAnsi="Arial" w:cs="Arial"/>
                <w:i/>
                <w:sz w:val="18"/>
                <w:szCs w:val="18"/>
              </w:rPr>
              <w:t>Financijski poticaji za energetski učinkovita vozila</w:t>
            </w:r>
          </w:p>
        </w:tc>
        <w:tc>
          <w:tcPr>
            <w:tcW w:w="520" w:type="pct"/>
          </w:tcPr>
          <w:p w14:paraId="753DD332"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tcPr>
          <w:p w14:paraId="5FDC0EBD" w14:textId="77777777" w:rsidR="004A5913" w:rsidRPr="001F0238"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B3C19">
              <w:rPr>
                <w:rFonts w:ascii="Arial" w:hAnsi="Arial" w:cs="Arial"/>
                <w:i/>
                <w:sz w:val="18"/>
                <w:szCs w:val="18"/>
              </w:rPr>
              <w:t>Sufinanciranje kupovine vozila s pogonom na električnu energiju, stlačeni i ukapljeni prirodni plin i vodik</w:t>
            </w:r>
          </w:p>
        </w:tc>
        <w:tc>
          <w:tcPr>
            <w:tcW w:w="706" w:type="pct"/>
          </w:tcPr>
          <w:p w14:paraId="182E3FF4"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0,43 ktoe</w:t>
            </w:r>
          </w:p>
          <w:p w14:paraId="41583E92"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0,0</w:t>
            </w:r>
            <w:r w:rsidRPr="002170E5">
              <w:rPr>
                <w:rFonts w:ascii="Arial" w:hAnsi="Arial" w:cs="Arial"/>
                <w:i/>
                <w:sz w:val="18"/>
                <w:szCs w:val="18"/>
              </w:rPr>
              <w:t>1</w:t>
            </w:r>
            <w:r>
              <w:rPr>
                <w:rFonts w:ascii="Arial" w:hAnsi="Arial" w:cs="Arial"/>
                <w:i/>
                <w:sz w:val="18"/>
                <w:szCs w:val="18"/>
              </w:rPr>
              <w:t>8 PJ</w:t>
            </w:r>
          </w:p>
        </w:tc>
        <w:tc>
          <w:tcPr>
            <w:tcW w:w="659" w:type="pct"/>
          </w:tcPr>
          <w:p w14:paraId="71653317"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FZOEU</w:t>
            </w:r>
          </w:p>
        </w:tc>
        <w:tc>
          <w:tcPr>
            <w:tcW w:w="565" w:type="pct"/>
          </w:tcPr>
          <w:p w14:paraId="5265E135"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Promet</w:t>
            </w:r>
          </w:p>
        </w:tc>
        <w:tc>
          <w:tcPr>
            <w:tcW w:w="905" w:type="pct"/>
          </w:tcPr>
          <w:p w14:paraId="297D7ECE" w14:textId="77777777" w:rsidR="004A5913" w:rsidRPr="001F0238"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eastAsia="Calibri" w:cs="Arial"/>
                <w:i/>
                <w:sz w:val="18"/>
                <w:szCs w:val="18"/>
                <w:lang w:eastAsia="en-US"/>
              </w:rPr>
              <w:t>Kupovina vozila</w:t>
            </w:r>
          </w:p>
        </w:tc>
      </w:tr>
      <w:tr w:rsidR="004A5913" w14:paraId="267E8C77"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2EAAD547" w14:textId="77777777" w:rsidR="004A5913" w:rsidRPr="00BB225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TR-11</w:t>
            </w:r>
          </w:p>
        </w:tc>
        <w:tc>
          <w:tcPr>
            <w:tcW w:w="700" w:type="pct"/>
          </w:tcPr>
          <w:p w14:paraId="6AC4CAEC"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B77C41">
              <w:rPr>
                <w:rFonts w:ascii="Arial" w:hAnsi="Arial" w:cs="Arial"/>
                <w:i/>
                <w:sz w:val="18"/>
                <w:szCs w:val="18"/>
              </w:rPr>
              <w:t>Promicanje integriranog i inteligentnog prometa i razvoj infrastrukture za alternativna goriva na lokalnoj i područnoj razini</w:t>
            </w:r>
          </w:p>
        </w:tc>
        <w:tc>
          <w:tcPr>
            <w:tcW w:w="520" w:type="pct"/>
          </w:tcPr>
          <w:p w14:paraId="1AA9C08A"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Financijska</w:t>
            </w:r>
          </w:p>
        </w:tc>
        <w:tc>
          <w:tcPr>
            <w:tcW w:w="658" w:type="pct"/>
          </w:tcPr>
          <w:p w14:paraId="7D4C2AE5" w14:textId="77777777" w:rsidR="004A5913" w:rsidRPr="001F0238"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Sufinanciranje održivih prometnih rješenja u gradovima</w:t>
            </w:r>
          </w:p>
        </w:tc>
        <w:tc>
          <w:tcPr>
            <w:tcW w:w="706" w:type="pct"/>
          </w:tcPr>
          <w:p w14:paraId="6E169F4E"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0,50 ktoe</w:t>
            </w:r>
          </w:p>
          <w:p w14:paraId="74EA66F3"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0,0</w:t>
            </w:r>
            <w:r w:rsidRPr="002170E5">
              <w:rPr>
                <w:rFonts w:ascii="Arial" w:hAnsi="Arial" w:cs="Arial"/>
                <w:i/>
                <w:sz w:val="18"/>
                <w:szCs w:val="18"/>
              </w:rPr>
              <w:t>2</w:t>
            </w:r>
            <w:r>
              <w:rPr>
                <w:rFonts w:ascii="Arial" w:hAnsi="Arial" w:cs="Arial"/>
                <w:i/>
                <w:sz w:val="18"/>
                <w:szCs w:val="18"/>
              </w:rPr>
              <w:t>1 PJ</w:t>
            </w:r>
          </w:p>
        </w:tc>
        <w:tc>
          <w:tcPr>
            <w:tcW w:w="659" w:type="pct"/>
          </w:tcPr>
          <w:p w14:paraId="5F7C5C9B"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FZOEU</w:t>
            </w:r>
          </w:p>
        </w:tc>
        <w:tc>
          <w:tcPr>
            <w:tcW w:w="565" w:type="pct"/>
          </w:tcPr>
          <w:p w14:paraId="40F9888A"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Promet</w:t>
            </w:r>
          </w:p>
        </w:tc>
        <w:tc>
          <w:tcPr>
            <w:tcW w:w="905" w:type="pct"/>
          </w:tcPr>
          <w:p w14:paraId="3FF7F4FE" w14:textId="77777777" w:rsidR="004A5913" w:rsidRPr="001F0238"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cs="Arial"/>
                <w:i/>
                <w:sz w:val="18"/>
                <w:szCs w:val="18"/>
              </w:rPr>
            </w:pPr>
            <w:r w:rsidRPr="00B46A3E">
              <w:rPr>
                <w:rFonts w:cs="Arial"/>
                <w:i/>
                <w:sz w:val="18"/>
                <w:szCs w:val="18"/>
              </w:rPr>
              <w:t>optimiranje logistike prijevoza tereta; inteligentno upravljanje javnim parkirnim površinama, uvođenje integriranog prijevoza putnika, uvođenje car-sharing-a, sustavi javnih gradskih bicikala i izgradnja biciklističke infrastrukture, inteligentno upravljanje u prometu (napredna signalizacija i upravljanje)</w:t>
            </w:r>
          </w:p>
        </w:tc>
      </w:tr>
      <w:tr w:rsidR="004A5913" w14:paraId="257D1459"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5FDF830D" w14:textId="77777777" w:rsidR="004A5913" w:rsidRPr="00BB2258" w:rsidRDefault="004A5913" w:rsidP="001B6C7B">
            <w:pPr>
              <w:pStyle w:val="ManualNumPar1"/>
              <w:spacing w:before="0" w:after="0" w:line="240" w:lineRule="auto"/>
              <w:ind w:left="0" w:firstLine="0"/>
              <w:jc w:val="both"/>
              <w:rPr>
                <w:rFonts w:ascii="Arial" w:hAnsi="Arial" w:cs="Arial"/>
                <w:i/>
                <w:sz w:val="18"/>
                <w:szCs w:val="18"/>
              </w:rPr>
            </w:pPr>
            <w:r>
              <w:rPr>
                <w:rFonts w:ascii="Arial" w:hAnsi="Arial" w:cs="Arial"/>
                <w:i/>
                <w:sz w:val="18"/>
                <w:szCs w:val="18"/>
              </w:rPr>
              <w:t>TR-12</w:t>
            </w:r>
          </w:p>
        </w:tc>
        <w:tc>
          <w:tcPr>
            <w:tcW w:w="700" w:type="pct"/>
          </w:tcPr>
          <w:p w14:paraId="1CB3710D"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980115">
              <w:rPr>
                <w:rFonts w:ascii="Arial" w:hAnsi="Arial" w:cs="Arial"/>
                <w:i/>
                <w:sz w:val="18"/>
                <w:szCs w:val="18"/>
              </w:rPr>
              <w:t>Obuka vozača cestovnih vozila za eko vožnju</w:t>
            </w:r>
          </w:p>
        </w:tc>
        <w:tc>
          <w:tcPr>
            <w:tcW w:w="520" w:type="pct"/>
          </w:tcPr>
          <w:p w14:paraId="2B04C5B5"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Informacijska</w:t>
            </w:r>
          </w:p>
          <w:p w14:paraId="71217D41" w14:textId="77777777" w:rsidR="004A5913" w:rsidRPr="00980115"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pPr>
            <w:r w:rsidRPr="00980115">
              <w:rPr>
                <w:rFonts w:ascii="Arial" w:hAnsi="Arial" w:cs="Arial"/>
                <w:i/>
                <w:sz w:val="18"/>
                <w:szCs w:val="18"/>
              </w:rPr>
              <w:t>Financijska</w:t>
            </w:r>
          </w:p>
        </w:tc>
        <w:tc>
          <w:tcPr>
            <w:tcW w:w="658" w:type="pct"/>
          </w:tcPr>
          <w:p w14:paraId="2CCF11E9"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980115">
              <w:rPr>
                <w:rFonts w:ascii="Arial" w:hAnsi="Arial" w:cs="Arial"/>
                <w:i/>
                <w:sz w:val="18"/>
                <w:szCs w:val="18"/>
              </w:rPr>
              <w:t xml:space="preserve">Obrazovanje o elementima eko vožnje </w:t>
            </w:r>
            <w:r>
              <w:rPr>
                <w:rFonts w:ascii="Arial" w:hAnsi="Arial" w:cs="Arial"/>
                <w:i/>
                <w:sz w:val="18"/>
                <w:szCs w:val="18"/>
              </w:rPr>
              <w:t>u</w:t>
            </w:r>
            <w:r w:rsidRPr="00980115">
              <w:rPr>
                <w:rFonts w:ascii="Arial" w:hAnsi="Arial" w:cs="Arial"/>
                <w:i/>
                <w:sz w:val="18"/>
                <w:szCs w:val="18"/>
              </w:rPr>
              <w:t xml:space="preserve"> kratkim treninzima (u trajanju od oko 60-120 minuta</w:t>
            </w:r>
            <w:r>
              <w:rPr>
                <w:rFonts w:ascii="Arial" w:hAnsi="Arial" w:cs="Arial"/>
                <w:i/>
                <w:sz w:val="18"/>
                <w:szCs w:val="18"/>
              </w:rPr>
              <w:t>) te provedba nacionalne promotivne kampanje</w:t>
            </w:r>
          </w:p>
        </w:tc>
        <w:tc>
          <w:tcPr>
            <w:tcW w:w="706" w:type="pct"/>
          </w:tcPr>
          <w:p w14:paraId="1EEEF5AF"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0,26 ktoe</w:t>
            </w:r>
          </w:p>
          <w:p w14:paraId="5053EC7A"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0,0</w:t>
            </w:r>
            <w:r w:rsidRPr="002170E5">
              <w:rPr>
                <w:rFonts w:ascii="Arial" w:hAnsi="Arial" w:cs="Arial"/>
                <w:i/>
                <w:sz w:val="18"/>
                <w:szCs w:val="18"/>
              </w:rPr>
              <w:t>11</w:t>
            </w:r>
            <w:r>
              <w:rPr>
                <w:rFonts w:ascii="Arial" w:hAnsi="Arial" w:cs="Arial"/>
                <w:i/>
                <w:sz w:val="18"/>
                <w:szCs w:val="18"/>
              </w:rPr>
              <w:t xml:space="preserve"> PJ</w:t>
            </w:r>
          </w:p>
        </w:tc>
        <w:tc>
          <w:tcPr>
            <w:tcW w:w="659" w:type="pct"/>
          </w:tcPr>
          <w:p w14:paraId="3EA3DD1C"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FZOEU</w:t>
            </w:r>
          </w:p>
        </w:tc>
        <w:tc>
          <w:tcPr>
            <w:tcW w:w="565" w:type="pct"/>
          </w:tcPr>
          <w:p w14:paraId="2F665E61"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Promet</w:t>
            </w:r>
          </w:p>
        </w:tc>
        <w:tc>
          <w:tcPr>
            <w:tcW w:w="905" w:type="pct"/>
          </w:tcPr>
          <w:p w14:paraId="053F759A" w14:textId="77777777" w:rsidR="004A5913" w:rsidRDefault="004A5913">
            <w:pPr>
              <w:pStyle w:val="ManualNumPar1"/>
              <w:numPr>
                <w:ilvl w:val="0"/>
                <w:numId w:val="113"/>
              </w:numPr>
              <w:spacing w:before="0" w:after="0" w:line="240" w:lineRule="auto"/>
              <w:ind w:left="261" w:hanging="26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Treninzi eko-vožnje</w:t>
            </w:r>
          </w:p>
          <w:p w14:paraId="6E8F378F" w14:textId="77777777" w:rsidR="004A5913" w:rsidRPr="004310D1"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eastAsia="Calibri" w:cs="Arial"/>
                <w:i/>
                <w:sz w:val="18"/>
                <w:szCs w:val="18"/>
                <w:lang w:eastAsia="en-US"/>
              </w:rPr>
              <w:t>Promotivna kampanja</w:t>
            </w:r>
          </w:p>
          <w:p w14:paraId="07536602"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4A5913" w14:paraId="3CA31BA9" w14:textId="77777777" w:rsidTr="003F7A28">
        <w:tc>
          <w:tcPr>
            <w:cnfStyle w:val="001000000000" w:firstRow="0" w:lastRow="0" w:firstColumn="1" w:lastColumn="0" w:oddVBand="0" w:evenVBand="0" w:oddHBand="0" w:evenHBand="0" w:firstRowFirstColumn="0" w:firstRowLastColumn="0" w:lastRowFirstColumn="0" w:lastRowLastColumn="0"/>
            <w:tcW w:w="285" w:type="pct"/>
          </w:tcPr>
          <w:p w14:paraId="4A8267F5" w14:textId="79809C8E" w:rsidR="004A5913" w:rsidRPr="00BE71C6" w:rsidRDefault="004A5913" w:rsidP="001B6C7B">
            <w:pPr>
              <w:pStyle w:val="ManualNumPar1"/>
              <w:spacing w:before="0" w:after="0" w:line="240" w:lineRule="auto"/>
              <w:ind w:left="0" w:firstLine="0"/>
              <w:jc w:val="both"/>
              <w:rPr>
                <w:rFonts w:ascii="Arial" w:hAnsi="Arial" w:cs="Arial"/>
                <w:i/>
                <w:sz w:val="18"/>
                <w:szCs w:val="18"/>
              </w:rPr>
            </w:pPr>
            <w:r w:rsidRPr="001B6C7B">
              <w:rPr>
                <w:rFonts w:ascii="Arial" w:hAnsi="Arial" w:cs="Arial"/>
                <w:i/>
                <w:sz w:val="18"/>
                <w:szCs w:val="18"/>
              </w:rPr>
              <w:t>UET-</w:t>
            </w:r>
            <w:r w:rsidR="001B6C7B" w:rsidRPr="00A87274">
              <w:rPr>
                <w:rFonts w:ascii="Arial" w:hAnsi="Arial" w:cs="Arial"/>
                <w:i/>
                <w:sz w:val="18"/>
                <w:szCs w:val="18"/>
              </w:rPr>
              <w:t>5</w:t>
            </w:r>
          </w:p>
        </w:tc>
        <w:tc>
          <w:tcPr>
            <w:tcW w:w="700" w:type="pct"/>
          </w:tcPr>
          <w:p w14:paraId="07DB02BD" w14:textId="77777777" w:rsidR="004A5913" w:rsidRPr="001F0238" w:rsidRDefault="004A5913" w:rsidP="009104E0">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BE71C6">
              <w:rPr>
                <w:rFonts w:ascii="Arial" w:hAnsi="Arial" w:cs="Arial"/>
                <w:i/>
                <w:sz w:val="18"/>
                <w:szCs w:val="18"/>
              </w:rPr>
              <w:t>Sufinanciranje provedbe mjera energetske učinkovitosti u energetski siromašnim kućanstvima</w:t>
            </w:r>
          </w:p>
        </w:tc>
        <w:tc>
          <w:tcPr>
            <w:tcW w:w="520" w:type="pct"/>
          </w:tcPr>
          <w:p w14:paraId="7804D33D"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Financijska </w:t>
            </w:r>
          </w:p>
          <w:p w14:paraId="6C28CF68" w14:textId="77777777" w:rsidR="004A5913" w:rsidRPr="00BE71C6"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pPr>
            <w:r w:rsidRPr="00BE71C6">
              <w:rPr>
                <w:rFonts w:ascii="Arial" w:hAnsi="Arial" w:cs="Arial"/>
                <w:i/>
                <w:sz w:val="18"/>
                <w:szCs w:val="18"/>
              </w:rPr>
              <w:t>Informacijska</w:t>
            </w:r>
            <w:r>
              <w:t xml:space="preserve"> </w:t>
            </w:r>
          </w:p>
        </w:tc>
        <w:tc>
          <w:tcPr>
            <w:tcW w:w="658" w:type="pct"/>
          </w:tcPr>
          <w:p w14:paraId="74A9B98C" w14:textId="77777777" w:rsidR="004A5913" w:rsidRPr="001F0238" w:rsidRDefault="004A5913">
            <w:pPr>
              <w:pStyle w:val="ManualNumPar1"/>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Sufinanciranje provedbe tehničkih mjera u energetski siromašnim kućanstvima </w:t>
            </w:r>
          </w:p>
        </w:tc>
        <w:tc>
          <w:tcPr>
            <w:tcW w:w="706" w:type="pct"/>
          </w:tcPr>
          <w:p w14:paraId="2E4017F0" w14:textId="77777777" w:rsidR="004A5913"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0,10 ktoe</w:t>
            </w:r>
          </w:p>
          <w:p w14:paraId="6BE31133"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0,004 PJ</w:t>
            </w:r>
          </w:p>
        </w:tc>
        <w:tc>
          <w:tcPr>
            <w:tcW w:w="659" w:type="pct"/>
          </w:tcPr>
          <w:p w14:paraId="0117C885"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FZOEU</w:t>
            </w:r>
          </w:p>
        </w:tc>
        <w:tc>
          <w:tcPr>
            <w:tcW w:w="565" w:type="pct"/>
          </w:tcPr>
          <w:p w14:paraId="08743484" w14:textId="77777777" w:rsidR="004A5913" w:rsidRPr="001F0238" w:rsidRDefault="004A5913">
            <w:pPr>
              <w:pStyle w:val="ManualNumPar1"/>
              <w:spacing w:before="0"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Kućanstva</w:t>
            </w:r>
          </w:p>
        </w:tc>
        <w:tc>
          <w:tcPr>
            <w:tcW w:w="905" w:type="pct"/>
          </w:tcPr>
          <w:p w14:paraId="6D0F6725" w14:textId="77777777" w:rsidR="004A5913" w:rsidRPr="00F0411D"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F0411D">
              <w:rPr>
                <w:rFonts w:eastAsia="Calibri" w:cs="Arial"/>
                <w:i/>
                <w:sz w:val="18"/>
                <w:szCs w:val="18"/>
                <w:lang w:eastAsia="en-US"/>
              </w:rPr>
              <w:t>Zamjena kućanskih uređaja po sistemu „staro za novo“</w:t>
            </w:r>
          </w:p>
          <w:p w14:paraId="02F4EED1" w14:textId="77777777" w:rsidR="004A5913" w:rsidRPr="00F0411D"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F0411D">
              <w:rPr>
                <w:rFonts w:eastAsia="Calibri" w:cs="Arial"/>
                <w:i/>
                <w:sz w:val="18"/>
                <w:szCs w:val="18"/>
                <w:lang w:eastAsia="en-US"/>
              </w:rPr>
              <w:t>Unaprjeđenje ili zamjena sustava grijanja okolišno, ekonomski i energetski povoljnijima, a poglavito sustavima koji koriste obnovljive izvore energije</w:t>
            </w:r>
          </w:p>
          <w:p w14:paraId="097A873E" w14:textId="77777777" w:rsidR="004A5913" w:rsidRPr="00F0411D" w:rsidRDefault="004A5913">
            <w:pPr>
              <w:pStyle w:val="ListParagraph"/>
              <w:numPr>
                <w:ilvl w:val="0"/>
                <w:numId w:val="113"/>
              </w:numPr>
              <w:tabs>
                <w:tab w:val="clear" w:pos="431"/>
              </w:tabs>
              <w:suppressAutoHyphens w:val="0"/>
              <w:spacing w:after="0"/>
              <w:ind w:left="261" w:hanging="261"/>
              <w:contextualSpacing/>
              <w:jc w:val="lef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sidRPr="00F0411D">
              <w:rPr>
                <w:rFonts w:eastAsia="Calibri" w:cs="Arial"/>
                <w:i/>
                <w:sz w:val="18"/>
                <w:szCs w:val="18"/>
                <w:lang w:eastAsia="en-US"/>
              </w:rPr>
              <w:t>Jednostavne mjere energetske učinkovitosti</w:t>
            </w:r>
          </w:p>
        </w:tc>
      </w:tr>
    </w:tbl>
    <w:p w14:paraId="5868ED76" w14:textId="77777777" w:rsidR="004A5913" w:rsidRDefault="004A5913" w:rsidP="004A5913">
      <w:pPr>
        <w:pStyle w:val="ManualNumPar1"/>
        <w:spacing w:before="0" w:after="0" w:line="276" w:lineRule="auto"/>
        <w:jc w:val="both"/>
        <w:rPr>
          <w:rFonts w:ascii="Arial" w:hAnsi="Arial" w:cs="Arial"/>
          <w:i/>
          <w:sz w:val="22"/>
        </w:rPr>
      </w:pPr>
    </w:p>
    <w:p w14:paraId="4C6AB8EF" w14:textId="77777777" w:rsidR="004A5913" w:rsidRDefault="004A5913" w:rsidP="004A5913">
      <w:pPr>
        <w:spacing w:after="160" w:line="259" w:lineRule="auto"/>
        <w:jc w:val="left"/>
        <w:rPr>
          <w:rFonts w:eastAsia="Calibri" w:cs="Arial"/>
          <w:i/>
          <w:lang w:eastAsia="en-US"/>
        </w:rPr>
      </w:pPr>
      <w:r>
        <w:rPr>
          <w:rFonts w:cs="Arial"/>
          <w:i/>
        </w:rPr>
        <w:br w:type="page"/>
      </w:r>
    </w:p>
    <w:p w14:paraId="35458656" w14:textId="77777777" w:rsidR="004A5913" w:rsidRDefault="004A5913" w:rsidP="004A5913">
      <w:pPr>
        <w:pStyle w:val="ManualNumPar1"/>
        <w:spacing w:before="0" w:after="0" w:line="276" w:lineRule="auto"/>
        <w:jc w:val="both"/>
        <w:rPr>
          <w:rFonts w:ascii="Arial" w:hAnsi="Arial" w:cs="Arial"/>
          <w:i/>
          <w:sz w:val="22"/>
        </w:rPr>
      </w:pPr>
      <w:r>
        <w:rPr>
          <w:rFonts w:ascii="Arial" w:hAnsi="Arial" w:cs="Arial"/>
          <w:i/>
          <w:sz w:val="22"/>
        </w:rPr>
        <w:t xml:space="preserve">Sljedeća tablica prikazuje očekivane kumulativne uštede iz alternativnih mjera u razdoblju od 2021. do 2030. </w:t>
      </w:r>
    </w:p>
    <w:tbl>
      <w:tblPr>
        <w:tblStyle w:val="GridTable1Light"/>
        <w:tblW w:w="5000" w:type="pct"/>
        <w:tblLook w:val="04A0" w:firstRow="1" w:lastRow="0" w:firstColumn="1" w:lastColumn="0" w:noHBand="0" w:noVBand="1"/>
      </w:tblPr>
      <w:tblGrid>
        <w:gridCol w:w="771"/>
        <w:gridCol w:w="1330"/>
        <w:gridCol w:w="1330"/>
        <w:gridCol w:w="1330"/>
        <w:gridCol w:w="1330"/>
        <w:gridCol w:w="1330"/>
        <w:gridCol w:w="1326"/>
        <w:gridCol w:w="1326"/>
        <w:gridCol w:w="1326"/>
        <w:gridCol w:w="1326"/>
        <w:gridCol w:w="1333"/>
        <w:gridCol w:w="1330"/>
      </w:tblGrid>
      <w:tr w:rsidR="004A5913" w14:paraId="2B3B46E5" w14:textId="77777777" w:rsidTr="003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 w:type="pct"/>
          </w:tcPr>
          <w:p w14:paraId="473F5F18"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Id.</w:t>
            </w:r>
          </w:p>
        </w:tc>
        <w:tc>
          <w:tcPr>
            <w:tcW w:w="432" w:type="pct"/>
          </w:tcPr>
          <w:p w14:paraId="652FEAFE" w14:textId="77777777" w:rsidR="004A5913" w:rsidRPr="001F0238" w:rsidRDefault="004A5913" w:rsidP="009104E0">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2021.</w:t>
            </w:r>
          </w:p>
        </w:tc>
        <w:tc>
          <w:tcPr>
            <w:tcW w:w="432" w:type="pct"/>
          </w:tcPr>
          <w:p w14:paraId="7A56F2DA"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2022.</w:t>
            </w:r>
          </w:p>
        </w:tc>
        <w:tc>
          <w:tcPr>
            <w:tcW w:w="432" w:type="pct"/>
          </w:tcPr>
          <w:p w14:paraId="74AF9A91"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2023.</w:t>
            </w:r>
          </w:p>
        </w:tc>
        <w:tc>
          <w:tcPr>
            <w:tcW w:w="432" w:type="pct"/>
          </w:tcPr>
          <w:p w14:paraId="0FC992CE"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2024.</w:t>
            </w:r>
          </w:p>
        </w:tc>
        <w:tc>
          <w:tcPr>
            <w:tcW w:w="432" w:type="pct"/>
          </w:tcPr>
          <w:p w14:paraId="4311B27E"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2025.</w:t>
            </w:r>
          </w:p>
        </w:tc>
        <w:tc>
          <w:tcPr>
            <w:tcW w:w="431" w:type="pct"/>
          </w:tcPr>
          <w:p w14:paraId="18F95475"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2026.</w:t>
            </w:r>
          </w:p>
        </w:tc>
        <w:tc>
          <w:tcPr>
            <w:tcW w:w="431" w:type="pct"/>
          </w:tcPr>
          <w:p w14:paraId="3029C753"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2027.</w:t>
            </w:r>
          </w:p>
        </w:tc>
        <w:tc>
          <w:tcPr>
            <w:tcW w:w="431" w:type="pct"/>
          </w:tcPr>
          <w:p w14:paraId="4DD0852E"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2028.</w:t>
            </w:r>
          </w:p>
        </w:tc>
        <w:tc>
          <w:tcPr>
            <w:tcW w:w="431" w:type="pct"/>
          </w:tcPr>
          <w:p w14:paraId="5392213B"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2029.</w:t>
            </w:r>
          </w:p>
        </w:tc>
        <w:tc>
          <w:tcPr>
            <w:tcW w:w="432" w:type="pct"/>
          </w:tcPr>
          <w:p w14:paraId="2811C760"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2030.</w:t>
            </w:r>
          </w:p>
        </w:tc>
        <w:tc>
          <w:tcPr>
            <w:tcW w:w="432" w:type="pct"/>
          </w:tcPr>
          <w:p w14:paraId="4D1A79C7" w14:textId="77777777" w:rsidR="004A5913"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18"/>
              </w:rPr>
            </w:pPr>
            <w:r>
              <w:rPr>
                <w:rFonts w:ascii="Arial" w:hAnsi="Arial" w:cs="Arial"/>
                <w:i/>
                <w:sz w:val="18"/>
                <w:szCs w:val="18"/>
              </w:rPr>
              <w:t>Uštede energije</w:t>
            </w:r>
          </w:p>
          <w:p w14:paraId="0BBEA136" w14:textId="77777777" w:rsidR="004A5913" w:rsidRPr="001F0238" w:rsidRDefault="004A5913">
            <w:pPr>
              <w:pStyle w:val="ManualNumPar1"/>
              <w:spacing w:before="0" w:after="0"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rPr>
              <w:t>[ktoe]</w:t>
            </w:r>
          </w:p>
        </w:tc>
      </w:tr>
      <w:tr w:rsidR="004A5913" w14:paraId="4FD4E5FB"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1C1B9476"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ENU-3</w:t>
            </w:r>
          </w:p>
        </w:tc>
        <w:tc>
          <w:tcPr>
            <w:tcW w:w="432" w:type="pct"/>
            <w:vAlign w:val="center"/>
          </w:tcPr>
          <w:p w14:paraId="691B4177"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3,54</w:t>
            </w:r>
          </w:p>
        </w:tc>
        <w:tc>
          <w:tcPr>
            <w:tcW w:w="432" w:type="pct"/>
            <w:vAlign w:val="center"/>
          </w:tcPr>
          <w:p w14:paraId="55AB60D3"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7,08</w:t>
            </w:r>
          </w:p>
        </w:tc>
        <w:tc>
          <w:tcPr>
            <w:tcW w:w="432" w:type="pct"/>
            <w:vAlign w:val="center"/>
          </w:tcPr>
          <w:p w14:paraId="2AAE5C64"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10,62</w:t>
            </w:r>
          </w:p>
        </w:tc>
        <w:tc>
          <w:tcPr>
            <w:tcW w:w="432" w:type="pct"/>
            <w:vAlign w:val="center"/>
          </w:tcPr>
          <w:p w14:paraId="7E1B24B8"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14,16</w:t>
            </w:r>
          </w:p>
        </w:tc>
        <w:tc>
          <w:tcPr>
            <w:tcW w:w="432" w:type="pct"/>
            <w:vAlign w:val="center"/>
          </w:tcPr>
          <w:p w14:paraId="725C901E"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17,7</w:t>
            </w:r>
          </w:p>
        </w:tc>
        <w:tc>
          <w:tcPr>
            <w:tcW w:w="431" w:type="pct"/>
            <w:vAlign w:val="center"/>
          </w:tcPr>
          <w:p w14:paraId="6411B0AE"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21,24</w:t>
            </w:r>
          </w:p>
        </w:tc>
        <w:tc>
          <w:tcPr>
            <w:tcW w:w="431" w:type="pct"/>
            <w:vAlign w:val="center"/>
          </w:tcPr>
          <w:p w14:paraId="15B3DEB4"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24,78</w:t>
            </w:r>
          </w:p>
        </w:tc>
        <w:tc>
          <w:tcPr>
            <w:tcW w:w="431" w:type="pct"/>
            <w:vAlign w:val="center"/>
          </w:tcPr>
          <w:p w14:paraId="30734A8D" w14:textId="77777777" w:rsidR="004A5913" w:rsidRPr="004310D1"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28,32</w:t>
            </w:r>
          </w:p>
        </w:tc>
        <w:tc>
          <w:tcPr>
            <w:tcW w:w="431" w:type="pct"/>
            <w:vAlign w:val="center"/>
          </w:tcPr>
          <w:p w14:paraId="51FFCEAD"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31,86</w:t>
            </w:r>
          </w:p>
        </w:tc>
        <w:tc>
          <w:tcPr>
            <w:tcW w:w="432" w:type="pct"/>
            <w:vAlign w:val="center"/>
          </w:tcPr>
          <w:p w14:paraId="5DA89950"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35,4</w:t>
            </w:r>
          </w:p>
        </w:tc>
        <w:tc>
          <w:tcPr>
            <w:tcW w:w="432" w:type="pct"/>
            <w:vAlign w:val="center"/>
          </w:tcPr>
          <w:p w14:paraId="280E836E"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194,7</w:t>
            </w:r>
          </w:p>
        </w:tc>
      </w:tr>
      <w:tr w:rsidR="004A5913" w14:paraId="5A3AA132"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3587B1EA"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ENU-4</w:t>
            </w:r>
          </w:p>
        </w:tc>
        <w:tc>
          <w:tcPr>
            <w:tcW w:w="432" w:type="pct"/>
            <w:vAlign w:val="center"/>
          </w:tcPr>
          <w:p w14:paraId="31C12EC8"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4,56</w:t>
            </w:r>
          </w:p>
        </w:tc>
        <w:tc>
          <w:tcPr>
            <w:tcW w:w="432" w:type="pct"/>
            <w:vAlign w:val="center"/>
          </w:tcPr>
          <w:p w14:paraId="5B2C8127"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9,12</w:t>
            </w:r>
          </w:p>
        </w:tc>
        <w:tc>
          <w:tcPr>
            <w:tcW w:w="432" w:type="pct"/>
            <w:vAlign w:val="center"/>
          </w:tcPr>
          <w:p w14:paraId="55638E7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13,68</w:t>
            </w:r>
          </w:p>
        </w:tc>
        <w:tc>
          <w:tcPr>
            <w:tcW w:w="432" w:type="pct"/>
            <w:vAlign w:val="center"/>
          </w:tcPr>
          <w:p w14:paraId="675DF24D"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18,24</w:t>
            </w:r>
          </w:p>
        </w:tc>
        <w:tc>
          <w:tcPr>
            <w:tcW w:w="432" w:type="pct"/>
            <w:vAlign w:val="center"/>
          </w:tcPr>
          <w:p w14:paraId="1A256A36"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22,8</w:t>
            </w:r>
          </w:p>
        </w:tc>
        <w:tc>
          <w:tcPr>
            <w:tcW w:w="431" w:type="pct"/>
            <w:vAlign w:val="center"/>
          </w:tcPr>
          <w:p w14:paraId="2868653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27,36</w:t>
            </w:r>
          </w:p>
        </w:tc>
        <w:tc>
          <w:tcPr>
            <w:tcW w:w="431" w:type="pct"/>
            <w:vAlign w:val="center"/>
          </w:tcPr>
          <w:p w14:paraId="47FFF9BF"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31,92</w:t>
            </w:r>
          </w:p>
        </w:tc>
        <w:tc>
          <w:tcPr>
            <w:tcW w:w="431" w:type="pct"/>
            <w:vAlign w:val="center"/>
          </w:tcPr>
          <w:p w14:paraId="421CFD83" w14:textId="77777777" w:rsidR="004A5913" w:rsidRPr="00FA0AD8"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lang w:eastAsia="en-US"/>
              </w:rPr>
            </w:pPr>
            <w:r>
              <w:rPr>
                <w:rFonts w:cs="Arial"/>
                <w:i/>
                <w:iCs/>
                <w:color w:val="000000"/>
                <w:sz w:val="18"/>
                <w:szCs w:val="18"/>
                <w:lang w:eastAsia="en-US"/>
              </w:rPr>
              <w:t>36,48</w:t>
            </w:r>
          </w:p>
        </w:tc>
        <w:tc>
          <w:tcPr>
            <w:tcW w:w="431" w:type="pct"/>
            <w:vAlign w:val="center"/>
          </w:tcPr>
          <w:p w14:paraId="6D365E5B"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41,04</w:t>
            </w:r>
          </w:p>
        </w:tc>
        <w:tc>
          <w:tcPr>
            <w:tcW w:w="432" w:type="pct"/>
            <w:vAlign w:val="center"/>
          </w:tcPr>
          <w:p w14:paraId="59CECC1B"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45,6</w:t>
            </w:r>
          </w:p>
        </w:tc>
        <w:tc>
          <w:tcPr>
            <w:tcW w:w="432" w:type="pct"/>
            <w:vAlign w:val="center"/>
          </w:tcPr>
          <w:p w14:paraId="6D791C2B"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250,8</w:t>
            </w:r>
          </w:p>
        </w:tc>
      </w:tr>
      <w:tr w:rsidR="004A5913" w14:paraId="0B57A11E" w14:textId="77777777" w:rsidTr="003F7A28">
        <w:trPr>
          <w:trHeight w:val="70"/>
        </w:trPr>
        <w:tc>
          <w:tcPr>
            <w:cnfStyle w:val="001000000000" w:firstRow="0" w:lastRow="0" w:firstColumn="1" w:lastColumn="0" w:oddVBand="0" w:evenVBand="0" w:oddHBand="0" w:evenHBand="0" w:firstRowFirstColumn="0" w:firstRowLastColumn="0" w:lastRowFirstColumn="0" w:lastRowLastColumn="0"/>
            <w:tcW w:w="251" w:type="pct"/>
          </w:tcPr>
          <w:p w14:paraId="1646D382"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ENU-5</w:t>
            </w:r>
          </w:p>
        </w:tc>
        <w:tc>
          <w:tcPr>
            <w:tcW w:w="432" w:type="pct"/>
            <w:vAlign w:val="center"/>
          </w:tcPr>
          <w:p w14:paraId="362CDB9F"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4,04</w:t>
            </w:r>
          </w:p>
        </w:tc>
        <w:tc>
          <w:tcPr>
            <w:tcW w:w="432" w:type="pct"/>
            <w:vAlign w:val="center"/>
          </w:tcPr>
          <w:p w14:paraId="71F241D8"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8,08</w:t>
            </w:r>
          </w:p>
        </w:tc>
        <w:tc>
          <w:tcPr>
            <w:tcW w:w="432" w:type="pct"/>
            <w:vAlign w:val="center"/>
          </w:tcPr>
          <w:p w14:paraId="75D4E890"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12,12</w:t>
            </w:r>
          </w:p>
        </w:tc>
        <w:tc>
          <w:tcPr>
            <w:tcW w:w="432" w:type="pct"/>
            <w:vAlign w:val="center"/>
          </w:tcPr>
          <w:p w14:paraId="03EAC823"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16,16</w:t>
            </w:r>
          </w:p>
        </w:tc>
        <w:tc>
          <w:tcPr>
            <w:tcW w:w="432" w:type="pct"/>
            <w:vAlign w:val="center"/>
          </w:tcPr>
          <w:p w14:paraId="610CA8E0"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20,2</w:t>
            </w:r>
          </w:p>
        </w:tc>
        <w:tc>
          <w:tcPr>
            <w:tcW w:w="431" w:type="pct"/>
            <w:vAlign w:val="center"/>
          </w:tcPr>
          <w:p w14:paraId="3DB78220"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24,24</w:t>
            </w:r>
          </w:p>
        </w:tc>
        <w:tc>
          <w:tcPr>
            <w:tcW w:w="431" w:type="pct"/>
            <w:vAlign w:val="center"/>
          </w:tcPr>
          <w:p w14:paraId="4407DCE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28,28</w:t>
            </w:r>
          </w:p>
        </w:tc>
        <w:tc>
          <w:tcPr>
            <w:tcW w:w="431" w:type="pct"/>
            <w:vAlign w:val="center"/>
          </w:tcPr>
          <w:p w14:paraId="7CB2EE4C" w14:textId="77777777" w:rsidR="004A5913" w:rsidRPr="00FA0AD8"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lang w:eastAsia="en-US"/>
              </w:rPr>
            </w:pPr>
            <w:r>
              <w:rPr>
                <w:rFonts w:cs="Arial"/>
                <w:i/>
                <w:iCs/>
                <w:color w:val="000000"/>
                <w:sz w:val="18"/>
                <w:szCs w:val="18"/>
                <w:lang w:eastAsia="en-US"/>
              </w:rPr>
              <w:t>32,32</w:t>
            </w:r>
          </w:p>
        </w:tc>
        <w:tc>
          <w:tcPr>
            <w:tcW w:w="431" w:type="pct"/>
            <w:vAlign w:val="center"/>
          </w:tcPr>
          <w:p w14:paraId="776CCC06" w14:textId="77777777" w:rsidR="004A5913" w:rsidRPr="001F0238" w:rsidRDefault="004A5913" w:rsidP="001B6C7B">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36,36</w:t>
            </w:r>
          </w:p>
        </w:tc>
        <w:tc>
          <w:tcPr>
            <w:tcW w:w="432" w:type="pct"/>
            <w:vAlign w:val="center"/>
          </w:tcPr>
          <w:p w14:paraId="23DBEA1B"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40,4</w:t>
            </w:r>
          </w:p>
        </w:tc>
        <w:tc>
          <w:tcPr>
            <w:tcW w:w="432" w:type="pct"/>
            <w:vAlign w:val="center"/>
          </w:tcPr>
          <w:p w14:paraId="46B0E540"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222,2</w:t>
            </w:r>
          </w:p>
        </w:tc>
      </w:tr>
      <w:tr w:rsidR="004A5913" w14:paraId="4A9DD0D2"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3BCCBFB6"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sidRPr="00BB2258">
              <w:rPr>
                <w:rFonts w:ascii="Arial" w:hAnsi="Arial" w:cs="Arial"/>
                <w:i/>
                <w:sz w:val="18"/>
                <w:szCs w:val="18"/>
              </w:rPr>
              <w:t>ENU-</w:t>
            </w:r>
            <w:r>
              <w:rPr>
                <w:rFonts w:ascii="Arial" w:hAnsi="Arial" w:cs="Arial"/>
                <w:i/>
                <w:sz w:val="18"/>
                <w:szCs w:val="18"/>
              </w:rPr>
              <w:t>6</w:t>
            </w:r>
          </w:p>
        </w:tc>
        <w:tc>
          <w:tcPr>
            <w:tcW w:w="432" w:type="pct"/>
            <w:vAlign w:val="center"/>
          </w:tcPr>
          <w:p w14:paraId="38E36B5B"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2,39</w:t>
            </w:r>
          </w:p>
        </w:tc>
        <w:tc>
          <w:tcPr>
            <w:tcW w:w="432" w:type="pct"/>
            <w:vAlign w:val="center"/>
          </w:tcPr>
          <w:p w14:paraId="079A4B6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2" w:type="pct"/>
            <w:vAlign w:val="center"/>
          </w:tcPr>
          <w:p w14:paraId="454BF4A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2" w:type="pct"/>
            <w:vAlign w:val="center"/>
          </w:tcPr>
          <w:p w14:paraId="0DF6828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2" w:type="pct"/>
            <w:vAlign w:val="center"/>
          </w:tcPr>
          <w:p w14:paraId="44F9CA7C"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1" w:type="pct"/>
            <w:vAlign w:val="center"/>
          </w:tcPr>
          <w:p w14:paraId="3DD9CA4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1" w:type="pct"/>
            <w:vAlign w:val="center"/>
          </w:tcPr>
          <w:p w14:paraId="6732718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1" w:type="pct"/>
            <w:vAlign w:val="center"/>
          </w:tcPr>
          <w:p w14:paraId="1539BFB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4,78</w:t>
            </w:r>
          </w:p>
        </w:tc>
        <w:tc>
          <w:tcPr>
            <w:tcW w:w="431" w:type="pct"/>
            <w:vAlign w:val="center"/>
          </w:tcPr>
          <w:p w14:paraId="637D1630" w14:textId="77777777" w:rsidR="004A5913" w:rsidRPr="002E1FE4"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4,78</w:t>
            </w:r>
          </w:p>
        </w:tc>
        <w:tc>
          <w:tcPr>
            <w:tcW w:w="432" w:type="pct"/>
            <w:vAlign w:val="center"/>
          </w:tcPr>
          <w:p w14:paraId="50C9248D"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4,78</w:t>
            </w:r>
          </w:p>
        </w:tc>
        <w:tc>
          <w:tcPr>
            <w:tcW w:w="432" w:type="pct"/>
            <w:vAlign w:val="center"/>
          </w:tcPr>
          <w:p w14:paraId="4F8C0B64"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Arial"/>
                <w:i/>
                <w:sz w:val="18"/>
                <w:szCs w:val="18"/>
                <w:lang w:eastAsia="en-US"/>
              </w:rPr>
            </w:pPr>
            <w:r>
              <w:rPr>
                <w:rFonts w:cs="Arial"/>
                <w:i/>
                <w:iCs/>
                <w:color w:val="000000"/>
                <w:sz w:val="18"/>
                <w:szCs w:val="18"/>
              </w:rPr>
              <w:t>45,41</w:t>
            </w:r>
          </w:p>
        </w:tc>
      </w:tr>
      <w:tr w:rsidR="004A5913" w14:paraId="5E45F2A3"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2360EBCC" w14:textId="77777777" w:rsidR="004A5913" w:rsidRPr="001F0238" w:rsidRDefault="004A5913" w:rsidP="001B6C7B">
            <w:pPr>
              <w:pStyle w:val="ManualNumPar1"/>
              <w:spacing w:before="0" w:after="0" w:line="276" w:lineRule="auto"/>
              <w:ind w:left="0" w:firstLine="0"/>
              <w:jc w:val="both"/>
              <w:rPr>
                <w:rFonts w:ascii="Arial" w:hAnsi="Arial" w:cs="Arial"/>
                <w:i/>
                <w:sz w:val="18"/>
                <w:szCs w:val="18"/>
              </w:rPr>
            </w:pPr>
            <w:r w:rsidRPr="00BB2258">
              <w:rPr>
                <w:rFonts w:ascii="Arial" w:hAnsi="Arial" w:cs="Arial"/>
                <w:i/>
                <w:sz w:val="18"/>
                <w:szCs w:val="18"/>
              </w:rPr>
              <w:t>ENU-</w:t>
            </w:r>
            <w:r>
              <w:rPr>
                <w:rFonts w:ascii="Arial" w:hAnsi="Arial" w:cs="Arial"/>
                <w:i/>
                <w:sz w:val="18"/>
                <w:szCs w:val="18"/>
              </w:rPr>
              <w:t>7</w:t>
            </w:r>
          </w:p>
        </w:tc>
        <w:tc>
          <w:tcPr>
            <w:tcW w:w="432" w:type="pct"/>
            <w:vAlign w:val="center"/>
          </w:tcPr>
          <w:p w14:paraId="5842ACFA"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2,15</w:t>
            </w:r>
          </w:p>
        </w:tc>
        <w:tc>
          <w:tcPr>
            <w:tcW w:w="432" w:type="pct"/>
            <w:vAlign w:val="center"/>
          </w:tcPr>
          <w:p w14:paraId="10F2D1AF"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4,3</w:t>
            </w:r>
          </w:p>
        </w:tc>
        <w:tc>
          <w:tcPr>
            <w:tcW w:w="432" w:type="pct"/>
            <w:vAlign w:val="center"/>
          </w:tcPr>
          <w:p w14:paraId="4E62D867"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6,45</w:t>
            </w:r>
          </w:p>
        </w:tc>
        <w:tc>
          <w:tcPr>
            <w:tcW w:w="432" w:type="pct"/>
            <w:vAlign w:val="center"/>
          </w:tcPr>
          <w:p w14:paraId="4114B93D"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8,6</w:t>
            </w:r>
          </w:p>
        </w:tc>
        <w:tc>
          <w:tcPr>
            <w:tcW w:w="432" w:type="pct"/>
            <w:vAlign w:val="center"/>
          </w:tcPr>
          <w:p w14:paraId="5313407C"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10,75</w:t>
            </w:r>
          </w:p>
        </w:tc>
        <w:tc>
          <w:tcPr>
            <w:tcW w:w="431" w:type="pct"/>
            <w:vAlign w:val="center"/>
          </w:tcPr>
          <w:p w14:paraId="249DC165"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12,9</w:t>
            </w:r>
          </w:p>
        </w:tc>
        <w:tc>
          <w:tcPr>
            <w:tcW w:w="431" w:type="pct"/>
            <w:vAlign w:val="center"/>
          </w:tcPr>
          <w:p w14:paraId="53110C31"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15,05</w:t>
            </w:r>
          </w:p>
        </w:tc>
        <w:tc>
          <w:tcPr>
            <w:tcW w:w="431" w:type="pct"/>
            <w:vAlign w:val="center"/>
          </w:tcPr>
          <w:p w14:paraId="500D9F1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17,2</w:t>
            </w:r>
          </w:p>
        </w:tc>
        <w:tc>
          <w:tcPr>
            <w:tcW w:w="431" w:type="pct"/>
            <w:vAlign w:val="center"/>
          </w:tcPr>
          <w:p w14:paraId="359D601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19,35</w:t>
            </w:r>
          </w:p>
        </w:tc>
        <w:tc>
          <w:tcPr>
            <w:tcW w:w="432" w:type="pct"/>
            <w:vAlign w:val="center"/>
          </w:tcPr>
          <w:p w14:paraId="717D3729"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21,5</w:t>
            </w:r>
          </w:p>
        </w:tc>
        <w:tc>
          <w:tcPr>
            <w:tcW w:w="432" w:type="pct"/>
            <w:vAlign w:val="center"/>
          </w:tcPr>
          <w:p w14:paraId="6BBA1F0C"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118,25</w:t>
            </w:r>
          </w:p>
        </w:tc>
      </w:tr>
      <w:tr w:rsidR="004A5913" w14:paraId="6F06687B"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3C7A4AFB" w14:textId="77777777" w:rsidR="004A5913" w:rsidRPr="00BB225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TR-9</w:t>
            </w:r>
          </w:p>
        </w:tc>
        <w:tc>
          <w:tcPr>
            <w:tcW w:w="432" w:type="pct"/>
            <w:vAlign w:val="center"/>
          </w:tcPr>
          <w:p w14:paraId="3A9B4B03"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0,43</w:t>
            </w:r>
          </w:p>
        </w:tc>
        <w:tc>
          <w:tcPr>
            <w:tcW w:w="432" w:type="pct"/>
            <w:vAlign w:val="center"/>
          </w:tcPr>
          <w:p w14:paraId="72998508" w14:textId="77777777" w:rsidR="004A5913" w:rsidRPr="00F0411D"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0,86</w:t>
            </w:r>
          </w:p>
        </w:tc>
        <w:tc>
          <w:tcPr>
            <w:tcW w:w="432" w:type="pct"/>
            <w:vAlign w:val="center"/>
          </w:tcPr>
          <w:p w14:paraId="0691870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1,29</w:t>
            </w:r>
          </w:p>
        </w:tc>
        <w:tc>
          <w:tcPr>
            <w:tcW w:w="432" w:type="pct"/>
            <w:vAlign w:val="center"/>
          </w:tcPr>
          <w:p w14:paraId="17F612F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1,72</w:t>
            </w:r>
          </w:p>
        </w:tc>
        <w:tc>
          <w:tcPr>
            <w:tcW w:w="432" w:type="pct"/>
            <w:vAlign w:val="center"/>
          </w:tcPr>
          <w:p w14:paraId="5641D456"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2,15</w:t>
            </w:r>
          </w:p>
        </w:tc>
        <w:tc>
          <w:tcPr>
            <w:tcW w:w="431" w:type="pct"/>
            <w:vAlign w:val="center"/>
          </w:tcPr>
          <w:p w14:paraId="367BBBD6"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2,58</w:t>
            </w:r>
          </w:p>
        </w:tc>
        <w:tc>
          <w:tcPr>
            <w:tcW w:w="431" w:type="pct"/>
            <w:vAlign w:val="center"/>
          </w:tcPr>
          <w:p w14:paraId="43E1DD5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3,01</w:t>
            </w:r>
          </w:p>
        </w:tc>
        <w:tc>
          <w:tcPr>
            <w:tcW w:w="431" w:type="pct"/>
            <w:vAlign w:val="center"/>
          </w:tcPr>
          <w:p w14:paraId="4AF5B30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3,44</w:t>
            </w:r>
          </w:p>
        </w:tc>
        <w:tc>
          <w:tcPr>
            <w:tcW w:w="431" w:type="pct"/>
            <w:vAlign w:val="center"/>
          </w:tcPr>
          <w:p w14:paraId="4EE17AD1"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3,87</w:t>
            </w:r>
          </w:p>
        </w:tc>
        <w:tc>
          <w:tcPr>
            <w:tcW w:w="432" w:type="pct"/>
            <w:vAlign w:val="center"/>
          </w:tcPr>
          <w:p w14:paraId="3B318003"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4,3</w:t>
            </w:r>
          </w:p>
        </w:tc>
        <w:tc>
          <w:tcPr>
            <w:tcW w:w="432" w:type="pct"/>
            <w:vAlign w:val="center"/>
          </w:tcPr>
          <w:p w14:paraId="7508D5F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23,65</w:t>
            </w:r>
          </w:p>
        </w:tc>
      </w:tr>
      <w:tr w:rsidR="004A5913" w14:paraId="6C1F4C8C"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63E33696" w14:textId="77777777" w:rsidR="004A5913" w:rsidRPr="00BB225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TR-11</w:t>
            </w:r>
          </w:p>
        </w:tc>
        <w:tc>
          <w:tcPr>
            <w:tcW w:w="432" w:type="pct"/>
            <w:vAlign w:val="center"/>
          </w:tcPr>
          <w:p w14:paraId="1EB1F4BB"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0,021</w:t>
            </w:r>
          </w:p>
        </w:tc>
        <w:tc>
          <w:tcPr>
            <w:tcW w:w="432" w:type="pct"/>
            <w:vAlign w:val="center"/>
          </w:tcPr>
          <w:p w14:paraId="2C06746A" w14:textId="77777777" w:rsidR="004A5913"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0,042</w:t>
            </w:r>
          </w:p>
        </w:tc>
        <w:tc>
          <w:tcPr>
            <w:tcW w:w="432" w:type="pct"/>
            <w:vAlign w:val="center"/>
          </w:tcPr>
          <w:p w14:paraId="0EACCF1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0,063</w:t>
            </w:r>
          </w:p>
        </w:tc>
        <w:tc>
          <w:tcPr>
            <w:tcW w:w="432" w:type="pct"/>
            <w:vAlign w:val="center"/>
          </w:tcPr>
          <w:p w14:paraId="169265C0"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0,084</w:t>
            </w:r>
          </w:p>
        </w:tc>
        <w:tc>
          <w:tcPr>
            <w:tcW w:w="432" w:type="pct"/>
            <w:vAlign w:val="center"/>
          </w:tcPr>
          <w:p w14:paraId="095644E7"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0,105</w:t>
            </w:r>
          </w:p>
        </w:tc>
        <w:tc>
          <w:tcPr>
            <w:tcW w:w="431" w:type="pct"/>
            <w:vAlign w:val="center"/>
          </w:tcPr>
          <w:p w14:paraId="4D9E16B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0,105</w:t>
            </w:r>
          </w:p>
        </w:tc>
        <w:tc>
          <w:tcPr>
            <w:tcW w:w="431" w:type="pct"/>
            <w:vAlign w:val="center"/>
          </w:tcPr>
          <w:p w14:paraId="44D9C77D"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0,105</w:t>
            </w:r>
          </w:p>
        </w:tc>
        <w:tc>
          <w:tcPr>
            <w:tcW w:w="431" w:type="pct"/>
            <w:vAlign w:val="center"/>
          </w:tcPr>
          <w:p w14:paraId="71C6E6EA"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0,105</w:t>
            </w:r>
          </w:p>
        </w:tc>
        <w:tc>
          <w:tcPr>
            <w:tcW w:w="431" w:type="pct"/>
            <w:vAlign w:val="center"/>
          </w:tcPr>
          <w:p w14:paraId="76959D6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0,105</w:t>
            </w:r>
          </w:p>
        </w:tc>
        <w:tc>
          <w:tcPr>
            <w:tcW w:w="432" w:type="pct"/>
            <w:vAlign w:val="center"/>
          </w:tcPr>
          <w:p w14:paraId="64C4AF77"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0,105</w:t>
            </w:r>
          </w:p>
        </w:tc>
        <w:tc>
          <w:tcPr>
            <w:tcW w:w="432" w:type="pct"/>
            <w:vAlign w:val="center"/>
          </w:tcPr>
          <w:p w14:paraId="688C5ED7"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0,84</w:t>
            </w:r>
          </w:p>
        </w:tc>
      </w:tr>
      <w:tr w:rsidR="004A5913" w14:paraId="38B971EA"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07C88D06" w14:textId="77777777" w:rsidR="004A5913" w:rsidRPr="00BB2258" w:rsidRDefault="004A5913" w:rsidP="001B6C7B">
            <w:pPr>
              <w:pStyle w:val="ManualNumPar1"/>
              <w:spacing w:before="0" w:after="0" w:line="276" w:lineRule="auto"/>
              <w:ind w:left="0" w:firstLine="0"/>
              <w:jc w:val="both"/>
              <w:rPr>
                <w:rFonts w:ascii="Arial" w:hAnsi="Arial" w:cs="Arial"/>
                <w:i/>
                <w:sz w:val="18"/>
                <w:szCs w:val="18"/>
              </w:rPr>
            </w:pPr>
            <w:r>
              <w:rPr>
                <w:rFonts w:ascii="Arial" w:hAnsi="Arial" w:cs="Arial"/>
                <w:i/>
                <w:sz w:val="18"/>
                <w:szCs w:val="18"/>
              </w:rPr>
              <w:t>TR-12</w:t>
            </w:r>
          </w:p>
        </w:tc>
        <w:tc>
          <w:tcPr>
            <w:tcW w:w="432" w:type="pct"/>
            <w:vAlign w:val="center"/>
          </w:tcPr>
          <w:p w14:paraId="33D6E3E4"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0,26</w:t>
            </w:r>
          </w:p>
        </w:tc>
        <w:tc>
          <w:tcPr>
            <w:tcW w:w="432" w:type="pct"/>
            <w:vAlign w:val="center"/>
          </w:tcPr>
          <w:p w14:paraId="55F16AF5" w14:textId="77777777" w:rsidR="004A5913"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2" w:type="pct"/>
            <w:vAlign w:val="center"/>
          </w:tcPr>
          <w:p w14:paraId="29A11DA2"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2" w:type="pct"/>
            <w:vAlign w:val="center"/>
          </w:tcPr>
          <w:p w14:paraId="24FAA785"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2" w:type="pct"/>
            <w:vAlign w:val="center"/>
          </w:tcPr>
          <w:p w14:paraId="3EF960B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1" w:type="pct"/>
            <w:vAlign w:val="center"/>
          </w:tcPr>
          <w:p w14:paraId="00007705"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1" w:type="pct"/>
            <w:vAlign w:val="center"/>
          </w:tcPr>
          <w:p w14:paraId="2CE2BE2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1" w:type="pct"/>
            <w:vAlign w:val="center"/>
          </w:tcPr>
          <w:p w14:paraId="11A6A981"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1" w:type="pct"/>
            <w:vAlign w:val="center"/>
          </w:tcPr>
          <w:p w14:paraId="41C1835E"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0,52</w:t>
            </w:r>
          </w:p>
        </w:tc>
        <w:tc>
          <w:tcPr>
            <w:tcW w:w="432" w:type="pct"/>
            <w:vAlign w:val="center"/>
          </w:tcPr>
          <w:p w14:paraId="37D98E42"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0,52</w:t>
            </w:r>
          </w:p>
        </w:tc>
        <w:tc>
          <w:tcPr>
            <w:tcW w:w="432" w:type="pct"/>
            <w:vAlign w:val="center"/>
          </w:tcPr>
          <w:p w14:paraId="30333D0A" w14:textId="77777777" w:rsidR="004A5913" w:rsidRPr="00BE71C6" w:rsidRDefault="004A5913" w:rsidP="00A8727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color w:val="000000"/>
                <w:sz w:val="18"/>
                <w:szCs w:val="18"/>
              </w:rPr>
              <w:t>4,94</w:t>
            </w:r>
          </w:p>
        </w:tc>
      </w:tr>
      <w:tr w:rsidR="004A5913" w14:paraId="7D807B28"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251" w:type="pct"/>
          </w:tcPr>
          <w:p w14:paraId="3D53EA36" w14:textId="5602E327" w:rsidR="004A5913" w:rsidRPr="00BB2258" w:rsidRDefault="004A5913" w:rsidP="001B6C7B">
            <w:pPr>
              <w:pStyle w:val="ManualNumPar1"/>
              <w:spacing w:before="0" w:after="0" w:line="276" w:lineRule="auto"/>
              <w:ind w:left="0" w:firstLine="0"/>
              <w:jc w:val="both"/>
              <w:rPr>
                <w:rFonts w:ascii="Arial" w:hAnsi="Arial" w:cs="Arial"/>
                <w:i/>
                <w:sz w:val="18"/>
                <w:szCs w:val="18"/>
              </w:rPr>
            </w:pPr>
            <w:r w:rsidRPr="00BE71C6">
              <w:rPr>
                <w:rFonts w:ascii="Arial" w:hAnsi="Arial" w:cs="Arial"/>
                <w:i/>
                <w:sz w:val="18"/>
                <w:szCs w:val="18"/>
              </w:rPr>
              <w:t>UET-</w:t>
            </w:r>
            <w:r w:rsidR="001B6C7B">
              <w:rPr>
                <w:rFonts w:ascii="Arial" w:hAnsi="Arial" w:cs="Arial"/>
                <w:i/>
                <w:sz w:val="18"/>
                <w:szCs w:val="18"/>
              </w:rPr>
              <w:t>5</w:t>
            </w:r>
          </w:p>
        </w:tc>
        <w:tc>
          <w:tcPr>
            <w:tcW w:w="432" w:type="pct"/>
            <w:vAlign w:val="center"/>
          </w:tcPr>
          <w:p w14:paraId="574CE90A" w14:textId="77777777" w:rsidR="004A5913" w:rsidRPr="001F0238" w:rsidRDefault="004A5913" w:rsidP="009104E0">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0,1</w:t>
            </w:r>
          </w:p>
        </w:tc>
        <w:tc>
          <w:tcPr>
            <w:tcW w:w="432" w:type="pct"/>
            <w:vAlign w:val="center"/>
          </w:tcPr>
          <w:p w14:paraId="3C951327" w14:textId="77777777" w:rsidR="004A5913"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0,2</w:t>
            </w:r>
          </w:p>
        </w:tc>
        <w:tc>
          <w:tcPr>
            <w:tcW w:w="432" w:type="pct"/>
            <w:vAlign w:val="center"/>
          </w:tcPr>
          <w:p w14:paraId="3E0C95EF"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0,3</w:t>
            </w:r>
          </w:p>
        </w:tc>
        <w:tc>
          <w:tcPr>
            <w:tcW w:w="432" w:type="pct"/>
            <w:vAlign w:val="center"/>
          </w:tcPr>
          <w:p w14:paraId="03E0D8B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0,4</w:t>
            </w:r>
          </w:p>
        </w:tc>
        <w:tc>
          <w:tcPr>
            <w:tcW w:w="432" w:type="pct"/>
            <w:vAlign w:val="center"/>
          </w:tcPr>
          <w:p w14:paraId="63E633ED"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0,5</w:t>
            </w:r>
          </w:p>
        </w:tc>
        <w:tc>
          <w:tcPr>
            <w:tcW w:w="431" w:type="pct"/>
            <w:vAlign w:val="center"/>
          </w:tcPr>
          <w:p w14:paraId="1162F05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0,6</w:t>
            </w:r>
          </w:p>
        </w:tc>
        <w:tc>
          <w:tcPr>
            <w:tcW w:w="431" w:type="pct"/>
            <w:vAlign w:val="center"/>
          </w:tcPr>
          <w:p w14:paraId="1BAA8934"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0,7</w:t>
            </w:r>
          </w:p>
        </w:tc>
        <w:tc>
          <w:tcPr>
            <w:tcW w:w="431" w:type="pct"/>
            <w:vAlign w:val="center"/>
          </w:tcPr>
          <w:p w14:paraId="785E5CB0"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0,8</w:t>
            </w:r>
          </w:p>
        </w:tc>
        <w:tc>
          <w:tcPr>
            <w:tcW w:w="431" w:type="pct"/>
            <w:vAlign w:val="center"/>
          </w:tcPr>
          <w:p w14:paraId="5716D31B"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0,9</w:t>
            </w:r>
          </w:p>
        </w:tc>
        <w:tc>
          <w:tcPr>
            <w:tcW w:w="432" w:type="pct"/>
            <w:vAlign w:val="center"/>
          </w:tcPr>
          <w:p w14:paraId="21ADA6BA"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1</w:t>
            </w:r>
          </w:p>
        </w:tc>
        <w:tc>
          <w:tcPr>
            <w:tcW w:w="432" w:type="pct"/>
            <w:vAlign w:val="center"/>
          </w:tcPr>
          <w:p w14:paraId="1DE1E0F9" w14:textId="77777777" w:rsidR="004A5913" w:rsidRPr="001F0238" w:rsidRDefault="004A5913">
            <w:pPr>
              <w:pStyle w:val="ManualNumPar1"/>
              <w:spacing w:before="0" w:after="0"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iCs/>
                <w:color w:val="000000"/>
                <w:sz w:val="18"/>
                <w:szCs w:val="18"/>
              </w:rPr>
              <w:t>5,5</w:t>
            </w:r>
          </w:p>
        </w:tc>
      </w:tr>
      <w:tr w:rsidR="004A5913" w14:paraId="28280621" w14:textId="77777777" w:rsidTr="003F7A28">
        <w:trPr>
          <w:trHeight w:val="174"/>
        </w:trPr>
        <w:tc>
          <w:tcPr>
            <w:cnfStyle w:val="001000000000" w:firstRow="0" w:lastRow="0" w:firstColumn="1" w:lastColumn="0" w:oddVBand="0" w:evenVBand="0" w:oddHBand="0" w:evenHBand="0" w:firstRowFirstColumn="0" w:firstRowLastColumn="0" w:lastRowFirstColumn="0" w:lastRowLastColumn="0"/>
            <w:tcW w:w="4568" w:type="pct"/>
            <w:gridSpan w:val="11"/>
          </w:tcPr>
          <w:p w14:paraId="4501B168" w14:textId="77777777" w:rsidR="004A5913" w:rsidRDefault="004A5913" w:rsidP="001B6C7B">
            <w:pPr>
              <w:pStyle w:val="ManualNumPar1"/>
              <w:spacing w:before="0" w:after="0" w:line="276" w:lineRule="auto"/>
              <w:ind w:left="0" w:firstLine="0"/>
              <w:jc w:val="right"/>
              <w:rPr>
                <w:rFonts w:ascii="Arial" w:hAnsi="Arial" w:cs="Arial"/>
                <w:i/>
                <w:iCs/>
                <w:color w:val="000000"/>
                <w:sz w:val="18"/>
                <w:szCs w:val="18"/>
              </w:rPr>
            </w:pPr>
            <w:r>
              <w:rPr>
                <w:rFonts w:ascii="Arial" w:hAnsi="Arial" w:cs="Arial"/>
                <w:i/>
                <w:iCs/>
                <w:color w:val="000000"/>
                <w:sz w:val="18"/>
                <w:szCs w:val="18"/>
              </w:rPr>
              <w:t>UKUPNE KUMULATIVNE UŠTEDE U RAZDOBLJU 2021. – 2030. OSTVARENE ALTERNATIVNIM MJERAMA [ktoe]</w:t>
            </w:r>
          </w:p>
        </w:tc>
        <w:tc>
          <w:tcPr>
            <w:tcW w:w="432" w:type="pct"/>
            <w:vAlign w:val="center"/>
          </w:tcPr>
          <w:p w14:paraId="6CFFB0A1" w14:textId="77777777" w:rsidR="004A5913" w:rsidRDefault="004A5913" w:rsidP="009104E0">
            <w:pPr>
              <w:pStyle w:val="ManualNumPar1"/>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8"/>
                <w:szCs w:val="18"/>
              </w:rPr>
            </w:pPr>
            <w:r w:rsidRPr="00BB5334">
              <w:rPr>
                <w:rFonts w:ascii="Arial" w:hAnsi="Arial" w:cs="Arial"/>
                <w:i/>
                <w:iCs/>
                <w:color w:val="000000"/>
                <w:sz w:val="18"/>
                <w:szCs w:val="18"/>
              </w:rPr>
              <w:t>866,29</w:t>
            </w:r>
          </w:p>
        </w:tc>
      </w:tr>
      <w:tr w:rsidR="004A5913" w14:paraId="05677E41"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4568" w:type="pct"/>
            <w:gridSpan w:val="11"/>
          </w:tcPr>
          <w:p w14:paraId="227FDA5C" w14:textId="77777777" w:rsidR="004A5913" w:rsidRDefault="004A5913" w:rsidP="001B6C7B">
            <w:pPr>
              <w:pStyle w:val="ManualNumPar1"/>
              <w:spacing w:before="0" w:after="0" w:line="276" w:lineRule="auto"/>
              <w:ind w:left="0" w:firstLine="0"/>
              <w:jc w:val="right"/>
              <w:rPr>
                <w:rFonts w:ascii="Arial" w:hAnsi="Arial" w:cs="Arial"/>
                <w:i/>
                <w:iCs/>
                <w:color w:val="000000"/>
                <w:sz w:val="18"/>
                <w:szCs w:val="18"/>
              </w:rPr>
            </w:pPr>
            <w:r>
              <w:rPr>
                <w:rFonts w:ascii="Arial" w:hAnsi="Arial" w:cs="Arial"/>
                <w:i/>
                <w:iCs/>
                <w:color w:val="000000"/>
                <w:sz w:val="18"/>
                <w:szCs w:val="18"/>
              </w:rPr>
              <w:t>UKUPNE KUMULATIVNE UŠTEDE U RAZDOBLJU 2021. – 2030. OSTVARENE ALTERNATIVNIM MJERAMA [PJ]</w:t>
            </w:r>
          </w:p>
        </w:tc>
        <w:tc>
          <w:tcPr>
            <w:tcW w:w="432" w:type="pct"/>
            <w:vAlign w:val="center"/>
          </w:tcPr>
          <w:p w14:paraId="1DE8C202" w14:textId="77777777" w:rsidR="004A5913" w:rsidRPr="00BB5334" w:rsidRDefault="004A5913" w:rsidP="009104E0">
            <w:pPr>
              <w:pStyle w:val="ManualNumPar1"/>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8"/>
                <w:szCs w:val="18"/>
              </w:rPr>
            </w:pPr>
            <w:r w:rsidRPr="00BB5334">
              <w:rPr>
                <w:rFonts w:ascii="Arial" w:hAnsi="Arial" w:cs="Arial"/>
                <w:i/>
                <w:iCs/>
                <w:color w:val="000000"/>
                <w:sz w:val="18"/>
                <w:szCs w:val="18"/>
              </w:rPr>
              <w:t>36,27</w:t>
            </w:r>
          </w:p>
        </w:tc>
      </w:tr>
      <w:tr w:rsidR="004A5913" w14:paraId="23A029A4" w14:textId="77777777" w:rsidTr="003F7A28">
        <w:trPr>
          <w:trHeight w:val="20"/>
        </w:trPr>
        <w:tc>
          <w:tcPr>
            <w:cnfStyle w:val="001000000000" w:firstRow="0" w:lastRow="0" w:firstColumn="1" w:lastColumn="0" w:oddVBand="0" w:evenVBand="0" w:oddHBand="0" w:evenHBand="0" w:firstRowFirstColumn="0" w:firstRowLastColumn="0" w:lastRowFirstColumn="0" w:lastRowLastColumn="0"/>
            <w:tcW w:w="4568" w:type="pct"/>
            <w:gridSpan w:val="11"/>
          </w:tcPr>
          <w:p w14:paraId="6E632794" w14:textId="77777777" w:rsidR="004A5913" w:rsidRDefault="004A5913" w:rsidP="001B6C7B">
            <w:pPr>
              <w:pStyle w:val="ManualNumPar1"/>
              <w:spacing w:before="0" w:after="0" w:line="276" w:lineRule="auto"/>
              <w:ind w:left="0" w:firstLine="0"/>
              <w:jc w:val="right"/>
              <w:rPr>
                <w:rFonts w:ascii="Arial" w:hAnsi="Arial" w:cs="Arial"/>
                <w:i/>
                <w:iCs/>
                <w:color w:val="000000"/>
                <w:sz w:val="18"/>
                <w:szCs w:val="18"/>
              </w:rPr>
            </w:pPr>
            <w:r>
              <w:rPr>
                <w:rFonts w:ascii="Arial" w:hAnsi="Arial" w:cs="Arial"/>
                <w:i/>
                <w:iCs/>
                <w:color w:val="000000"/>
                <w:sz w:val="18"/>
                <w:szCs w:val="18"/>
              </w:rPr>
              <w:t>UDIO UŠTEDA OSTVARIVIH ALTERNATIVNIM MJERAMA [%]</w:t>
            </w:r>
          </w:p>
        </w:tc>
        <w:tc>
          <w:tcPr>
            <w:tcW w:w="432" w:type="pct"/>
            <w:vAlign w:val="center"/>
          </w:tcPr>
          <w:p w14:paraId="6CF239CC" w14:textId="77777777" w:rsidR="004A5913" w:rsidRPr="00BB5334" w:rsidRDefault="004A5913" w:rsidP="009104E0">
            <w:pPr>
              <w:pStyle w:val="ManualNumPar1"/>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8"/>
                <w:szCs w:val="18"/>
              </w:rPr>
            </w:pPr>
            <w:r>
              <w:rPr>
                <w:rFonts w:ascii="Arial" w:hAnsi="Arial" w:cs="Arial"/>
                <w:i/>
                <w:iCs/>
                <w:color w:val="000000"/>
                <w:sz w:val="18"/>
                <w:szCs w:val="18"/>
              </w:rPr>
              <w:t>69,64</w:t>
            </w:r>
          </w:p>
        </w:tc>
      </w:tr>
    </w:tbl>
    <w:p w14:paraId="526A4D06" w14:textId="77777777" w:rsidR="004A5913" w:rsidRPr="00BE71C6" w:rsidRDefault="004A5913" w:rsidP="004A5913">
      <w:pPr>
        <w:rPr>
          <w:lang w:eastAsia="en-US"/>
        </w:rPr>
        <w:sectPr w:rsidR="004A5913" w:rsidRPr="00BE71C6" w:rsidSect="003F7A28">
          <w:pgSz w:w="16838" w:h="11906" w:orient="landscape"/>
          <w:pgMar w:top="720" w:right="720" w:bottom="720" w:left="720" w:header="708" w:footer="708" w:gutter="0"/>
          <w:cols w:space="708"/>
          <w:docGrid w:linePitch="360"/>
        </w:sectPr>
      </w:pPr>
    </w:p>
    <w:p w14:paraId="5319ADDB" w14:textId="77777777" w:rsidR="004A5913" w:rsidRPr="009D19A1" w:rsidRDefault="004A5913" w:rsidP="004A5913">
      <w:pPr>
        <w:pStyle w:val="ManualNumPar1"/>
        <w:numPr>
          <w:ilvl w:val="1"/>
          <w:numId w:val="100"/>
        </w:numPr>
        <w:spacing w:before="0" w:after="0" w:line="276" w:lineRule="auto"/>
        <w:jc w:val="both"/>
        <w:rPr>
          <w:rFonts w:ascii="Arial" w:hAnsi="Arial" w:cs="Arial"/>
          <w:i/>
          <w:sz w:val="22"/>
        </w:rPr>
      </w:pPr>
      <w:r w:rsidRPr="009D19A1">
        <w:rPr>
          <w:rFonts w:ascii="Arial" w:hAnsi="Arial" w:cs="Arial"/>
          <w:i/>
          <w:sz w:val="22"/>
        </w:rPr>
        <w:t>Podaci o mjerama oporezivanja:</w:t>
      </w:r>
    </w:p>
    <w:p w14:paraId="1B2F79C3" w14:textId="77777777" w:rsidR="004A5913" w:rsidRPr="002F3855" w:rsidRDefault="004A5913" w:rsidP="00A87274">
      <w:pPr>
        <w:spacing w:before="0" w:after="0" w:line="276" w:lineRule="auto"/>
        <w:rPr>
          <w:rFonts w:cs="Arial"/>
          <w:lang w:eastAsia="en-US"/>
        </w:rPr>
      </w:pPr>
    </w:p>
    <w:p w14:paraId="075EE118" w14:textId="77777777" w:rsidR="004A5913" w:rsidRPr="009D19A1" w:rsidRDefault="004A5913" w:rsidP="004A5913">
      <w:pPr>
        <w:pStyle w:val="PointManual1"/>
        <w:numPr>
          <w:ilvl w:val="0"/>
          <w:numId w:val="106"/>
        </w:numPr>
        <w:spacing w:before="0" w:after="0" w:line="276" w:lineRule="auto"/>
        <w:rPr>
          <w:rFonts w:ascii="Arial" w:hAnsi="Arial" w:cs="Arial"/>
          <w:i/>
          <w:sz w:val="22"/>
        </w:rPr>
      </w:pPr>
      <w:r w:rsidRPr="009D19A1">
        <w:rPr>
          <w:rFonts w:ascii="Arial" w:hAnsi="Arial" w:cs="Arial"/>
          <w:i/>
          <w:sz w:val="22"/>
        </w:rPr>
        <w:t>kratki opis mjere oporezivanja;</w:t>
      </w:r>
    </w:p>
    <w:p w14:paraId="5DEE127C" w14:textId="77777777" w:rsidR="004A5913" w:rsidRPr="009D19A1" w:rsidRDefault="004A5913" w:rsidP="004A5913">
      <w:pPr>
        <w:pStyle w:val="PointManual1"/>
        <w:numPr>
          <w:ilvl w:val="0"/>
          <w:numId w:val="106"/>
        </w:numPr>
        <w:spacing w:before="0" w:after="0" w:line="276" w:lineRule="auto"/>
        <w:rPr>
          <w:rFonts w:ascii="Arial" w:hAnsi="Arial" w:cs="Arial"/>
          <w:i/>
          <w:sz w:val="22"/>
        </w:rPr>
      </w:pPr>
      <w:r w:rsidRPr="009D19A1">
        <w:rPr>
          <w:rFonts w:ascii="Arial" w:hAnsi="Arial" w:cs="Arial"/>
          <w:i/>
          <w:sz w:val="22"/>
        </w:rPr>
        <w:t>trajanje mjere oporezivanja;</w:t>
      </w:r>
    </w:p>
    <w:p w14:paraId="114804CD" w14:textId="77777777" w:rsidR="004A5913" w:rsidRPr="009D19A1" w:rsidRDefault="004A5913" w:rsidP="004A5913">
      <w:pPr>
        <w:pStyle w:val="PointManual1"/>
        <w:numPr>
          <w:ilvl w:val="0"/>
          <w:numId w:val="106"/>
        </w:numPr>
        <w:spacing w:before="0" w:after="0" w:line="276" w:lineRule="auto"/>
        <w:rPr>
          <w:rFonts w:ascii="Arial" w:hAnsi="Arial" w:cs="Arial"/>
          <w:i/>
          <w:sz w:val="22"/>
        </w:rPr>
      </w:pPr>
      <w:r w:rsidRPr="009D19A1">
        <w:rPr>
          <w:rFonts w:ascii="Arial" w:hAnsi="Arial" w:cs="Arial"/>
          <w:i/>
          <w:sz w:val="22"/>
        </w:rPr>
        <w:t>očekivani kumulativni i godišnji iznos uštede po mjeri;</w:t>
      </w:r>
    </w:p>
    <w:p w14:paraId="12ECF994" w14:textId="77777777" w:rsidR="004A5913" w:rsidRPr="009D19A1" w:rsidRDefault="004A5913" w:rsidP="004A5913">
      <w:pPr>
        <w:pStyle w:val="PointManual1"/>
        <w:numPr>
          <w:ilvl w:val="0"/>
          <w:numId w:val="106"/>
        </w:numPr>
        <w:spacing w:before="0" w:after="0" w:line="276" w:lineRule="auto"/>
        <w:rPr>
          <w:rFonts w:ascii="Arial" w:hAnsi="Arial" w:cs="Arial"/>
          <w:i/>
          <w:sz w:val="22"/>
        </w:rPr>
      </w:pPr>
      <w:r w:rsidRPr="009D19A1">
        <w:rPr>
          <w:rFonts w:ascii="Arial" w:hAnsi="Arial" w:cs="Arial"/>
          <w:i/>
          <w:sz w:val="22"/>
        </w:rPr>
        <w:t>ciljani sektori;</w:t>
      </w:r>
    </w:p>
    <w:p w14:paraId="282F52B9" w14:textId="77777777" w:rsidR="004A5913" w:rsidRDefault="004A5913" w:rsidP="004A5913">
      <w:pPr>
        <w:pStyle w:val="PointManual1"/>
        <w:numPr>
          <w:ilvl w:val="0"/>
          <w:numId w:val="106"/>
        </w:numPr>
        <w:spacing w:before="0" w:after="0" w:line="276" w:lineRule="auto"/>
        <w:rPr>
          <w:rFonts w:ascii="Arial" w:hAnsi="Arial" w:cs="Arial"/>
          <w:i/>
          <w:sz w:val="22"/>
        </w:rPr>
      </w:pPr>
      <w:r w:rsidRPr="009D19A1">
        <w:rPr>
          <w:rFonts w:ascii="Arial" w:hAnsi="Arial" w:cs="Arial"/>
          <w:i/>
          <w:sz w:val="22"/>
        </w:rPr>
        <w:t>aditivnost uštede energije opisom pristupa izračunu uštede, uključujući cjenovnu elastičnost upotrijebljenu u skladu s Prilogom V. točkom 4.</w:t>
      </w:r>
    </w:p>
    <w:p w14:paraId="3A854046" w14:textId="77777777" w:rsidR="004A5913" w:rsidRDefault="004A5913" w:rsidP="004A5913">
      <w:pPr>
        <w:pStyle w:val="PointManual1"/>
        <w:spacing w:before="0" w:after="0" w:line="276" w:lineRule="auto"/>
        <w:ind w:left="0" w:firstLine="0"/>
        <w:rPr>
          <w:rFonts w:ascii="Arial" w:hAnsi="Arial" w:cs="Arial"/>
          <w:sz w:val="22"/>
        </w:rPr>
      </w:pPr>
    </w:p>
    <w:p w14:paraId="24FF98B2" w14:textId="77777777" w:rsidR="004A5913" w:rsidRPr="0070155C" w:rsidRDefault="004A5913" w:rsidP="004A5913">
      <w:pPr>
        <w:pStyle w:val="PointManual1"/>
        <w:spacing w:before="0" w:after="0" w:line="276" w:lineRule="auto"/>
        <w:ind w:left="0" w:firstLine="0"/>
        <w:jc w:val="both"/>
        <w:rPr>
          <w:rFonts w:ascii="Arial" w:hAnsi="Arial" w:cs="Arial"/>
          <w:sz w:val="22"/>
        </w:rPr>
      </w:pPr>
      <w:r w:rsidRPr="00E60F0F">
        <w:rPr>
          <w:rFonts w:ascii="Arial" w:hAnsi="Arial" w:cs="Arial"/>
          <w:sz w:val="22"/>
        </w:rPr>
        <w:t xml:space="preserve">U nacrtu Nacionalnog energetsko-klimatskog plana </w:t>
      </w:r>
      <w:r>
        <w:rPr>
          <w:rFonts w:ascii="Arial" w:hAnsi="Arial" w:cs="Arial"/>
          <w:sz w:val="22"/>
        </w:rPr>
        <w:t>predviđaju se dvije fiskalne mjere za poticanje energetske učinkovitosti: ENU-9</w:t>
      </w:r>
      <w:r w:rsidRPr="0070155C">
        <w:rPr>
          <w:rFonts w:ascii="Arial" w:hAnsi="Arial" w:cs="Arial"/>
          <w:sz w:val="22"/>
        </w:rPr>
        <w:t>-Sustavno gospodarenje energijom u poslovnom sektoru</w:t>
      </w:r>
      <w:r>
        <w:rPr>
          <w:rFonts w:ascii="Arial" w:hAnsi="Arial" w:cs="Arial"/>
          <w:sz w:val="22"/>
        </w:rPr>
        <w:t xml:space="preserve"> (ciljani sektori: industrija i komercijalne usluge)</w:t>
      </w:r>
      <w:r w:rsidRPr="0070155C">
        <w:rPr>
          <w:rFonts w:ascii="Arial" w:hAnsi="Arial" w:cs="Arial"/>
          <w:sz w:val="22"/>
        </w:rPr>
        <w:t xml:space="preserve"> i TR-3-Posebni porez na motorna vozila temeljen na emisiji CO</w:t>
      </w:r>
      <w:r w:rsidRPr="0070155C">
        <w:rPr>
          <w:rFonts w:ascii="Arial" w:hAnsi="Arial" w:cs="Arial"/>
          <w:sz w:val="22"/>
          <w:vertAlign w:val="subscript"/>
        </w:rPr>
        <w:t>2</w:t>
      </w:r>
      <w:r>
        <w:rPr>
          <w:rFonts w:ascii="Arial" w:hAnsi="Arial" w:cs="Arial"/>
          <w:sz w:val="22"/>
        </w:rPr>
        <w:t xml:space="preserve"> (ciljani sektor: promet). Za obje ove mjere potrebno je izraditi detaljne analize kako bi se utvrdila metodologija praćenja i izračuna ušteda koje su rezultat tih mjera. </w:t>
      </w:r>
    </w:p>
    <w:p w14:paraId="7C91A147" w14:textId="77777777" w:rsidR="004A5913" w:rsidRPr="002F3855" w:rsidRDefault="004A5913" w:rsidP="004A5913">
      <w:pPr>
        <w:pStyle w:val="PointManual1"/>
        <w:spacing w:before="0" w:after="0" w:line="276" w:lineRule="auto"/>
        <w:ind w:left="1701"/>
        <w:rPr>
          <w:rFonts w:ascii="Arial" w:hAnsi="Arial" w:cs="Arial"/>
          <w:noProof/>
          <w:sz w:val="22"/>
        </w:rPr>
      </w:pPr>
    </w:p>
    <w:p w14:paraId="79E51EF8" w14:textId="77777777" w:rsidR="004A5913" w:rsidRPr="009D19A1" w:rsidRDefault="004A5913" w:rsidP="004A5913">
      <w:pPr>
        <w:pStyle w:val="ManualNumPar1"/>
        <w:numPr>
          <w:ilvl w:val="0"/>
          <w:numId w:val="100"/>
        </w:numPr>
        <w:spacing w:before="0" w:after="0" w:line="276" w:lineRule="auto"/>
        <w:jc w:val="both"/>
        <w:rPr>
          <w:rFonts w:ascii="Arial" w:hAnsi="Arial" w:cs="Arial"/>
          <w:b/>
          <w:i/>
          <w:sz w:val="22"/>
        </w:rPr>
      </w:pPr>
      <w:r w:rsidRPr="009D19A1">
        <w:rPr>
          <w:rFonts w:ascii="Arial" w:hAnsi="Arial" w:cs="Arial"/>
          <w:b/>
          <w:i/>
          <w:sz w:val="22"/>
        </w:rPr>
        <w:t>Metodologija izračuna za mjere priopćene u skladu s člancima 7.a, 7.b i člankom 20. stavkom 6. Direktive 2012/27/EU (osim mjera oporezivanja):</w:t>
      </w:r>
    </w:p>
    <w:p w14:paraId="65E20BCC" w14:textId="77777777" w:rsidR="004A5913" w:rsidRPr="002F3855" w:rsidRDefault="004A5913" w:rsidP="004A5913">
      <w:pPr>
        <w:pStyle w:val="PointManual1"/>
        <w:spacing w:before="0" w:after="0" w:line="276" w:lineRule="auto"/>
        <w:ind w:left="567" w:firstLine="0"/>
        <w:rPr>
          <w:rFonts w:ascii="Arial" w:hAnsi="Arial" w:cs="Arial"/>
          <w:b/>
          <w:noProof/>
          <w:sz w:val="22"/>
        </w:rPr>
      </w:pPr>
    </w:p>
    <w:p w14:paraId="2BEB8D1E" w14:textId="7777777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upotrijebljene metode mjerenja iz točke 1. Priloga V. Direktivi 2012/27/EU</w:t>
      </w:r>
    </w:p>
    <w:p w14:paraId="069182FB"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Za izračun ušteda koriste se metode procjene propisane Prilogom II. Pravilnika o sustavu za praćenje, mjerenje i verifikaciju ušteda energije (NN br. 71/2015). Radi se o metodama odozdo-prema-gore, koje se koriste za</w:t>
      </w:r>
      <w:r w:rsidRPr="003C1B6F">
        <w:rPr>
          <w:rFonts w:ascii="Arial" w:hAnsi="Arial" w:cs="Arial"/>
          <w:sz w:val="22"/>
        </w:rPr>
        <w:t xml:space="preserve"> procjenu</w:t>
      </w:r>
      <w:r>
        <w:rPr>
          <w:rFonts w:ascii="Arial" w:hAnsi="Arial" w:cs="Arial"/>
          <w:sz w:val="22"/>
        </w:rPr>
        <w:t xml:space="preserve"> ušteda energije ostvarenih primjenom pojedinačnih mjera poboljšanja energetske učinkovitosti (u skladu s točkom 1.(a) Priloga V.</w:t>
      </w:r>
      <w:r w:rsidRPr="0054226C">
        <w:t xml:space="preserve"> </w:t>
      </w:r>
      <w:r w:rsidRPr="0054226C">
        <w:rPr>
          <w:rFonts w:ascii="Arial" w:hAnsi="Arial" w:cs="Arial"/>
          <w:sz w:val="22"/>
        </w:rPr>
        <w:t>Direktivi 2012/27/EU</w:t>
      </w:r>
      <w:r>
        <w:rPr>
          <w:rFonts w:ascii="Arial" w:hAnsi="Arial" w:cs="Arial"/>
          <w:sz w:val="22"/>
        </w:rPr>
        <w:t xml:space="preserve">). </w:t>
      </w:r>
    </w:p>
    <w:p w14:paraId="175A8AD0"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Pravilnikom je dopušteno i utvrđivanje ušteda mjerenjem fizikalnih veličina, odnosno izračunavanjem razlike između stvarne i referentne potrošnje energije (u skladu s točkom 1.(b) Priloga V.</w:t>
      </w:r>
      <w:r w:rsidRPr="0054226C">
        <w:t xml:space="preserve"> </w:t>
      </w:r>
      <w:r w:rsidRPr="0054226C">
        <w:rPr>
          <w:rFonts w:ascii="Arial" w:hAnsi="Arial" w:cs="Arial"/>
          <w:sz w:val="22"/>
        </w:rPr>
        <w:t>Direktivi 2012/27/EU</w:t>
      </w:r>
      <w:r>
        <w:rPr>
          <w:rFonts w:ascii="Arial" w:hAnsi="Arial" w:cs="Arial"/>
          <w:sz w:val="22"/>
        </w:rPr>
        <w:t>).</w:t>
      </w:r>
    </w:p>
    <w:p w14:paraId="078C06D0"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Do dana primjene ovog Plana, predmetni će se Pravilnik izmijeniti i dopuniti i to poglavito u dijelu koji se odnosi na metode odozdo-prema-gore i referentne vrijednosti koje su i njima koriste, kao i u propisivanju novih metoda koje uključuju </w:t>
      </w:r>
      <w:r w:rsidRPr="009E4599">
        <w:rPr>
          <w:rFonts w:ascii="Arial" w:hAnsi="Arial" w:cs="Arial"/>
          <w:sz w:val="22"/>
        </w:rPr>
        <w:t xml:space="preserve">istraživanja kojima se utvrđuje učinak na ponašanje potrošača </w:t>
      </w:r>
      <w:r>
        <w:rPr>
          <w:rFonts w:ascii="Arial" w:hAnsi="Arial" w:cs="Arial"/>
          <w:sz w:val="22"/>
        </w:rPr>
        <w:t>(u skladu s točkom 1.(d) Priloga V.</w:t>
      </w:r>
      <w:r w:rsidRPr="0054226C">
        <w:t xml:space="preserve"> </w:t>
      </w:r>
      <w:r w:rsidRPr="0054226C">
        <w:rPr>
          <w:rFonts w:ascii="Arial" w:hAnsi="Arial" w:cs="Arial"/>
          <w:sz w:val="22"/>
        </w:rPr>
        <w:t>Direktivi 2012/27/EU</w:t>
      </w:r>
      <w:r>
        <w:rPr>
          <w:rFonts w:ascii="Arial" w:hAnsi="Arial" w:cs="Arial"/>
          <w:sz w:val="22"/>
        </w:rPr>
        <w:t xml:space="preserve">), s obzirom da se očekuje provedba ovakvih aktivnosti od strane stranaka obveznica. </w:t>
      </w:r>
    </w:p>
    <w:p w14:paraId="21EE0459" w14:textId="77777777" w:rsidR="004A5913" w:rsidRPr="006363DB" w:rsidRDefault="004A5913" w:rsidP="004A5913">
      <w:pPr>
        <w:pStyle w:val="PointManual1"/>
        <w:spacing w:before="0" w:after="0" w:line="276" w:lineRule="auto"/>
        <w:ind w:left="0" w:firstLine="0"/>
        <w:jc w:val="both"/>
        <w:rPr>
          <w:rFonts w:ascii="Arial" w:hAnsi="Arial" w:cs="Arial"/>
          <w:sz w:val="22"/>
        </w:rPr>
      </w:pPr>
    </w:p>
    <w:p w14:paraId="4329994E" w14:textId="7777777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metoda za iskazivanje uštede energije (ušteda primarne ili krajnje energije)</w:t>
      </w:r>
    </w:p>
    <w:p w14:paraId="2DEB3069" w14:textId="77777777" w:rsidR="004A5913" w:rsidRDefault="004A5913" w:rsidP="004A5913">
      <w:pPr>
        <w:pStyle w:val="PointManual1"/>
        <w:spacing w:before="0" w:after="0" w:line="276" w:lineRule="auto"/>
        <w:ind w:left="0" w:firstLine="0"/>
        <w:rPr>
          <w:rFonts w:ascii="Arial" w:hAnsi="Arial" w:cs="Arial"/>
          <w:sz w:val="22"/>
        </w:rPr>
      </w:pPr>
      <w:r>
        <w:rPr>
          <w:rFonts w:ascii="Arial" w:hAnsi="Arial" w:cs="Arial"/>
          <w:sz w:val="22"/>
        </w:rPr>
        <w:t xml:space="preserve">Uštede se iskazuju kao neposredna (krajnja) potrošnja energije. </w:t>
      </w:r>
    </w:p>
    <w:p w14:paraId="32ACF547" w14:textId="77777777" w:rsidR="004A5913" w:rsidRPr="005C4B65" w:rsidRDefault="004A5913" w:rsidP="004A5913">
      <w:pPr>
        <w:pStyle w:val="PointManual1"/>
        <w:spacing w:before="0" w:after="0" w:line="276" w:lineRule="auto"/>
        <w:ind w:left="0" w:firstLine="0"/>
        <w:rPr>
          <w:rFonts w:ascii="Arial" w:hAnsi="Arial" w:cs="Arial"/>
          <w:sz w:val="22"/>
        </w:rPr>
      </w:pPr>
    </w:p>
    <w:p w14:paraId="304A630F" w14:textId="12A9BA3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životni vijek</w:t>
      </w:r>
      <w:r w:rsidR="00461782">
        <w:rPr>
          <w:rFonts w:ascii="Arial" w:hAnsi="Arial" w:cs="Arial"/>
          <w:i/>
          <w:sz w:val="22"/>
        </w:rPr>
        <w:t xml:space="preserve"> </w:t>
      </w:r>
      <w:r w:rsidRPr="009D19A1">
        <w:rPr>
          <w:rFonts w:ascii="Arial" w:hAnsi="Arial" w:cs="Arial"/>
          <w:i/>
          <w:sz w:val="22"/>
        </w:rPr>
        <w:t>mjera, kako se izračunavaju i na čemu se temelje</w:t>
      </w:r>
    </w:p>
    <w:p w14:paraId="30C70E1E"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Životni vijek mjera propisan je Prilogom II. Pravilnika o sustavu za praćenje, mjerenje i verifikaciju ušteda energije. Vrijednosti životnog vijeka mjera preuzete su iz preporuka Europske komisije, još iz razdoblja Direktive 2006/32/EC o energetskim uslugama.</w:t>
      </w:r>
    </w:p>
    <w:p w14:paraId="5F755C4E"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Uštede koje se utvrđuju procjenom prate se od dana unosa dokaza uštede u nacionalni Sustav za mjerenje i verifikaciju ušteda (SMiV), dok se za mjere čije se uštede utvrđuju mjerenjem početkom učinka smatra dan početka mjerenja, u skladu s odredbama Pravilnika o sustavnom gospodarenju energijom. </w:t>
      </w:r>
    </w:p>
    <w:p w14:paraId="3462FA26" w14:textId="77777777" w:rsidR="004A5913" w:rsidRPr="005C4B65" w:rsidRDefault="004A5913" w:rsidP="004A5913">
      <w:pPr>
        <w:pStyle w:val="PointManual1"/>
        <w:spacing w:before="0" w:after="0" w:line="276" w:lineRule="auto"/>
        <w:ind w:left="0" w:firstLine="0"/>
        <w:rPr>
          <w:rFonts w:ascii="Arial" w:hAnsi="Arial" w:cs="Arial"/>
          <w:sz w:val="22"/>
        </w:rPr>
      </w:pPr>
    </w:p>
    <w:p w14:paraId="5423472A" w14:textId="7777777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 xml:space="preserve">kratak opis metodologije izračuna, uključujući kako se osiguravaju aditivnost i </w:t>
      </w:r>
      <w:r>
        <w:rPr>
          <w:rFonts w:ascii="Arial" w:hAnsi="Arial" w:cs="Arial"/>
          <w:i/>
          <w:sz w:val="22"/>
        </w:rPr>
        <w:t>dokazivost</w:t>
      </w:r>
      <w:r w:rsidRPr="009D19A1">
        <w:rPr>
          <w:rFonts w:ascii="Arial" w:hAnsi="Arial" w:cs="Arial"/>
          <w:i/>
          <w:sz w:val="22"/>
        </w:rPr>
        <w:t xml:space="preserve"> ušteda te koje se metodologije i mjerila rabe za predviđene i procijenjene uštede</w:t>
      </w:r>
    </w:p>
    <w:p w14:paraId="686DFB69"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Metodologija izračuna ušteda iz pojedinačnih mjera temelji se na metodama odozdo-prema-gore, odnosno na matematičkim jednadžbama koje izračunavaju razliku potrošnje energije prije i nakon provedbe mjere poboljšanja energetske učinkovitosti. U izračunu je moguće koristiti predefinirane (referentne) podatke ili stvarne podatke svakog projekta. Ukoliko se koriste stvarni podatci, potrebno je u SMiV unijeti odgovarajuće dokaze:</w:t>
      </w:r>
    </w:p>
    <w:p w14:paraId="5E52CD39" w14:textId="77777777" w:rsidR="004A5913" w:rsidRPr="002C4C08"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2C4C08">
        <w:rPr>
          <w:rFonts w:ascii="Arial" w:eastAsia="Calibri" w:hAnsi="Arial" w:cs="Arial"/>
          <w:sz w:val="22"/>
          <w:szCs w:val="22"/>
          <w:lang w:eastAsia="en-US"/>
        </w:rPr>
        <w:t>za mjere koje se provode izvođenjem građevinskih radova prva strana ovjerenog projekta koji je izradila osoba ovlaštena za projektiranje s izračunom ušteda u skladu s metodologijom iz Priloga II. Pravilnika, karakteristike ugrađenog materijala i opreme i završno izvješće stručnog nadzora s potvrdom o izvedenom stanju u skladu s projektom,</w:t>
      </w:r>
    </w:p>
    <w:p w14:paraId="2997FAFF" w14:textId="77777777" w:rsidR="004A5913" w:rsidRPr="002C4C08" w:rsidRDefault="004A5913" w:rsidP="004A5913">
      <w:pPr>
        <w:pStyle w:val="t-9-8"/>
        <w:numPr>
          <w:ilvl w:val="0"/>
          <w:numId w:val="103"/>
        </w:numPr>
        <w:spacing w:before="0" w:beforeAutospacing="0" w:after="0" w:afterAutospacing="0"/>
        <w:ind w:left="714" w:hanging="357"/>
        <w:jc w:val="both"/>
        <w:textAlignment w:val="baseline"/>
        <w:rPr>
          <w:rFonts w:ascii="Arial" w:eastAsia="Calibri" w:hAnsi="Arial" w:cs="Arial"/>
          <w:sz w:val="22"/>
          <w:szCs w:val="22"/>
          <w:lang w:eastAsia="en-US"/>
        </w:rPr>
      </w:pPr>
      <w:r w:rsidRPr="002C4C08">
        <w:rPr>
          <w:rFonts w:ascii="Arial" w:eastAsia="Calibri" w:hAnsi="Arial" w:cs="Arial"/>
          <w:sz w:val="22"/>
          <w:szCs w:val="22"/>
          <w:lang w:eastAsia="en-US"/>
        </w:rPr>
        <w:t>za mjere koje se provode ugradnjom strojarskih instalacija ovjerena potvrda izvedenog stanja i funkcionalnosti sustava koja sadrži karakteristike instalirane opreme/sustava, izvještaj izvođača o ugradnji opreme i navedene karakteristike instaliranog sustava prije i poslije provedene mjere, te izračun ušteda energije u skladu s metodologijom iz Priloga II. Pravilnika.</w:t>
      </w:r>
    </w:p>
    <w:p w14:paraId="4684C2B5"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Aditivnost mjera se ostvaruje propisivanjem i ostvarivanjem tehničkih uvjeta koji nadilaze minimalne uvjete propisane relevantnom zakonskom regulativom. </w:t>
      </w:r>
    </w:p>
    <w:p w14:paraId="6E2E6AD3" w14:textId="77777777" w:rsidR="004A5913" w:rsidRPr="001A1B54" w:rsidRDefault="004A5913" w:rsidP="004A5913">
      <w:pPr>
        <w:pStyle w:val="PointManual1"/>
        <w:spacing w:before="0" w:after="0" w:line="276" w:lineRule="auto"/>
        <w:ind w:left="0" w:firstLine="0"/>
        <w:jc w:val="both"/>
        <w:rPr>
          <w:rFonts w:ascii="Arial" w:hAnsi="Arial" w:cs="Arial"/>
          <w:sz w:val="22"/>
        </w:rPr>
      </w:pPr>
    </w:p>
    <w:p w14:paraId="05C50F07" w14:textId="7777777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podaci o tome kako se rješavaju moguća preklapanja između mjera politike i pojedinačnih mjera kako bi se izbjeglo dvostruko računanje uštede energije</w:t>
      </w:r>
    </w:p>
    <w:p w14:paraId="73DE2215" w14:textId="77777777" w:rsidR="004A5913" w:rsidRDefault="004A5913" w:rsidP="004A5913">
      <w:pPr>
        <w:pStyle w:val="PointManual1"/>
        <w:spacing w:before="0" w:after="0" w:line="276" w:lineRule="auto"/>
        <w:ind w:left="0" w:firstLine="0"/>
        <w:rPr>
          <w:rFonts w:ascii="Arial" w:hAnsi="Arial" w:cs="Arial"/>
          <w:sz w:val="22"/>
        </w:rPr>
      </w:pPr>
      <w:r>
        <w:rPr>
          <w:rFonts w:ascii="Arial" w:hAnsi="Arial" w:cs="Arial"/>
          <w:sz w:val="22"/>
        </w:rPr>
        <w:t>Dvostruko obračunavanje ušteda energije izbjegava se:</w:t>
      </w:r>
    </w:p>
    <w:p w14:paraId="2BCE75B8" w14:textId="77777777" w:rsidR="004A5913" w:rsidRDefault="004A5913" w:rsidP="004A5913">
      <w:pPr>
        <w:pStyle w:val="PointManual1"/>
        <w:numPr>
          <w:ilvl w:val="0"/>
          <w:numId w:val="111"/>
        </w:numPr>
        <w:spacing w:before="0" w:after="0" w:line="276" w:lineRule="auto"/>
        <w:rPr>
          <w:rFonts w:ascii="Arial" w:hAnsi="Arial" w:cs="Arial"/>
          <w:sz w:val="22"/>
        </w:rPr>
      </w:pPr>
      <w:r>
        <w:rPr>
          <w:rFonts w:ascii="Arial" w:hAnsi="Arial" w:cs="Arial"/>
          <w:sz w:val="22"/>
        </w:rPr>
        <w:t>definiranjem mjera, pazeći da se ne preklapaju</w:t>
      </w:r>
    </w:p>
    <w:p w14:paraId="2A86D183" w14:textId="77777777" w:rsidR="004A5913" w:rsidRDefault="004A5913" w:rsidP="004A5913">
      <w:pPr>
        <w:pStyle w:val="PointManual1"/>
        <w:numPr>
          <w:ilvl w:val="0"/>
          <w:numId w:val="111"/>
        </w:numPr>
        <w:spacing w:before="0" w:after="0" w:line="276" w:lineRule="auto"/>
        <w:rPr>
          <w:rFonts w:ascii="Arial" w:hAnsi="Arial" w:cs="Arial"/>
          <w:sz w:val="22"/>
        </w:rPr>
      </w:pPr>
      <w:r>
        <w:rPr>
          <w:rFonts w:ascii="Arial" w:hAnsi="Arial" w:cs="Arial"/>
          <w:sz w:val="22"/>
        </w:rPr>
        <w:t>definiranjem obveznika unosa podataka u SMiV: obveznici planiranja (veliki gradovi i županije); davatelji subvencija i pružatelji energetskih usluga</w:t>
      </w:r>
    </w:p>
    <w:p w14:paraId="112054E0"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 xml:space="preserve">SMiV omogućava pregled unesenih podataka i brzo uočavanje eventualno dvostruko unesenih mjera i njihovih ušteda. Velika većina mjera u RH se provodi uz financijsku pomoć ili sudjelovanje Fonda za zaštitu okoliša i energetsku učinkovitost (bilo kao davatelj subvencije bilo kao posredničko tijelo u sustavu korištenja ESI sredstava), stoga ovakva centralizacija unosa također uvelike doprinosi izbjegavanju dvostrukog unosa i obračunavanja ušteda energije. </w:t>
      </w:r>
    </w:p>
    <w:p w14:paraId="2064D764" w14:textId="145985DB"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Pravilnik o sustavu za praćenje, mjerenje i verifikaciju ušteda energije izmijenit će se na način da se uskladi s Pravilnikom o sustavu obveze energetske učinkovitosti, kojega je nužno donijeti na temelju konačno usvojenih izmjena i dopuna Zakona o energetskoj učinkovitosti, te je kroz ove podzakonske akte potrebno utvrdit</w:t>
      </w:r>
      <w:r w:rsidR="009C43B0">
        <w:rPr>
          <w:rFonts w:ascii="Arial" w:hAnsi="Arial" w:cs="Arial"/>
          <w:sz w:val="22"/>
        </w:rPr>
        <w:t>i</w:t>
      </w:r>
      <w:r>
        <w:rPr>
          <w:rFonts w:ascii="Arial" w:hAnsi="Arial" w:cs="Arial"/>
          <w:sz w:val="22"/>
        </w:rPr>
        <w:t xml:space="preserve"> obveze stranaka obveznica o unosu podataka u SMiV.</w:t>
      </w:r>
      <w:r w:rsidR="00461782">
        <w:rPr>
          <w:rFonts w:ascii="Arial" w:hAnsi="Arial" w:cs="Arial"/>
          <w:sz w:val="22"/>
        </w:rPr>
        <w:t xml:space="preserve"> </w:t>
      </w:r>
    </w:p>
    <w:p w14:paraId="57A7CBC7" w14:textId="77777777" w:rsidR="004A5913" w:rsidRPr="00423DE7" w:rsidRDefault="004A5913" w:rsidP="004A5913">
      <w:pPr>
        <w:pStyle w:val="PointManual1"/>
        <w:spacing w:before="0" w:after="0" w:line="276" w:lineRule="auto"/>
        <w:ind w:left="720" w:firstLine="0"/>
        <w:rPr>
          <w:rFonts w:ascii="Arial" w:hAnsi="Arial" w:cs="Arial"/>
          <w:sz w:val="22"/>
        </w:rPr>
      </w:pPr>
      <w:r>
        <w:rPr>
          <w:rFonts w:ascii="Arial" w:hAnsi="Arial" w:cs="Arial"/>
          <w:sz w:val="22"/>
        </w:rPr>
        <w:t xml:space="preserve"> </w:t>
      </w:r>
    </w:p>
    <w:p w14:paraId="5B4170D3" w14:textId="77777777" w:rsidR="004A5913" w:rsidRDefault="004A5913" w:rsidP="004A5913">
      <w:pPr>
        <w:pStyle w:val="PointManual1"/>
        <w:numPr>
          <w:ilvl w:val="0"/>
          <w:numId w:val="107"/>
        </w:numPr>
        <w:spacing w:before="0" w:after="0" w:line="276" w:lineRule="auto"/>
        <w:rPr>
          <w:rFonts w:ascii="Arial" w:hAnsi="Arial" w:cs="Arial"/>
          <w:i/>
          <w:sz w:val="22"/>
        </w:rPr>
      </w:pPr>
      <w:r w:rsidRPr="009D19A1">
        <w:rPr>
          <w:rFonts w:ascii="Arial" w:hAnsi="Arial" w:cs="Arial"/>
          <w:i/>
          <w:sz w:val="22"/>
        </w:rPr>
        <w:t>klimatske razlike i primijenjeni pristup (prema potrebi)</w:t>
      </w:r>
    </w:p>
    <w:p w14:paraId="78923F31" w14:textId="77777777" w:rsidR="004A5913" w:rsidRPr="00423DE7"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U Hrvatskoj se razlikuju dvije klimatske regije: kontinentalna i primorska Hrvatska. Ovo je već uzeto u određivanju referentnih vrijednosti koje se koriste u metodama procjene ušteda, u skladu s Pravilnikom o sustavu za praćenje, mjerenje i verifikaciju ušteda energije.</w:t>
      </w:r>
    </w:p>
    <w:p w14:paraId="1D8F3443" w14:textId="77777777" w:rsidR="004A5913" w:rsidRPr="002F3855" w:rsidRDefault="004A5913" w:rsidP="004A5913">
      <w:pPr>
        <w:pStyle w:val="PointManual1"/>
        <w:spacing w:before="0" w:after="0" w:line="276" w:lineRule="auto"/>
        <w:ind w:left="1701"/>
        <w:rPr>
          <w:rFonts w:ascii="Arial" w:hAnsi="Arial" w:cs="Arial"/>
          <w:noProof/>
          <w:sz w:val="22"/>
        </w:rPr>
      </w:pPr>
    </w:p>
    <w:p w14:paraId="267CDB7C" w14:textId="77777777" w:rsidR="001B6C7B" w:rsidRDefault="001B6C7B">
      <w:pPr>
        <w:suppressAutoHyphens w:val="0"/>
        <w:spacing w:before="0" w:after="0" w:line="240" w:lineRule="auto"/>
        <w:jc w:val="left"/>
        <w:rPr>
          <w:rFonts w:eastAsia="Calibri" w:cs="Arial"/>
          <w:b/>
          <w:i/>
          <w:lang w:eastAsia="en-US"/>
        </w:rPr>
      </w:pPr>
      <w:r>
        <w:rPr>
          <w:rFonts w:cs="Arial"/>
          <w:b/>
          <w:i/>
        </w:rPr>
        <w:br w:type="page"/>
      </w:r>
    </w:p>
    <w:p w14:paraId="19D4B2C1" w14:textId="3F36703E" w:rsidR="004A5913" w:rsidRPr="009D19A1" w:rsidRDefault="004A5913" w:rsidP="004A5913">
      <w:pPr>
        <w:pStyle w:val="ManualNumPar1"/>
        <w:numPr>
          <w:ilvl w:val="0"/>
          <w:numId w:val="100"/>
        </w:numPr>
        <w:spacing w:before="0" w:after="0" w:line="276" w:lineRule="auto"/>
        <w:jc w:val="both"/>
        <w:rPr>
          <w:rFonts w:ascii="Arial" w:hAnsi="Arial" w:cs="Arial"/>
          <w:b/>
          <w:i/>
          <w:sz w:val="22"/>
        </w:rPr>
      </w:pPr>
      <w:r w:rsidRPr="009D19A1">
        <w:rPr>
          <w:rFonts w:ascii="Arial" w:hAnsi="Arial" w:cs="Arial"/>
          <w:b/>
          <w:i/>
          <w:sz w:val="22"/>
        </w:rPr>
        <w:t xml:space="preserve">Praćenje i </w:t>
      </w:r>
      <w:r>
        <w:rPr>
          <w:rFonts w:ascii="Arial" w:hAnsi="Arial" w:cs="Arial"/>
          <w:b/>
          <w:i/>
          <w:sz w:val="22"/>
        </w:rPr>
        <w:t>verifikacija</w:t>
      </w:r>
    </w:p>
    <w:p w14:paraId="0FDA4360" w14:textId="77777777" w:rsidR="004A5913" w:rsidRPr="002F3855" w:rsidRDefault="004A5913" w:rsidP="00A87274">
      <w:pPr>
        <w:spacing w:before="0" w:after="0" w:line="276" w:lineRule="auto"/>
        <w:rPr>
          <w:rFonts w:cs="Arial"/>
          <w:lang w:eastAsia="en-US"/>
        </w:rPr>
      </w:pPr>
    </w:p>
    <w:p w14:paraId="43576243"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 xml:space="preserve">kratki opis sustava praćenja i </w:t>
      </w:r>
      <w:r>
        <w:rPr>
          <w:rFonts w:ascii="Arial" w:hAnsi="Arial" w:cs="Arial"/>
          <w:i/>
          <w:sz w:val="22"/>
        </w:rPr>
        <w:t>verifikacije</w:t>
      </w:r>
      <w:r w:rsidRPr="009D19A1">
        <w:rPr>
          <w:rFonts w:ascii="Arial" w:hAnsi="Arial" w:cs="Arial"/>
          <w:i/>
          <w:sz w:val="22"/>
        </w:rPr>
        <w:t xml:space="preserve"> i postupka </w:t>
      </w:r>
      <w:r>
        <w:rPr>
          <w:rFonts w:ascii="Arial" w:hAnsi="Arial" w:cs="Arial"/>
          <w:i/>
          <w:sz w:val="22"/>
        </w:rPr>
        <w:t>verifikacije</w:t>
      </w:r>
    </w:p>
    <w:p w14:paraId="0A617A83" w14:textId="77777777" w:rsidR="004A5913"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Sustav praćenja i verifikacije ušteda energije uspostavljen je Zakonom o energetskoj učinkovitosti i Pravilnikom o sustavu za praćenje, mjerenje i verifikaciju ušteda energije, a temelji se na informacijskoj platformi SMiV, u koju su zakonom definirani nositelji ušteda dužni unositi podatke o provedenim mjerama energetske učinkovitosti i koji temeljem metoda procjene ili mjerenih podataka izračunava ostvarene uštede energije koje su rezultat tih mjera. Nositelji ušteda su županije, veliki gradovi (s više od 35.000 stanovnika), davatelji subvencija te pružatelji energetskih ušteda.</w:t>
      </w:r>
    </w:p>
    <w:p w14:paraId="58A5A2B8" w14:textId="4970ED09" w:rsidR="004A5913" w:rsidRPr="009E4599" w:rsidRDefault="004A5913" w:rsidP="004A5913">
      <w:pPr>
        <w:pStyle w:val="PointManual1"/>
        <w:spacing w:before="0" w:line="276" w:lineRule="auto"/>
        <w:ind w:left="0" w:firstLine="0"/>
        <w:jc w:val="both"/>
        <w:rPr>
          <w:rFonts w:ascii="Arial" w:hAnsi="Arial" w:cs="Arial"/>
          <w:sz w:val="22"/>
        </w:rPr>
      </w:pPr>
      <w:r>
        <w:rPr>
          <w:rFonts w:ascii="Arial" w:hAnsi="Arial" w:cs="Arial"/>
          <w:sz w:val="22"/>
        </w:rPr>
        <w:t>Verifikacija ušteda provodi se kroz SMiV i to na temelju dokaza koji su uneseni u sustav, a koji su navedeni pod točkom 3.(d) ovog dokumenta. Potvrda o ostvarenim uštedama energije izdaje se nositelju uštede te se evidentira u SMiV-u. Potvrda o uštedi je prenosiva, a svaki se prijenos potvrde također evidentira u SMiV-u.</w:t>
      </w:r>
      <w:r w:rsidR="00461782">
        <w:rPr>
          <w:rFonts w:ascii="Arial" w:hAnsi="Arial" w:cs="Arial"/>
          <w:sz w:val="22"/>
        </w:rPr>
        <w:t xml:space="preserve"> </w:t>
      </w:r>
    </w:p>
    <w:p w14:paraId="65605059"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 xml:space="preserve">provedbeno tijelo javne vlasti i njegove glavne odgovornosti u pogledu sustava praćenja i </w:t>
      </w:r>
      <w:r>
        <w:rPr>
          <w:rFonts w:ascii="Arial" w:hAnsi="Arial" w:cs="Arial"/>
          <w:i/>
          <w:sz w:val="22"/>
        </w:rPr>
        <w:t>verifikacije</w:t>
      </w:r>
      <w:r w:rsidRPr="009D19A1">
        <w:rPr>
          <w:rFonts w:ascii="Arial" w:hAnsi="Arial" w:cs="Arial"/>
          <w:i/>
          <w:sz w:val="22"/>
        </w:rPr>
        <w:t xml:space="preserve"> s obzirom na sustav obveze energetske učinkovitosti i/ili alternativne mjere</w:t>
      </w:r>
    </w:p>
    <w:p w14:paraId="3AF74890"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Verifikaciju ušteda provodi Nacionalno koordinacijsko tijelo (NKT), koje je posebna ustrojstvena jedinica unutar Ministarstva zaštite okoliša i energetike. NKT je odgovoran za vođenje cjelokupnoj sustava praćenja, mjerenja i verifikacije ušteda energije, održavanje i razvijanje SMiV-a te izvještavanje o postignutim uštedama na godišnjoj razini. </w:t>
      </w:r>
    </w:p>
    <w:p w14:paraId="3BA79B2C" w14:textId="77777777" w:rsidR="004A5913" w:rsidRPr="00DE2727" w:rsidRDefault="004A5913" w:rsidP="004A5913">
      <w:pPr>
        <w:pStyle w:val="PointManual1"/>
        <w:spacing w:before="0" w:after="0" w:line="276" w:lineRule="auto"/>
        <w:ind w:left="0" w:firstLine="0"/>
        <w:rPr>
          <w:rFonts w:ascii="Arial" w:hAnsi="Arial" w:cs="Arial"/>
          <w:sz w:val="22"/>
        </w:rPr>
      </w:pPr>
    </w:p>
    <w:p w14:paraId="27F8BF2D"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 xml:space="preserve">neovisnost praćenja i </w:t>
      </w:r>
      <w:r>
        <w:rPr>
          <w:rFonts w:ascii="Arial" w:hAnsi="Arial" w:cs="Arial"/>
          <w:i/>
          <w:sz w:val="22"/>
        </w:rPr>
        <w:t>verifikacije</w:t>
      </w:r>
      <w:r w:rsidRPr="009D19A1">
        <w:rPr>
          <w:rFonts w:ascii="Arial" w:hAnsi="Arial" w:cs="Arial"/>
          <w:i/>
          <w:sz w:val="22"/>
        </w:rPr>
        <w:t xml:space="preserve"> od stranaka obveznica, stranaka sudionica ili ovlaštenih stranaka</w:t>
      </w:r>
    </w:p>
    <w:p w14:paraId="0CCAF32C"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S obzirom da je praćenje i verifikacija u nadležnosti Ministarstva odnosno NKT-a, osigurana je neovisnost od stranaka obveznica kao i drugih nositelja ušteda. </w:t>
      </w:r>
    </w:p>
    <w:p w14:paraId="60DF9FF2" w14:textId="77777777" w:rsidR="004A5913" w:rsidRPr="00DE2727" w:rsidRDefault="004A5913" w:rsidP="004A5913">
      <w:pPr>
        <w:pStyle w:val="PointManual1"/>
        <w:spacing w:before="0" w:after="0" w:line="276" w:lineRule="auto"/>
        <w:ind w:left="0" w:firstLine="0"/>
        <w:rPr>
          <w:rFonts w:ascii="Arial" w:hAnsi="Arial" w:cs="Arial"/>
          <w:sz w:val="22"/>
        </w:rPr>
      </w:pPr>
    </w:p>
    <w:p w14:paraId="7E07F342"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statistički značajan udio mjera za poboljšanje energetske učinkovitosti i udio i kriteriji koji su upotrijebljeni za definiranje i odabir reprezentativnog uzorka</w:t>
      </w:r>
    </w:p>
    <w:p w14:paraId="120C1DD8"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Verifikacija ušteda prema važećem Pravilniku o sustavu za praćenje, mjerenje i verifikaciju ušteda energije obavlja se samo na zahtjev nositelja ušteda. Ne postoji obveza verifikacije ušteda energije koje ostvaruju stranke obveznice na temelju statistički značajnog udjela i reprezentativnog uzorka mjera koje provode stranke obveznice. Sustav je potrebno propisati kroz izmjene i dopune Pravilnika o sustavu za praćenje, mjerenje i verifikaciju ušteda energije kao i kroz Pravilnik o sustavu obveza energetske učinkovitosti, koji će se usvojiti temeljem konačno usvojenih izmjena i dopuna Zakona o energetskoj učinkovitosti. </w:t>
      </w:r>
    </w:p>
    <w:p w14:paraId="75E1AC7A" w14:textId="77777777" w:rsidR="004A5913" w:rsidRPr="00DE2727" w:rsidRDefault="004A5913" w:rsidP="004A5913">
      <w:pPr>
        <w:pStyle w:val="PointManual1"/>
        <w:spacing w:before="0" w:after="0" w:line="276" w:lineRule="auto"/>
        <w:ind w:left="0" w:firstLine="0"/>
        <w:rPr>
          <w:rFonts w:ascii="Arial" w:hAnsi="Arial" w:cs="Arial"/>
          <w:sz w:val="22"/>
        </w:rPr>
      </w:pPr>
    </w:p>
    <w:p w14:paraId="6DA2A952"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obveze stranaka obveznica u pogledu izvješćivanja (uštede koje je ostvarila svaka stranka obveznica ili svaka potkategorija stranke obveznice, te ukupne uštede u okviru sustava)</w:t>
      </w:r>
    </w:p>
    <w:p w14:paraId="1446A94D"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Način izvještavanja stranaka obveznica na godišnjoj razini o ostvarenim uštedama energije propisat će se Pravilnikom o sustavu obveza energetske učinkovitosti, koji će se usvojiti temeljem konačno usvojenih izmjena i dopuna Zakona o energetskoj učinkovitosti. Ukupne uštede u okviru sustava obveze sastavni su dio </w:t>
      </w:r>
      <w:r w:rsidRPr="00377A01">
        <w:rPr>
          <w:rFonts w:ascii="Arial" w:hAnsi="Arial" w:cs="Arial"/>
          <w:sz w:val="22"/>
        </w:rPr>
        <w:t>Godišnje</w:t>
      </w:r>
      <w:r>
        <w:rPr>
          <w:rFonts w:ascii="Arial" w:hAnsi="Arial" w:cs="Arial"/>
          <w:sz w:val="22"/>
        </w:rPr>
        <w:t>g</w:t>
      </w:r>
      <w:r w:rsidRPr="00377A01">
        <w:rPr>
          <w:rFonts w:ascii="Arial" w:hAnsi="Arial" w:cs="Arial"/>
          <w:sz w:val="22"/>
        </w:rPr>
        <w:t xml:space="preserve"> izvješć</w:t>
      </w:r>
      <w:r>
        <w:rPr>
          <w:rFonts w:ascii="Arial" w:hAnsi="Arial" w:cs="Arial"/>
          <w:sz w:val="22"/>
        </w:rPr>
        <w:t>a</w:t>
      </w:r>
      <w:r w:rsidRPr="00377A01">
        <w:rPr>
          <w:rFonts w:ascii="Arial" w:hAnsi="Arial" w:cs="Arial"/>
          <w:sz w:val="22"/>
        </w:rPr>
        <w:t xml:space="preserve"> o napretku postignutom u ostvarenju nacionalnih ciljeva energetske učinkovitosti</w:t>
      </w:r>
      <w:r>
        <w:rPr>
          <w:rFonts w:ascii="Arial" w:hAnsi="Arial" w:cs="Arial"/>
          <w:sz w:val="22"/>
        </w:rPr>
        <w:t xml:space="preserve"> (vidi točku (f)).</w:t>
      </w:r>
    </w:p>
    <w:p w14:paraId="75D9A1D9" w14:textId="77777777" w:rsidR="004A5913" w:rsidRPr="005676BF" w:rsidRDefault="004A5913" w:rsidP="004A5913">
      <w:pPr>
        <w:pStyle w:val="PointManual1"/>
        <w:spacing w:before="0" w:after="0" w:line="276" w:lineRule="auto"/>
        <w:ind w:left="0" w:firstLine="0"/>
        <w:jc w:val="both"/>
        <w:rPr>
          <w:rFonts w:ascii="Arial" w:hAnsi="Arial" w:cs="Arial"/>
          <w:sz w:val="22"/>
        </w:rPr>
      </w:pPr>
    </w:p>
    <w:p w14:paraId="3922E87C"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objava ostvarene uštede energije (svake godine) u okviru sustava obveze energetske učinkovitosti i alternativnih mjera</w:t>
      </w:r>
    </w:p>
    <w:p w14:paraId="0B3DB132"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Prema Zakonu o energetskoj učinkovitosti, ministarstvo nadležno za energetiku, zajedno s ministarstvom nadležnim za graditeljstvo i NKT-om izrađuje </w:t>
      </w:r>
      <w:r w:rsidRPr="00377A01">
        <w:rPr>
          <w:rFonts w:ascii="Arial" w:hAnsi="Arial" w:cs="Arial"/>
          <w:sz w:val="22"/>
        </w:rPr>
        <w:t>Godišnje izvješće o napretku postignutom u ostvarenju nacionalnih ciljeva energetske učinkovitosti</w:t>
      </w:r>
      <w:r>
        <w:rPr>
          <w:rFonts w:ascii="Arial" w:hAnsi="Arial" w:cs="Arial"/>
          <w:sz w:val="22"/>
        </w:rPr>
        <w:t xml:space="preserve">, koje do 1.travnja tekuće godine usvaja Vlada RH za prethodnu godinu. Izvješće se dostavlja Europskoj komisiji. </w:t>
      </w:r>
    </w:p>
    <w:p w14:paraId="58C37DF7" w14:textId="77777777" w:rsidR="004A5913" w:rsidRPr="00377A01" w:rsidRDefault="004A5913" w:rsidP="004A5913">
      <w:pPr>
        <w:pStyle w:val="PointManual1"/>
        <w:spacing w:before="0" w:after="0" w:line="276" w:lineRule="auto"/>
        <w:ind w:left="0" w:firstLine="0"/>
        <w:rPr>
          <w:rFonts w:ascii="Arial" w:hAnsi="Arial" w:cs="Arial"/>
          <w:sz w:val="22"/>
        </w:rPr>
      </w:pPr>
    </w:p>
    <w:p w14:paraId="5EC44C6A" w14:textId="77777777" w:rsidR="004A5913" w:rsidRDefault="004A5913" w:rsidP="004A5913">
      <w:pPr>
        <w:pStyle w:val="PointManual1"/>
        <w:numPr>
          <w:ilvl w:val="0"/>
          <w:numId w:val="108"/>
        </w:numPr>
        <w:spacing w:before="0" w:after="0" w:line="276" w:lineRule="auto"/>
        <w:rPr>
          <w:rFonts w:ascii="Arial" w:hAnsi="Arial" w:cs="Arial"/>
          <w:i/>
          <w:sz w:val="22"/>
        </w:rPr>
      </w:pPr>
      <w:r w:rsidRPr="009D19A1">
        <w:rPr>
          <w:rFonts w:ascii="Arial" w:hAnsi="Arial" w:cs="Arial"/>
          <w:i/>
          <w:sz w:val="22"/>
        </w:rPr>
        <w:t>informacije o zakonodavstvu država članica u pogledu sankcija koje treba primijeniti u slučaju neusklađenosti</w:t>
      </w:r>
    </w:p>
    <w:p w14:paraId="2BB456A0" w14:textId="77777777" w:rsidR="004A5913" w:rsidRDefault="004A5913" w:rsidP="004A5913">
      <w:pPr>
        <w:pStyle w:val="PointManual1"/>
        <w:spacing w:before="0" w:after="0" w:line="276" w:lineRule="auto"/>
        <w:ind w:left="0" w:firstLine="0"/>
        <w:jc w:val="both"/>
        <w:rPr>
          <w:rFonts w:ascii="Arial" w:hAnsi="Arial" w:cs="Arial"/>
          <w:sz w:val="22"/>
        </w:rPr>
      </w:pPr>
      <w:r>
        <w:rPr>
          <w:rFonts w:ascii="Arial" w:hAnsi="Arial" w:cs="Arial"/>
          <w:sz w:val="22"/>
        </w:rPr>
        <w:t xml:space="preserve">Prema konačnom nacrtu izmjena i dopuna Zakona o energetskoj učinkovitosti, strankama obveznicama, kojima </w:t>
      </w:r>
      <w:r w:rsidRPr="00BD6C79">
        <w:rPr>
          <w:rFonts w:ascii="Arial" w:hAnsi="Arial" w:cs="Arial"/>
          <w:sz w:val="22"/>
        </w:rPr>
        <w:t xml:space="preserve">neostvareni dio obveze prelazi 10% </w:t>
      </w:r>
      <w:r>
        <w:rPr>
          <w:rFonts w:ascii="Arial" w:hAnsi="Arial" w:cs="Arial"/>
          <w:sz w:val="22"/>
        </w:rPr>
        <w:t xml:space="preserve">ukupne godišnje </w:t>
      </w:r>
      <w:r w:rsidRPr="00BD6C79">
        <w:rPr>
          <w:rFonts w:ascii="Arial" w:hAnsi="Arial" w:cs="Arial"/>
          <w:sz w:val="22"/>
        </w:rPr>
        <w:t xml:space="preserve">obveze, Ministarstvo </w:t>
      </w:r>
      <w:r>
        <w:rPr>
          <w:rFonts w:ascii="Arial" w:hAnsi="Arial" w:cs="Arial"/>
          <w:sz w:val="22"/>
        </w:rPr>
        <w:t xml:space="preserve">zaštite okoliša i energetike </w:t>
      </w:r>
      <w:r w:rsidRPr="00BD6C79">
        <w:rPr>
          <w:rFonts w:ascii="Arial" w:hAnsi="Arial" w:cs="Arial"/>
          <w:sz w:val="22"/>
        </w:rPr>
        <w:t xml:space="preserve">će po službenoj dužnosti rješenjem kojeg donosi do 31. ožujka tekuće godine odrediti iznos kojeg je na ime neostvarene uštede stranka obveznica dužna jednokratno uplatiti Fondu </w:t>
      </w:r>
      <w:r>
        <w:rPr>
          <w:rFonts w:ascii="Arial" w:hAnsi="Arial" w:cs="Arial"/>
          <w:sz w:val="22"/>
        </w:rPr>
        <w:t xml:space="preserve">za zaštitu okoliša i energetsku učinkovitost, </w:t>
      </w:r>
      <w:r w:rsidRPr="00BD6C79">
        <w:rPr>
          <w:rFonts w:ascii="Arial" w:hAnsi="Arial" w:cs="Arial"/>
          <w:sz w:val="22"/>
        </w:rPr>
        <w:t>s rokom uplate od 30 dana od izvršnosti rješenja</w:t>
      </w:r>
      <w:r>
        <w:rPr>
          <w:rFonts w:ascii="Arial" w:hAnsi="Arial" w:cs="Arial"/>
          <w:sz w:val="22"/>
        </w:rPr>
        <w:t xml:space="preserve">. </w:t>
      </w:r>
      <w:r w:rsidRPr="00BD6C79">
        <w:rPr>
          <w:rFonts w:ascii="Arial" w:hAnsi="Arial" w:cs="Arial"/>
          <w:sz w:val="22"/>
        </w:rPr>
        <w:t xml:space="preserve">Izračun iznosa </w:t>
      </w:r>
      <w:r>
        <w:rPr>
          <w:rFonts w:ascii="Arial" w:hAnsi="Arial" w:cs="Arial"/>
          <w:sz w:val="22"/>
        </w:rPr>
        <w:t>kojega je stranka obveznica dužna uplatiti u Fond</w:t>
      </w:r>
      <w:r w:rsidRPr="00BD6C79">
        <w:rPr>
          <w:rFonts w:ascii="Arial" w:hAnsi="Arial" w:cs="Arial"/>
          <w:sz w:val="22"/>
        </w:rPr>
        <w:t xml:space="preserve"> temelji se na troškovima koje je Fond u prethodnoj kalendarskoj godini imao po ušteđenom kWh energije ulaganjem u alternativne mjere, a koje Ministar odlukom javno objavljuje do 31. ožujka za prethodnu kalendarsku godinu</w:t>
      </w:r>
      <w:r>
        <w:rPr>
          <w:rFonts w:ascii="Arial" w:hAnsi="Arial" w:cs="Arial"/>
          <w:sz w:val="22"/>
        </w:rPr>
        <w:t xml:space="preserve">. </w:t>
      </w:r>
    </w:p>
    <w:p w14:paraId="406C02FB" w14:textId="77777777" w:rsidR="004A5913" w:rsidRPr="00BD6C79" w:rsidRDefault="004A5913" w:rsidP="004A5913">
      <w:pPr>
        <w:pStyle w:val="PointManual1"/>
        <w:spacing w:before="0" w:after="0" w:line="276" w:lineRule="auto"/>
        <w:ind w:left="0" w:firstLine="0"/>
        <w:jc w:val="both"/>
        <w:rPr>
          <w:rFonts w:ascii="Arial" w:hAnsi="Arial" w:cs="Arial"/>
          <w:sz w:val="22"/>
        </w:rPr>
      </w:pPr>
    </w:p>
    <w:p w14:paraId="0ABB1C45" w14:textId="77777777" w:rsidR="004A5913" w:rsidRPr="009D19A1" w:rsidRDefault="004A5913" w:rsidP="004A5913">
      <w:pPr>
        <w:pStyle w:val="PointManual1"/>
        <w:numPr>
          <w:ilvl w:val="0"/>
          <w:numId w:val="108"/>
        </w:numPr>
        <w:spacing w:before="0" w:after="0" w:line="276" w:lineRule="auto"/>
        <w:rPr>
          <w:rFonts w:ascii="Arial" w:hAnsi="Arial" w:cs="Arial"/>
          <w:i/>
          <w:sz w:val="22"/>
        </w:rPr>
      </w:pPr>
      <w:r>
        <w:rPr>
          <w:rFonts w:ascii="Arial" w:hAnsi="Arial" w:cs="Arial"/>
          <w:i/>
          <w:sz w:val="22"/>
        </w:rPr>
        <w:t>i</w:t>
      </w:r>
      <w:r w:rsidRPr="009D19A1">
        <w:rPr>
          <w:rFonts w:ascii="Arial" w:hAnsi="Arial" w:cs="Arial"/>
          <w:i/>
          <w:sz w:val="22"/>
        </w:rPr>
        <w:t>nformacije o predviđenim mjerama ako napredak nije zadovoljavajući</w:t>
      </w:r>
    </w:p>
    <w:p w14:paraId="473848AD" w14:textId="0C42613E" w:rsidR="004A5913" w:rsidRPr="002F3855" w:rsidRDefault="004A5913" w:rsidP="00A87274">
      <w:pPr>
        <w:spacing w:before="0" w:line="276" w:lineRule="auto"/>
        <w:rPr>
          <w:rFonts w:cs="Arial"/>
        </w:rPr>
      </w:pPr>
      <w:r>
        <w:rPr>
          <w:rFonts w:cs="Arial"/>
        </w:rPr>
        <w:t>Trenutno nisu predviđene konkretne mjere koje bi trebalo poduzeti ako napredak u ostvarenju ciljeva nije zadovoljavajući. Korektivne mjere treba primijeniti kako na sustav obveza tako i na alternativne mjere. U sustavu obveza, jedna od korektivnih mjera može biti povećanje naknade koje stranke obveznice moraju uplatiti u Fond, što bi trebalo biti ugrađeno u budući Pravilnik o sustavu obveza energetske učinkovitosti. U dijelu alternativnih mjera, korektivne aktivnosti obuhvaćaju povećanje obuhvata aktivnosti, učinkovitiju provedbu prilagodbom administrativnih procedura i povećanje raspoloživih sredstava za sufinanciranje mjera.</w:t>
      </w:r>
      <w:r w:rsidR="00461782">
        <w:rPr>
          <w:rFonts w:cs="Arial"/>
        </w:rPr>
        <w:t xml:space="preserve"> </w:t>
      </w:r>
    </w:p>
    <w:p w14:paraId="651F46AF" w14:textId="77777777" w:rsidR="004A5913" w:rsidRPr="00CF2D4C" w:rsidRDefault="004A5913" w:rsidP="00CF2D4C"/>
    <w:sectPr w:rsidR="004A5913" w:rsidRPr="00CF2D4C" w:rsidSect="005A25C9">
      <w:pgSz w:w="11907" w:h="16840" w:code="9"/>
      <w:pgMar w:top="1418" w:right="1418" w:bottom="1418" w:left="1418" w:header="567" w:footer="7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C9108" w14:textId="77777777" w:rsidR="008709B1" w:rsidRDefault="008709B1">
      <w:r>
        <w:separator/>
      </w:r>
    </w:p>
    <w:p w14:paraId="6584ABA8" w14:textId="77777777" w:rsidR="008709B1" w:rsidRDefault="008709B1"/>
    <w:p w14:paraId="2DBA3E60" w14:textId="77777777" w:rsidR="008709B1" w:rsidRDefault="008709B1"/>
  </w:endnote>
  <w:endnote w:type="continuationSeparator" w:id="0">
    <w:p w14:paraId="23442E36" w14:textId="77777777" w:rsidR="008709B1" w:rsidRDefault="008709B1">
      <w:r>
        <w:continuationSeparator/>
      </w:r>
    </w:p>
    <w:p w14:paraId="09ADA344" w14:textId="77777777" w:rsidR="008709B1" w:rsidRDefault="008709B1"/>
    <w:p w14:paraId="655D0C6B" w14:textId="77777777" w:rsidR="008709B1" w:rsidRDefault="008709B1"/>
  </w:endnote>
  <w:endnote w:type="continuationNotice" w:id="1">
    <w:p w14:paraId="7A225D87" w14:textId="77777777" w:rsidR="008709B1" w:rsidRDefault="008709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yriad Pro Cond">
    <w:altName w:val="Segoe UI"/>
    <w:panose1 w:val="00000000000000000000"/>
    <w:charset w:val="00"/>
    <w:family w:val="swiss"/>
    <w:notTrueType/>
    <w:pitch w:val="variable"/>
    <w:sig w:usb0="A00002AF"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9C70C" w14:textId="77777777" w:rsidR="00CF4600" w:rsidRPr="00EC10BE" w:rsidRDefault="00CF4600" w:rsidP="003F7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3C998" w14:textId="77777777" w:rsidR="00CF4600" w:rsidRPr="00EC10BE" w:rsidRDefault="00CF4600" w:rsidP="003F7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19458" w14:textId="77777777" w:rsidR="008709B1" w:rsidRDefault="008709B1">
      <w:r>
        <w:separator/>
      </w:r>
    </w:p>
  </w:footnote>
  <w:footnote w:type="continuationSeparator" w:id="0">
    <w:p w14:paraId="25DC5A2A" w14:textId="77777777" w:rsidR="008709B1" w:rsidRDefault="008709B1">
      <w:r>
        <w:continuationSeparator/>
      </w:r>
    </w:p>
    <w:p w14:paraId="117BC0C5" w14:textId="77777777" w:rsidR="008709B1" w:rsidRDefault="008709B1"/>
    <w:p w14:paraId="539F124B" w14:textId="77777777" w:rsidR="008709B1" w:rsidRDefault="008709B1"/>
  </w:footnote>
  <w:footnote w:type="continuationNotice" w:id="1">
    <w:p w14:paraId="0C699AAB" w14:textId="77777777" w:rsidR="008709B1" w:rsidRDefault="008709B1">
      <w:pPr>
        <w:spacing w:before="0" w:after="0" w:line="240" w:lineRule="auto"/>
      </w:pPr>
    </w:p>
  </w:footnote>
  <w:footnote w:id="2">
    <w:p w14:paraId="22C122C5" w14:textId="048BF9D7" w:rsidR="00CF4600" w:rsidRPr="00ED6587" w:rsidRDefault="00CF4600">
      <w:pPr>
        <w:pStyle w:val="FootnoteText"/>
        <w:rPr>
          <w:lang w:val="en-GB"/>
        </w:rPr>
      </w:pPr>
      <w:r>
        <w:rPr>
          <w:rStyle w:val="FootnoteReference"/>
        </w:rPr>
        <w:footnoteRef/>
      </w:r>
      <w:r>
        <w:t xml:space="preserve"> </w:t>
      </w:r>
      <w:r>
        <w:rPr>
          <w:lang w:val="en-GB"/>
        </w:rPr>
        <w:t>Izvor: nacrt 4. Nacionalnog akcijskog plana energetske učinkovitosti za razdoblje od 2017. do 2019. godine, MZOE,studeni 2017.</w:t>
      </w:r>
    </w:p>
  </w:footnote>
  <w:footnote w:id="3">
    <w:p w14:paraId="204F896F" w14:textId="2B8AE28A" w:rsidR="00CF4600" w:rsidRPr="00976062" w:rsidRDefault="00CF4600">
      <w:pPr>
        <w:pStyle w:val="FootnoteText"/>
      </w:pPr>
      <w:r>
        <w:rPr>
          <w:rStyle w:val="FootnoteReference"/>
        </w:rPr>
        <w:footnoteRef/>
      </w:r>
      <w:r>
        <w:t xml:space="preserve"> Opis s</w:t>
      </w:r>
      <w:r w:rsidRPr="00AD1756">
        <w:t>ustav obveze energetske učinkovitosti temelji se na kon</w:t>
      </w:r>
      <w:r>
        <w:t>a</w:t>
      </w:r>
      <w:r w:rsidRPr="00AD1756">
        <w:t>čnom nacrt</w:t>
      </w:r>
      <w:r>
        <w:t>u</w:t>
      </w:r>
      <w:r w:rsidRPr="00AD1756">
        <w:t xml:space="preserve"> izmjena i dopuna Zakona o energetskoj</w:t>
      </w:r>
      <w:r>
        <w:t xml:space="preserve"> učinkovitosti, koji je u trenutku izrade ovog Plana u parlamentarnoj proceduri. Stoga je opis okviran i podložan promjenama, ovisno o konačno usvojenom tekstu Zakona. </w:t>
      </w:r>
      <w:r w:rsidRPr="00AD1756">
        <w:t xml:space="preserve"> </w:t>
      </w:r>
    </w:p>
  </w:footnote>
  <w:footnote w:id="4">
    <w:p w14:paraId="3B4059D6" w14:textId="77777777" w:rsidR="00CF4600" w:rsidRPr="00976062" w:rsidRDefault="00CF4600" w:rsidP="00C21988">
      <w:pPr>
        <w:pStyle w:val="FootnoteText"/>
      </w:pPr>
      <w:r>
        <w:rPr>
          <w:rStyle w:val="FootnoteReference"/>
        </w:rPr>
        <w:footnoteRef/>
      </w:r>
      <w:r>
        <w:t xml:space="preserve"> </w:t>
      </w:r>
      <w:r w:rsidRPr="00976062">
        <w:t xml:space="preserve">Informacije o programu mogu se naći na: </w:t>
      </w:r>
      <w:hyperlink r:id="rId1" w:history="1">
        <w:r w:rsidRPr="00976062">
          <w:rPr>
            <w:rStyle w:val="Hyperlink"/>
          </w:rPr>
          <w:t>https://www.hbor.hr/152-milijuna-kuna-povoljnih-kredita-za-javnu-rasvjetu/</w:t>
        </w:r>
      </w:hyperlink>
      <w:r w:rsidRPr="00976062">
        <w:t xml:space="preserve"> (pristup: 01.10.2018.)</w:t>
      </w:r>
    </w:p>
  </w:footnote>
  <w:footnote w:id="5">
    <w:p w14:paraId="22735DDA" w14:textId="15A8D5E8" w:rsidR="00CF4600" w:rsidRPr="00976062" w:rsidRDefault="00CF4600">
      <w:pPr>
        <w:pStyle w:val="FootnoteText"/>
      </w:pPr>
      <w:r>
        <w:rPr>
          <w:rStyle w:val="FootnoteReference"/>
        </w:rPr>
        <w:footnoteRef/>
      </w:r>
      <w:r>
        <w:t xml:space="preserve"> </w:t>
      </w:r>
      <w:r w:rsidRPr="00976062">
        <w:t xml:space="preserve">Sva izvješća prema članku 5(2) Direktive 2010/31/EU i članku 6 Uredbe (EU) 244/2012 od 16.1.2012 o minimalnim zahtjevima na energetsko svojstvo navedenih vrsta zgrada dostupni su na mrežnim stranicama MGIPU: </w:t>
      </w:r>
      <w:hyperlink r:id="rId2" w:history="1">
        <w:r w:rsidRPr="00976062">
          <w:rPr>
            <w:rStyle w:val="Hyperlink"/>
          </w:rPr>
          <w:t>http://mgipu.hr/default.aspx?id=12841</w:t>
        </w:r>
      </w:hyperlink>
      <w:r w:rsidRPr="00976062">
        <w:t xml:space="preserve"> (datum pristupa: 27.11.2018.)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E4DF" w14:textId="77777777" w:rsidR="00CF4600" w:rsidRPr="00EC10BE" w:rsidRDefault="00CF4600" w:rsidP="003F7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7B563" w14:textId="77777777" w:rsidR="00CF4600" w:rsidRPr="00EC10BE" w:rsidRDefault="00CF4600" w:rsidP="003F7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0334" w14:textId="77777777" w:rsidR="00CF4600" w:rsidRPr="00EC10BE" w:rsidRDefault="00CF4600" w:rsidP="003F7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26E7B28"/>
    <w:lvl w:ilvl="0">
      <w:start w:val="1"/>
      <w:numFmt w:val="bullet"/>
      <w:pStyle w:val="Literatura"/>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DB6408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40AB7"/>
    <w:multiLevelType w:val="hybridMultilevel"/>
    <w:tmpl w:val="9E940E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5A305B"/>
    <w:multiLevelType w:val="hybridMultilevel"/>
    <w:tmpl w:val="7FF42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09C1466"/>
    <w:multiLevelType w:val="hybridMultilevel"/>
    <w:tmpl w:val="81309310"/>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3D52719"/>
    <w:multiLevelType w:val="hybridMultilevel"/>
    <w:tmpl w:val="36D6FA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AD0B2D"/>
    <w:multiLevelType w:val="hybridMultilevel"/>
    <w:tmpl w:val="F02C76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C8686E"/>
    <w:multiLevelType w:val="hybridMultilevel"/>
    <w:tmpl w:val="0B04E2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6B278F3"/>
    <w:multiLevelType w:val="hybridMultilevel"/>
    <w:tmpl w:val="A79A317E"/>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6CD24C4"/>
    <w:multiLevelType w:val="hybridMultilevel"/>
    <w:tmpl w:val="628E3CB0"/>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7113D44"/>
    <w:multiLevelType w:val="hybridMultilevel"/>
    <w:tmpl w:val="4EF0E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20635A"/>
    <w:multiLevelType w:val="multilevel"/>
    <w:tmpl w:val="98C08BD4"/>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8F53F46"/>
    <w:multiLevelType w:val="hybridMultilevel"/>
    <w:tmpl w:val="30E2D14E"/>
    <w:lvl w:ilvl="0" w:tplc="041A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49576D"/>
    <w:multiLevelType w:val="hybridMultilevel"/>
    <w:tmpl w:val="B43041C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DB16174"/>
    <w:multiLevelType w:val="hybridMultilevel"/>
    <w:tmpl w:val="B672D810"/>
    <w:lvl w:ilvl="0" w:tplc="4BC2AB9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32319E"/>
    <w:multiLevelType w:val="hybridMultilevel"/>
    <w:tmpl w:val="833E7C22"/>
    <w:lvl w:ilvl="0" w:tplc="5C36DE2C">
      <w:start w:val="1"/>
      <w:numFmt w:val="lowerLetter"/>
      <w:lvlText w:val="(%1)"/>
      <w:lvlJc w:val="left"/>
      <w:pPr>
        <w:ind w:left="927" w:hanging="360"/>
      </w:pPr>
      <w:rPr>
        <w:b w:val="0"/>
      </w:rPr>
    </w:lvl>
    <w:lvl w:ilvl="1" w:tplc="E318AF92">
      <w:start w:val="1"/>
      <w:numFmt w:val="lowerRoman"/>
      <w:lvlText w:val="(%2)"/>
      <w:lvlJc w:val="righ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6" w15:restartNumberingAfterBreak="0">
    <w:nsid w:val="0FD16E90"/>
    <w:multiLevelType w:val="hybridMultilevel"/>
    <w:tmpl w:val="C18802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20611AE"/>
    <w:multiLevelType w:val="hybridMultilevel"/>
    <w:tmpl w:val="092081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690B17"/>
    <w:multiLevelType w:val="hybridMultilevel"/>
    <w:tmpl w:val="9B6AA618"/>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145E7F2D"/>
    <w:multiLevelType w:val="hybridMultilevel"/>
    <w:tmpl w:val="68D654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937EE6"/>
    <w:multiLevelType w:val="hybridMultilevel"/>
    <w:tmpl w:val="F0D825FA"/>
    <w:lvl w:ilvl="0" w:tplc="D0E2028C">
      <w:start w:val="1"/>
      <w:numFmt w:val="bullet"/>
      <w:pStyle w:val="Bullets"/>
      <w:lvlText w:val=""/>
      <w:lvlJc w:val="left"/>
      <w:pPr>
        <w:tabs>
          <w:tab w:val="num" w:pos="643"/>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617202"/>
    <w:multiLevelType w:val="hybridMultilevel"/>
    <w:tmpl w:val="F7200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9917D47"/>
    <w:multiLevelType w:val="hybridMultilevel"/>
    <w:tmpl w:val="D7BCEAC2"/>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A9218A2"/>
    <w:multiLevelType w:val="hybridMultilevel"/>
    <w:tmpl w:val="8C66AC38"/>
    <w:lvl w:ilvl="0" w:tplc="9B8A9D7E">
      <w:start w:val="1"/>
      <w:numFmt w:val="lowerLetter"/>
      <w:lvlText w:val="(%1)"/>
      <w:lvlJc w:val="left"/>
      <w:pPr>
        <w:ind w:left="1689" w:hanging="555"/>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4" w15:restartNumberingAfterBreak="0">
    <w:nsid w:val="1B985435"/>
    <w:multiLevelType w:val="hybridMultilevel"/>
    <w:tmpl w:val="6D90C968"/>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25" w15:restartNumberingAfterBreak="0">
    <w:nsid w:val="1CB74A35"/>
    <w:multiLevelType w:val="hybridMultilevel"/>
    <w:tmpl w:val="2F204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F897079"/>
    <w:multiLevelType w:val="hybridMultilevel"/>
    <w:tmpl w:val="6C66E59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20B73397"/>
    <w:multiLevelType w:val="hybridMultilevel"/>
    <w:tmpl w:val="E0D4C7E2"/>
    <w:lvl w:ilvl="0" w:tplc="AE7E9674">
      <w:start w:val="1"/>
      <w:numFmt w:val="bullet"/>
      <w:lvlText w:val="-"/>
      <w:lvlJc w:val="left"/>
      <w:pPr>
        <w:ind w:left="360" w:hanging="360"/>
      </w:pPr>
      <w:rPr>
        <w:rFonts w:ascii="Courier New" w:hAnsi="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20FE6231"/>
    <w:multiLevelType w:val="hybridMultilevel"/>
    <w:tmpl w:val="1772B664"/>
    <w:lvl w:ilvl="0" w:tplc="5C36DE2C">
      <w:start w:val="1"/>
      <w:numFmt w:val="lowerLetter"/>
      <w:lvlText w:val="(%1)"/>
      <w:lvlJc w:val="left"/>
      <w:pPr>
        <w:ind w:left="927" w:hanging="360"/>
      </w:pPr>
      <w:rPr>
        <w:b w:val="0"/>
      </w:rPr>
    </w:lvl>
    <w:lvl w:ilvl="1" w:tplc="E318AF92">
      <w:start w:val="1"/>
      <w:numFmt w:val="lowerRoman"/>
      <w:lvlText w:val="(%2)"/>
      <w:lvlJc w:val="righ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9" w15:restartNumberingAfterBreak="0">
    <w:nsid w:val="24EB0E98"/>
    <w:multiLevelType w:val="hybridMultilevel"/>
    <w:tmpl w:val="0D0038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5FE4560"/>
    <w:multiLevelType w:val="multilevel"/>
    <w:tmpl w:val="C21C2CEA"/>
    <w:lvl w:ilvl="0">
      <w:start w:val="1"/>
      <w:numFmt w:val="decimal"/>
      <w:pStyle w:val="ListBullet5"/>
      <w:lvlText w:val="%1"/>
      <w:lvlJc w:val="left"/>
      <w:pPr>
        <w:tabs>
          <w:tab w:val="num" w:pos="255"/>
        </w:tabs>
        <w:ind w:left="0" w:firstLine="0"/>
      </w:pPr>
      <w:rPr>
        <w:rFonts w:ascii="Myriad Pro Cond" w:hAnsi="Myriad Pro Cond" w:cs="Myriad Pro Cond" w:hint="default"/>
        <w:spacing w:val="0"/>
        <w:w w:val="100"/>
        <w:kern w:val="16"/>
        <w:position w:val="0"/>
        <w:sz w:val="144"/>
        <w:szCs w:val="144"/>
      </w:rPr>
    </w:lvl>
    <w:lvl w:ilvl="1">
      <w:start w:val="1"/>
      <w:numFmt w:val="decimal"/>
      <w:lvlRestart w:val="0"/>
      <w:lvlText w:val="%1.%2"/>
      <w:lvlJc w:val="left"/>
      <w:pPr>
        <w:tabs>
          <w:tab w:val="num" w:pos="-339"/>
        </w:tabs>
        <w:ind w:left="5160" w:hanging="4196"/>
      </w:pPr>
      <w:rPr>
        <w:rFonts w:hint="default"/>
      </w:rPr>
    </w:lvl>
    <w:lvl w:ilvl="2">
      <w:start w:val="1"/>
      <w:numFmt w:val="decimal"/>
      <w:lvlRestart w:val="0"/>
      <w:lvlText w:val="%1.%2.%3"/>
      <w:lvlJc w:val="left"/>
      <w:pPr>
        <w:tabs>
          <w:tab w:val="num" w:pos="-339"/>
        </w:tabs>
        <w:ind w:left="-339" w:hanging="851"/>
      </w:pPr>
      <w:rPr>
        <w:rFonts w:hint="default"/>
      </w:rPr>
    </w:lvl>
    <w:lvl w:ilvl="3">
      <w:start w:val="1"/>
      <w:numFmt w:val="decimal"/>
      <w:lvlText w:val="%1.%2.%3.%4"/>
      <w:lvlJc w:val="left"/>
      <w:pPr>
        <w:tabs>
          <w:tab w:val="num" w:pos="331"/>
        </w:tabs>
        <w:ind w:left="330" w:hanging="850"/>
      </w:pPr>
      <w:rPr>
        <w:rFonts w:hint="default"/>
      </w:rPr>
    </w:lvl>
    <w:lvl w:ilvl="4">
      <w:start w:val="1"/>
      <w:numFmt w:val="decimal"/>
      <w:lvlText w:val="%1.%2.%3.%4.%5"/>
      <w:lvlJc w:val="left"/>
      <w:pPr>
        <w:tabs>
          <w:tab w:val="num" w:pos="488"/>
        </w:tabs>
        <w:ind w:left="488" w:hanging="1008"/>
      </w:pPr>
      <w:rPr>
        <w:rFonts w:hint="default"/>
      </w:rPr>
    </w:lvl>
    <w:lvl w:ilvl="5">
      <w:start w:val="1"/>
      <w:numFmt w:val="decimal"/>
      <w:lvlText w:val="%1.%2.%3.%4.%5.%6"/>
      <w:lvlJc w:val="left"/>
      <w:pPr>
        <w:tabs>
          <w:tab w:val="num" w:pos="632"/>
        </w:tabs>
        <w:ind w:left="632" w:hanging="1152"/>
      </w:pPr>
      <w:rPr>
        <w:rFonts w:hint="default"/>
      </w:rPr>
    </w:lvl>
    <w:lvl w:ilvl="6">
      <w:start w:val="1"/>
      <w:numFmt w:val="decimal"/>
      <w:lvlText w:val="%1.%2.%3.%4.%5.%6.%7"/>
      <w:lvlJc w:val="left"/>
      <w:pPr>
        <w:tabs>
          <w:tab w:val="num" w:pos="776"/>
        </w:tabs>
        <w:ind w:left="776" w:hanging="1296"/>
      </w:pPr>
      <w:rPr>
        <w:rFonts w:hint="default"/>
      </w:rPr>
    </w:lvl>
    <w:lvl w:ilvl="7">
      <w:start w:val="1"/>
      <w:numFmt w:val="decimal"/>
      <w:lvlText w:val="%1.%2.%3.%4.%5.%6.%7.%8"/>
      <w:lvlJc w:val="left"/>
      <w:pPr>
        <w:tabs>
          <w:tab w:val="num" w:pos="920"/>
        </w:tabs>
        <w:ind w:left="920" w:hanging="1440"/>
      </w:pPr>
      <w:rPr>
        <w:rFonts w:hint="default"/>
      </w:rPr>
    </w:lvl>
    <w:lvl w:ilvl="8">
      <w:start w:val="1"/>
      <w:numFmt w:val="decimal"/>
      <w:lvlText w:val="%1.%2.%3.%4.%5.%6.%7.%8.%9"/>
      <w:lvlJc w:val="left"/>
      <w:pPr>
        <w:tabs>
          <w:tab w:val="num" w:pos="1064"/>
        </w:tabs>
        <w:ind w:left="1064" w:hanging="1584"/>
      </w:pPr>
      <w:rPr>
        <w:rFonts w:hint="default"/>
      </w:rPr>
    </w:lvl>
  </w:abstractNum>
  <w:abstractNum w:abstractNumId="31" w15:restartNumberingAfterBreak="0">
    <w:nsid w:val="26F779B0"/>
    <w:multiLevelType w:val="hybridMultilevel"/>
    <w:tmpl w:val="49C46A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8CA1A98"/>
    <w:multiLevelType w:val="hybridMultilevel"/>
    <w:tmpl w:val="1A3E2E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2EC461A6">
      <w:numFmt w:val="bullet"/>
      <w:lvlText w:val="•"/>
      <w:lvlJc w:val="left"/>
      <w:pPr>
        <w:ind w:left="2160" w:hanging="360"/>
      </w:pPr>
      <w:rPr>
        <w:rFonts w:ascii="Arial" w:eastAsia="Times New Roman" w:hAnsi="Arial" w:cs="Aria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936474D"/>
    <w:multiLevelType w:val="hybridMultilevel"/>
    <w:tmpl w:val="555048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C130755"/>
    <w:multiLevelType w:val="hybridMultilevel"/>
    <w:tmpl w:val="E056FA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DD73A97"/>
    <w:multiLevelType w:val="hybridMultilevel"/>
    <w:tmpl w:val="0B56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ED027CD"/>
    <w:multiLevelType w:val="hybridMultilevel"/>
    <w:tmpl w:val="6408EBAC"/>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0D35ADF"/>
    <w:multiLevelType w:val="hybridMultilevel"/>
    <w:tmpl w:val="DFA41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1C5144B"/>
    <w:multiLevelType w:val="hybridMultilevel"/>
    <w:tmpl w:val="9B6AA618"/>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39" w15:restartNumberingAfterBreak="0">
    <w:nsid w:val="346C573E"/>
    <w:multiLevelType w:val="hybridMultilevel"/>
    <w:tmpl w:val="46C8DEC4"/>
    <w:lvl w:ilvl="0" w:tplc="041A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4902C18"/>
    <w:multiLevelType w:val="hybridMultilevel"/>
    <w:tmpl w:val="82D4984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34C06422"/>
    <w:multiLevelType w:val="hybridMultilevel"/>
    <w:tmpl w:val="841E007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34CF3748"/>
    <w:multiLevelType w:val="hybridMultilevel"/>
    <w:tmpl w:val="E7A2B10A"/>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5094CFD"/>
    <w:multiLevelType w:val="hybridMultilevel"/>
    <w:tmpl w:val="8E468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52463A1"/>
    <w:multiLevelType w:val="hybridMultilevel"/>
    <w:tmpl w:val="EBD26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7197112"/>
    <w:multiLevelType w:val="hybridMultilevel"/>
    <w:tmpl w:val="44BE8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7BA0B43"/>
    <w:multiLevelType w:val="hybridMultilevel"/>
    <w:tmpl w:val="937688DC"/>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7D34E4E"/>
    <w:multiLevelType w:val="hybridMultilevel"/>
    <w:tmpl w:val="5EFC78D0"/>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48" w15:restartNumberingAfterBreak="0">
    <w:nsid w:val="39E665AB"/>
    <w:multiLevelType w:val="hybridMultilevel"/>
    <w:tmpl w:val="9B6AA618"/>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9" w15:restartNumberingAfterBreak="0">
    <w:nsid w:val="3A9F352A"/>
    <w:multiLevelType w:val="hybridMultilevel"/>
    <w:tmpl w:val="D45C89F8"/>
    <w:lvl w:ilvl="0" w:tplc="AC586186">
      <w:numFmt w:val="bullet"/>
      <w:lvlText w:val="-"/>
      <w:lvlJc w:val="left"/>
      <w:pPr>
        <w:ind w:left="1080" w:hanging="360"/>
      </w:pPr>
      <w:rPr>
        <w:rFonts w:ascii="Calibri" w:eastAsia="Calibri"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50" w15:restartNumberingAfterBreak="0">
    <w:nsid w:val="3B6F3FC8"/>
    <w:multiLevelType w:val="hybridMultilevel"/>
    <w:tmpl w:val="46407E10"/>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C2E02EF"/>
    <w:multiLevelType w:val="hybridMultilevel"/>
    <w:tmpl w:val="8C005BB8"/>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DAB0D68"/>
    <w:multiLevelType w:val="hybridMultilevel"/>
    <w:tmpl w:val="E1E80C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DEC4287"/>
    <w:multiLevelType w:val="hybridMultilevel"/>
    <w:tmpl w:val="4F18C0AC"/>
    <w:lvl w:ilvl="0" w:tplc="EE027F7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E0B7F9E"/>
    <w:multiLevelType w:val="hybridMultilevel"/>
    <w:tmpl w:val="501A70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E3778E1"/>
    <w:multiLevelType w:val="hybridMultilevel"/>
    <w:tmpl w:val="47E20F92"/>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56" w15:restartNumberingAfterBreak="0">
    <w:nsid w:val="41F21E56"/>
    <w:multiLevelType w:val="hybridMultilevel"/>
    <w:tmpl w:val="F112D8EE"/>
    <w:name w:val="Headings"/>
    <w:lvl w:ilvl="0" w:tplc="FFFFFFFF">
      <w:start w:val="2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2463D7C"/>
    <w:multiLevelType w:val="hybridMultilevel"/>
    <w:tmpl w:val="EDD6F3A6"/>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28D5918"/>
    <w:multiLevelType w:val="hybridMultilevel"/>
    <w:tmpl w:val="8722A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3FD0483"/>
    <w:multiLevelType w:val="hybridMultilevel"/>
    <w:tmpl w:val="720A53C8"/>
    <w:lvl w:ilvl="0" w:tplc="041A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4082949"/>
    <w:multiLevelType w:val="hybridMultilevel"/>
    <w:tmpl w:val="04C8E520"/>
    <w:lvl w:ilvl="0" w:tplc="AFB43CF2">
      <w:start w:val="1"/>
      <w:numFmt w:val="bullet"/>
      <w:lvlText w:val="-"/>
      <w:lvlJc w:val="left"/>
      <w:pPr>
        <w:tabs>
          <w:tab w:val="num" w:pos="720"/>
        </w:tabs>
        <w:ind w:left="720" w:hanging="360"/>
      </w:pPr>
      <w:rPr>
        <w:rFonts w:ascii="Times New Roman" w:hAnsi="Times New Roman" w:hint="default"/>
      </w:rPr>
    </w:lvl>
    <w:lvl w:ilvl="1" w:tplc="689CB1EE" w:tentative="1">
      <w:start w:val="1"/>
      <w:numFmt w:val="bullet"/>
      <w:lvlText w:val="-"/>
      <w:lvlJc w:val="left"/>
      <w:pPr>
        <w:tabs>
          <w:tab w:val="num" w:pos="1440"/>
        </w:tabs>
        <w:ind w:left="1440" w:hanging="360"/>
      </w:pPr>
      <w:rPr>
        <w:rFonts w:ascii="Times New Roman" w:hAnsi="Times New Roman" w:hint="default"/>
      </w:rPr>
    </w:lvl>
    <w:lvl w:ilvl="2" w:tplc="868AFB1A" w:tentative="1">
      <w:start w:val="1"/>
      <w:numFmt w:val="bullet"/>
      <w:lvlText w:val="-"/>
      <w:lvlJc w:val="left"/>
      <w:pPr>
        <w:tabs>
          <w:tab w:val="num" w:pos="2160"/>
        </w:tabs>
        <w:ind w:left="2160" w:hanging="360"/>
      </w:pPr>
      <w:rPr>
        <w:rFonts w:ascii="Times New Roman" w:hAnsi="Times New Roman" w:hint="default"/>
      </w:rPr>
    </w:lvl>
    <w:lvl w:ilvl="3" w:tplc="D22ED9EA" w:tentative="1">
      <w:start w:val="1"/>
      <w:numFmt w:val="bullet"/>
      <w:lvlText w:val="-"/>
      <w:lvlJc w:val="left"/>
      <w:pPr>
        <w:tabs>
          <w:tab w:val="num" w:pos="2880"/>
        </w:tabs>
        <w:ind w:left="2880" w:hanging="360"/>
      </w:pPr>
      <w:rPr>
        <w:rFonts w:ascii="Times New Roman" w:hAnsi="Times New Roman" w:hint="default"/>
      </w:rPr>
    </w:lvl>
    <w:lvl w:ilvl="4" w:tplc="96CEFF04" w:tentative="1">
      <w:start w:val="1"/>
      <w:numFmt w:val="bullet"/>
      <w:lvlText w:val="-"/>
      <w:lvlJc w:val="left"/>
      <w:pPr>
        <w:tabs>
          <w:tab w:val="num" w:pos="3600"/>
        </w:tabs>
        <w:ind w:left="3600" w:hanging="360"/>
      </w:pPr>
      <w:rPr>
        <w:rFonts w:ascii="Times New Roman" w:hAnsi="Times New Roman" w:hint="default"/>
      </w:rPr>
    </w:lvl>
    <w:lvl w:ilvl="5" w:tplc="E982CAC0" w:tentative="1">
      <w:start w:val="1"/>
      <w:numFmt w:val="bullet"/>
      <w:lvlText w:val="-"/>
      <w:lvlJc w:val="left"/>
      <w:pPr>
        <w:tabs>
          <w:tab w:val="num" w:pos="4320"/>
        </w:tabs>
        <w:ind w:left="4320" w:hanging="360"/>
      </w:pPr>
      <w:rPr>
        <w:rFonts w:ascii="Times New Roman" w:hAnsi="Times New Roman" w:hint="default"/>
      </w:rPr>
    </w:lvl>
    <w:lvl w:ilvl="6" w:tplc="D9B8146E" w:tentative="1">
      <w:start w:val="1"/>
      <w:numFmt w:val="bullet"/>
      <w:lvlText w:val="-"/>
      <w:lvlJc w:val="left"/>
      <w:pPr>
        <w:tabs>
          <w:tab w:val="num" w:pos="5040"/>
        </w:tabs>
        <w:ind w:left="5040" w:hanging="360"/>
      </w:pPr>
      <w:rPr>
        <w:rFonts w:ascii="Times New Roman" w:hAnsi="Times New Roman" w:hint="default"/>
      </w:rPr>
    </w:lvl>
    <w:lvl w:ilvl="7" w:tplc="0C72BDC0" w:tentative="1">
      <w:start w:val="1"/>
      <w:numFmt w:val="bullet"/>
      <w:lvlText w:val="-"/>
      <w:lvlJc w:val="left"/>
      <w:pPr>
        <w:tabs>
          <w:tab w:val="num" w:pos="5760"/>
        </w:tabs>
        <w:ind w:left="5760" w:hanging="360"/>
      </w:pPr>
      <w:rPr>
        <w:rFonts w:ascii="Times New Roman" w:hAnsi="Times New Roman" w:hint="default"/>
      </w:rPr>
    </w:lvl>
    <w:lvl w:ilvl="8" w:tplc="225C91A8"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444126B4"/>
    <w:multiLevelType w:val="multilevel"/>
    <w:tmpl w:val="0A106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7A7504"/>
    <w:multiLevelType w:val="hybridMultilevel"/>
    <w:tmpl w:val="EA9051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7357414"/>
    <w:multiLevelType w:val="hybridMultilevel"/>
    <w:tmpl w:val="E5C69E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76D6472"/>
    <w:multiLevelType w:val="multilevel"/>
    <w:tmpl w:val="35AE9C34"/>
    <w:lvl w:ilvl="0">
      <w:start w:val="1"/>
      <w:numFmt w:val="decimal"/>
      <w:pStyle w:val="Heading1"/>
      <w:lvlText w:val="%1."/>
      <w:lvlJc w:val="left"/>
      <w:pPr>
        <w:ind w:left="432" w:hanging="432"/>
      </w:pPr>
      <w:rPr>
        <w:rFonts w:hint="default"/>
        <w:color w:val="C00000"/>
      </w:rPr>
    </w:lvl>
    <w:lvl w:ilvl="1">
      <w:start w:val="1"/>
      <w:numFmt w:val="decimal"/>
      <w:pStyle w:val="Heading2"/>
      <w:lvlText w:val="%1.%2."/>
      <w:lvlJc w:val="left"/>
      <w:pPr>
        <w:ind w:left="576" w:hanging="576"/>
      </w:pPr>
      <w:rPr>
        <w:rFonts w:hint="default"/>
        <w:strike w:val="0"/>
      </w:rPr>
    </w:lvl>
    <w:lvl w:ilvl="2">
      <w:start w:val="1"/>
      <w:numFmt w:val="decimal"/>
      <w:pStyle w:val="Heading3"/>
      <w:lvlText w:val="%1.%2.%3."/>
      <w:lvlJc w:val="left"/>
      <w:pPr>
        <w:ind w:left="341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6" w15:restartNumberingAfterBreak="0">
    <w:nsid w:val="479C7946"/>
    <w:multiLevelType w:val="hybridMultilevel"/>
    <w:tmpl w:val="642430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9255494"/>
    <w:multiLevelType w:val="hybridMultilevel"/>
    <w:tmpl w:val="EE1093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9C84106"/>
    <w:multiLevelType w:val="hybridMultilevel"/>
    <w:tmpl w:val="7FEC1E38"/>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B4F5760"/>
    <w:multiLevelType w:val="hybridMultilevel"/>
    <w:tmpl w:val="94646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4B606AEC"/>
    <w:multiLevelType w:val="hybridMultilevel"/>
    <w:tmpl w:val="5726E862"/>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BE44041"/>
    <w:multiLevelType w:val="hybridMultilevel"/>
    <w:tmpl w:val="9594C65E"/>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DAE5F27"/>
    <w:multiLevelType w:val="hybridMultilevel"/>
    <w:tmpl w:val="710413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E9A30C0"/>
    <w:multiLevelType w:val="hybridMultilevel"/>
    <w:tmpl w:val="DAD6F2CC"/>
    <w:lvl w:ilvl="0" w:tplc="AE7E9674">
      <w:start w:val="1"/>
      <w:numFmt w:val="bullet"/>
      <w:lvlText w:val="-"/>
      <w:lvlJc w:val="left"/>
      <w:pPr>
        <w:ind w:left="801" w:hanging="360"/>
      </w:pPr>
      <w:rPr>
        <w:rFonts w:ascii="Courier New" w:hAnsi="Courier New" w:cs="Times New Roman" w:hint="default"/>
      </w:rPr>
    </w:lvl>
    <w:lvl w:ilvl="1" w:tplc="041A0003">
      <w:start w:val="1"/>
      <w:numFmt w:val="bullet"/>
      <w:lvlText w:val="o"/>
      <w:lvlJc w:val="left"/>
      <w:pPr>
        <w:ind w:left="1521" w:hanging="360"/>
      </w:pPr>
      <w:rPr>
        <w:rFonts w:ascii="Courier New" w:hAnsi="Courier New" w:cs="Courier New" w:hint="default"/>
      </w:rPr>
    </w:lvl>
    <w:lvl w:ilvl="2" w:tplc="041A0005">
      <w:start w:val="1"/>
      <w:numFmt w:val="bullet"/>
      <w:lvlText w:val=""/>
      <w:lvlJc w:val="left"/>
      <w:pPr>
        <w:ind w:left="2241" w:hanging="360"/>
      </w:pPr>
      <w:rPr>
        <w:rFonts w:ascii="Wingdings" w:hAnsi="Wingdings" w:hint="default"/>
      </w:rPr>
    </w:lvl>
    <w:lvl w:ilvl="3" w:tplc="041A0001">
      <w:start w:val="1"/>
      <w:numFmt w:val="bullet"/>
      <w:lvlText w:val=""/>
      <w:lvlJc w:val="left"/>
      <w:pPr>
        <w:ind w:left="2961" w:hanging="360"/>
      </w:pPr>
      <w:rPr>
        <w:rFonts w:ascii="Symbol" w:hAnsi="Symbol" w:hint="default"/>
      </w:rPr>
    </w:lvl>
    <w:lvl w:ilvl="4" w:tplc="041A0003">
      <w:start w:val="1"/>
      <w:numFmt w:val="bullet"/>
      <w:lvlText w:val="o"/>
      <w:lvlJc w:val="left"/>
      <w:pPr>
        <w:ind w:left="3681" w:hanging="360"/>
      </w:pPr>
      <w:rPr>
        <w:rFonts w:ascii="Courier New" w:hAnsi="Courier New" w:cs="Courier New" w:hint="default"/>
      </w:rPr>
    </w:lvl>
    <w:lvl w:ilvl="5" w:tplc="041A0005">
      <w:start w:val="1"/>
      <w:numFmt w:val="bullet"/>
      <w:lvlText w:val=""/>
      <w:lvlJc w:val="left"/>
      <w:pPr>
        <w:ind w:left="4401" w:hanging="360"/>
      </w:pPr>
      <w:rPr>
        <w:rFonts w:ascii="Wingdings" w:hAnsi="Wingdings" w:hint="default"/>
      </w:rPr>
    </w:lvl>
    <w:lvl w:ilvl="6" w:tplc="041A0001">
      <w:start w:val="1"/>
      <w:numFmt w:val="bullet"/>
      <w:lvlText w:val=""/>
      <w:lvlJc w:val="left"/>
      <w:pPr>
        <w:ind w:left="5121" w:hanging="360"/>
      </w:pPr>
      <w:rPr>
        <w:rFonts w:ascii="Symbol" w:hAnsi="Symbol" w:hint="default"/>
      </w:rPr>
    </w:lvl>
    <w:lvl w:ilvl="7" w:tplc="041A0003">
      <w:start w:val="1"/>
      <w:numFmt w:val="bullet"/>
      <w:lvlText w:val="o"/>
      <w:lvlJc w:val="left"/>
      <w:pPr>
        <w:ind w:left="5841" w:hanging="360"/>
      </w:pPr>
      <w:rPr>
        <w:rFonts w:ascii="Courier New" w:hAnsi="Courier New" w:cs="Courier New" w:hint="default"/>
      </w:rPr>
    </w:lvl>
    <w:lvl w:ilvl="8" w:tplc="041A0005">
      <w:start w:val="1"/>
      <w:numFmt w:val="bullet"/>
      <w:lvlText w:val=""/>
      <w:lvlJc w:val="left"/>
      <w:pPr>
        <w:ind w:left="6561" w:hanging="360"/>
      </w:pPr>
      <w:rPr>
        <w:rFonts w:ascii="Wingdings" w:hAnsi="Wingdings" w:hint="default"/>
      </w:rPr>
    </w:lvl>
  </w:abstractNum>
  <w:abstractNum w:abstractNumId="74" w15:restartNumberingAfterBreak="0">
    <w:nsid w:val="4E9E4EF0"/>
    <w:multiLevelType w:val="hybridMultilevel"/>
    <w:tmpl w:val="28107944"/>
    <w:lvl w:ilvl="0" w:tplc="C9D47DD8">
      <w:start w:val="1"/>
      <w:numFmt w:val="decimal"/>
      <w:lvlText w:val="%1."/>
      <w:lvlJc w:val="left"/>
      <w:pPr>
        <w:tabs>
          <w:tab w:val="num" w:pos="720"/>
        </w:tabs>
        <w:ind w:left="720" w:hanging="360"/>
      </w:pPr>
    </w:lvl>
    <w:lvl w:ilvl="1" w:tplc="5AF85108" w:tentative="1">
      <w:start w:val="1"/>
      <w:numFmt w:val="decimal"/>
      <w:lvlText w:val="%2."/>
      <w:lvlJc w:val="left"/>
      <w:pPr>
        <w:tabs>
          <w:tab w:val="num" w:pos="1440"/>
        </w:tabs>
        <w:ind w:left="1440" w:hanging="360"/>
      </w:pPr>
    </w:lvl>
    <w:lvl w:ilvl="2" w:tplc="39C23266" w:tentative="1">
      <w:start w:val="1"/>
      <w:numFmt w:val="decimal"/>
      <w:lvlText w:val="%3."/>
      <w:lvlJc w:val="left"/>
      <w:pPr>
        <w:tabs>
          <w:tab w:val="num" w:pos="2160"/>
        </w:tabs>
        <w:ind w:left="2160" w:hanging="360"/>
      </w:pPr>
    </w:lvl>
    <w:lvl w:ilvl="3" w:tplc="F90AA65A" w:tentative="1">
      <w:start w:val="1"/>
      <w:numFmt w:val="decimal"/>
      <w:lvlText w:val="%4."/>
      <w:lvlJc w:val="left"/>
      <w:pPr>
        <w:tabs>
          <w:tab w:val="num" w:pos="2880"/>
        </w:tabs>
        <w:ind w:left="2880" w:hanging="360"/>
      </w:pPr>
    </w:lvl>
    <w:lvl w:ilvl="4" w:tplc="6C928DD0" w:tentative="1">
      <w:start w:val="1"/>
      <w:numFmt w:val="decimal"/>
      <w:lvlText w:val="%5."/>
      <w:lvlJc w:val="left"/>
      <w:pPr>
        <w:tabs>
          <w:tab w:val="num" w:pos="3600"/>
        </w:tabs>
        <w:ind w:left="3600" w:hanging="360"/>
      </w:pPr>
    </w:lvl>
    <w:lvl w:ilvl="5" w:tplc="CF6864A4" w:tentative="1">
      <w:start w:val="1"/>
      <w:numFmt w:val="decimal"/>
      <w:lvlText w:val="%6."/>
      <w:lvlJc w:val="left"/>
      <w:pPr>
        <w:tabs>
          <w:tab w:val="num" w:pos="4320"/>
        </w:tabs>
        <w:ind w:left="4320" w:hanging="360"/>
      </w:pPr>
    </w:lvl>
    <w:lvl w:ilvl="6" w:tplc="877E7102" w:tentative="1">
      <w:start w:val="1"/>
      <w:numFmt w:val="decimal"/>
      <w:lvlText w:val="%7."/>
      <w:lvlJc w:val="left"/>
      <w:pPr>
        <w:tabs>
          <w:tab w:val="num" w:pos="5040"/>
        </w:tabs>
        <w:ind w:left="5040" w:hanging="360"/>
      </w:pPr>
    </w:lvl>
    <w:lvl w:ilvl="7" w:tplc="DA987294" w:tentative="1">
      <w:start w:val="1"/>
      <w:numFmt w:val="decimal"/>
      <w:lvlText w:val="%8."/>
      <w:lvlJc w:val="left"/>
      <w:pPr>
        <w:tabs>
          <w:tab w:val="num" w:pos="5760"/>
        </w:tabs>
        <w:ind w:left="5760" w:hanging="360"/>
      </w:pPr>
    </w:lvl>
    <w:lvl w:ilvl="8" w:tplc="204ED630" w:tentative="1">
      <w:start w:val="1"/>
      <w:numFmt w:val="decimal"/>
      <w:lvlText w:val="%9."/>
      <w:lvlJc w:val="left"/>
      <w:pPr>
        <w:tabs>
          <w:tab w:val="num" w:pos="6480"/>
        </w:tabs>
        <w:ind w:left="6480" w:hanging="360"/>
      </w:pPr>
    </w:lvl>
  </w:abstractNum>
  <w:abstractNum w:abstractNumId="75" w15:restartNumberingAfterBreak="0">
    <w:nsid w:val="4FC328F8"/>
    <w:multiLevelType w:val="hybridMultilevel"/>
    <w:tmpl w:val="F2ECE078"/>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FED04D6"/>
    <w:multiLevelType w:val="hybridMultilevel"/>
    <w:tmpl w:val="823E1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0A8718D"/>
    <w:multiLevelType w:val="hybridMultilevel"/>
    <w:tmpl w:val="DD4E9470"/>
    <w:lvl w:ilvl="0" w:tplc="C3E6E57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518937E5"/>
    <w:multiLevelType w:val="hybridMultilevel"/>
    <w:tmpl w:val="0A7A5C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2CD392F"/>
    <w:multiLevelType w:val="hybridMultilevel"/>
    <w:tmpl w:val="F37215F4"/>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4B905A8"/>
    <w:multiLevelType w:val="hybridMultilevel"/>
    <w:tmpl w:val="4AE46112"/>
    <w:lvl w:ilvl="0" w:tplc="FA4A8922">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4CE37D7"/>
    <w:multiLevelType w:val="hybridMultilevel"/>
    <w:tmpl w:val="A9F84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4FC2071"/>
    <w:multiLevelType w:val="hybridMultilevel"/>
    <w:tmpl w:val="8116AD5C"/>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5851588"/>
    <w:multiLevelType w:val="hybridMultilevel"/>
    <w:tmpl w:val="9B6AA618"/>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84" w15:restartNumberingAfterBreak="0">
    <w:nsid w:val="57B73DBB"/>
    <w:multiLevelType w:val="hybridMultilevel"/>
    <w:tmpl w:val="F552DC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5" w15:restartNumberingAfterBreak="0">
    <w:nsid w:val="58FC7616"/>
    <w:multiLevelType w:val="hybridMultilevel"/>
    <w:tmpl w:val="D9F64D8E"/>
    <w:styleLink w:val="1ai"/>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59BE10BB"/>
    <w:multiLevelType w:val="hybridMultilevel"/>
    <w:tmpl w:val="71381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AF2318F"/>
    <w:multiLevelType w:val="hybridMultilevel"/>
    <w:tmpl w:val="0DD4BF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C5B51D7"/>
    <w:multiLevelType w:val="hybridMultilevel"/>
    <w:tmpl w:val="E4C63A8E"/>
    <w:lvl w:ilvl="0" w:tplc="14F8CCCA">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5EF81492"/>
    <w:multiLevelType w:val="hybridMultilevel"/>
    <w:tmpl w:val="9850B8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F7E2D46"/>
    <w:multiLevelType w:val="hybridMultilevel"/>
    <w:tmpl w:val="33C09C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0380F58"/>
    <w:multiLevelType w:val="hybridMultilevel"/>
    <w:tmpl w:val="9B6AA618"/>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92" w15:restartNumberingAfterBreak="0">
    <w:nsid w:val="63C11C41"/>
    <w:multiLevelType w:val="hybridMultilevel"/>
    <w:tmpl w:val="23502642"/>
    <w:lvl w:ilvl="0" w:tplc="5C36DE2C">
      <w:start w:val="1"/>
      <w:numFmt w:val="lowerLetter"/>
      <w:lvlText w:val="(%1)"/>
      <w:lvlJc w:val="left"/>
      <w:pPr>
        <w:ind w:left="927" w:hanging="360"/>
      </w:pPr>
      <w:rPr>
        <w:b w:val="0"/>
      </w:rPr>
    </w:lvl>
    <w:lvl w:ilvl="1" w:tplc="041A0019">
      <w:start w:val="1"/>
      <w:numFmt w:val="lowerLetter"/>
      <w:lvlText w:val="%2."/>
      <w:lvlJc w:val="left"/>
      <w:pPr>
        <w:ind w:left="1647" w:hanging="360"/>
      </w:pPr>
    </w:lvl>
    <w:lvl w:ilvl="2" w:tplc="3A4857E2">
      <w:start w:val="1"/>
      <w:numFmt w:val="decimal"/>
      <w:lvlText w:val="%3."/>
      <w:lvlJc w:val="left"/>
      <w:pPr>
        <w:ind w:left="2547" w:hanging="360"/>
      </w:pPr>
      <w:rPr>
        <w:rFonts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93" w15:restartNumberingAfterBreak="0">
    <w:nsid w:val="64B12422"/>
    <w:multiLevelType w:val="hybridMultilevel"/>
    <w:tmpl w:val="B2EECABA"/>
    <w:styleLink w:val="111111"/>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4" w15:restartNumberingAfterBreak="0">
    <w:nsid w:val="67CE0409"/>
    <w:multiLevelType w:val="hybridMultilevel"/>
    <w:tmpl w:val="F196A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90655B3"/>
    <w:multiLevelType w:val="hybridMultilevel"/>
    <w:tmpl w:val="B07E8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6B0C6816"/>
    <w:multiLevelType w:val="hybridMultilevel"/>
    <w:tmpl w:val="EDF686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6CC62E49"/>
    <w:multiLevelType w:val="hybridMultilevel"/>
    <w:tmpl w:val="E17AA3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6CFE0D62"/>
    <w:multiLevelType w:val="hybridMultilevel"/>
    <w:tmpl w:val="0AC0CD88"/>
    <w:styleLink w:val="StyleBulleted"/>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15:restartNumberingAfterBreak="0">
    <w:nsid w:val="6D4B1838"/>
    <w:multiLevelType w:val="hybridMultilevel"/>
    <w:tmpl w:val="88DA7F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DD0027F"/>
    <w:multiLevelType w:val="multilevel"/>
    <w:tmpl w:val="BC72E856"/>
    <w:lvl w:ilvl="0">
      <w:start w:val="2"/>
      <w:numFmt w:val="decimal"/>
      <w:lvlText w:val="%1."/>
      <w:lvlJc w:val="left"/>
      <w:pPr>
        <w:ind w:left="360" w:hanging="360"/>
      </w:pPr>
      <w:rPr>
        <w:rFonts w:ascii="Calibri Light" w:hAnsi="Calibri Light" w:cs="Calibri Light"/>
        <w:sz w:val="24"/>
      </w:rPr>
    </w:lvl>
    <w:lvl w:ilvl="1">
      <w:start w:val="1"/>
      <w:numFmt w:val="decimal"/>
      <w:lvlText w:val="%1.%2."/>
      <w:lvlJc w:val="left"/>
      <w:pPr>
        <w:ind w:left="360" w:hanging="360"/>
      </w:pPr>
      <w:rPr>
        <w:rFonts w:ascii="Calibri Light" w:hAnsi="Calibri Light" w:cs="Calibri Light"/>
        <w:sz w:val="24"/>
      </w:rPr>
    </w:lvl>
    <w:lvl w:ilvl="2">
      <w:start w:val="1"/>
      <w:numFmt w:val="decimal"/>
      <w:lvlText w:val="%1.%2.%3."/>
      <w:lvlJc w:val="left"/>
      <w:pPr>
        <w:ind w:left="720" w:hanging="720"/>
      </w:pPr>
      <w:rPr>
        <w:rFonts w:ascii="Calibri Light" w:hAnsi="Calibri Light" w:cs="Calibri Light"/>
        <w:sz w:val="24"/>
      </w:rPr>
    </w:lvl>
    <w:lvl w:ilvl="3">
      <w:start w:val="1"/>
      <w:numFmt w:val="decimal"/>
      <w:lvlText w:val="%1.%2.%3.%4."/>
      <w:lvlJc w:val="left"/>
      <w:pPr>
        <w:ind w:left="720" w:hanging="720"/>
      </w:pPr>
      <w:rPr>
        <w:rFonts w:ascii="Calibri Light" w:hAnsi="Calibri Light" w:cs="Calibri Light"/>
        <w:sz w:val="24"/>
      </w:rPr>
    </w:lvl>
    <w:lvl w:ilvl="4">
      <w:start w:val="1"/>
      <w:numFmt w:val="decimal"/>
      <w:lvlText w:val="%1.%2.%3.%4.%5."/>
      <w:lvlJc w:val="left"/>
      <w:pPr>
        <w:ind w:left="1080" w:hanging="1080"/>
      </w:pPr>
      <w:rPr>
        <w:rFonts w:ascii="Calibri Light" w:hAnsi="Calibri Light" w:cs="Calibri Light"/>
        <w:sz w:val="24"/>
      </w:rPr>
    </w:lvl>
    <w:lvl w:ilvl="5">
      <w:start w:val="1"/>
      <w:numFmt w:val="decimal"/>
      <w:lvlText w:val="%1.%2.%3.%4.%5.%6."/>
      <w:lvlJc w:val="left"/>
      <w:pPr>
        <w:ind w:left="1080" w:hanging="1080"/>
      </w:pPr>
      <w:rPr>
        <w:rFonts w:ascii="Calibri Light" w:hAnsi="Calibri Light" w:cs="Calibri Light"/>
        <w:sz w:val="24"/>
      </w:rPr>
    </w:lvl>
    <w:lvl w:ilvl="6">
      <w:start w:val="1"/>
      <w:numFmt w:val="decimal"/>
      <w:lvlText w:val="%1.%2.%3.%4.%5.%6.%7."/>
      <w:lvlJc w:val="left"/>
      <w:pPr>
        <w:ind w:left="1440" w:hanging="1440"/>
      </w:pPr>
      <w:rPr>
        <w:rFonts w:ascii="Calibri Light" w:hAnsi="Calibri Light" w:cs="Calibri Light"/>
        <w:sz w:val="24"/>
      </w:rPr>
    </w:lvl>
    <w:lvl w:ilvl="7">
      <w:start w:val="1"/>
      <w:numFmt w:val="decimal"/>
      <w:lvlText w:val="%1.%2.%3.%4.%5.%6.%7.%8."/>
      <w:lvlJc w:val="left"/>
      <w:pPr>
        <w:ind w:left="1440" w:hanging="1440"/>
      </w:pPr>
      <w:rPr>
        <w:rFonts w:ascii="Calibri Light" w:hAnsi="Calibri Light" w:cs="Calibri Light"/>
        <w:sz w:val="24"/>
      </w:rPr>
    </w:lvl>
    <w:lvl w:ilvl="8">
      <w:start w:val="1"/>
      <w:numFmt w:val="decimal"/>
      <w:lvlText w:val="%1.%2.%3.%4.%5.%6.%7.%8.%9."/>
      <w:lvlJc w:val="left"/>
      <w:pPr>
        <w:ind w:left="1800" w:hanging="1800"/>
      </w:pPr>
      <w:rPr>
        <w:rFonts w:ascii="Calibri Light" w:hAnsi="Calibri Light" w:cs="Calibri Light"/>
        <w:sz w:val="24"/>
      </w:rPr>
    </w:lvl>
  </w:abstractNum>
  <w:abstractNum w:abstractNumId="101" w15:restartNumberingAfterBreak="0">
    <w:nsid w:val="6EF87811"/>
    <w:multiLevelType w:val="hybridMultilevel"/>
    <w:tmpl w:val="0CFEE5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0FD670F"/>
    <w:multiLevelType w:val="hybridMultilevel"/>
    <w:tmpl w:val="CB56270C"/>
    <w:lvl w:ilvl="0" w:tplc="556C8C4E">
      <w:start w:val="1"/>
      <w:numFmt w:val="decimal"/>
      <w:lvlText w:val="%1."/>
      <w:lvlJc w:val="left"/>
      <w:pPr>
        <w:tabs>
          <w:tab w:val="num" w:pos="720"/>
        </w:tabs>
        <w:ind w:left="720" w:hanging="360"/>
      </w:pPr>
    </w:lvl>
    <w:lvl w:ilvl="1" w:tplc="EE606DBE" w:tentative="1">
      <w:start w:val="1"/>
      <w:numFmt w:val="decimal"/>
      <w:lvlText w:val="%2."/>
      <w:lvlJc w:val="left"/>
      <w:pPr>
        <w:tabs>
          <w:tab w:val="num" w:pos="1440"/>
        </w:tabs>
        <w:ind w:left="1440" w:hanging="360"/>
      </w:pPr>
    </w:lvl>
    <w:lvl w:ilvl="2" w:tplc="A6BC2642" w:tentative="1">
      <w:start w:val="1"/>
      <w:numFmt w:val="decimal"/>
      <w:lvlText w:val="%3."/>
      <w:lvlJc w:val="left"/>
      <w:pPr>
        <w:tabs>
          <w:tab w:val="num" w:pos="2160"/>
        </w:tabs>
        <w:ind w:left="2160" w:hanging="360"/>
      </w:pPr>
    </w:lvl>
    <w:lvl w:ilvl="3" w:tplc="1A94E800" w:tentative="1">
      <w:start w:val="1"/>
      <w:numFmt w:val="decimal"/>
      <w:lvlText w:val="%4."/>
      <w:lvlJc w:val="left"/>
      <w:pPr>
        <w:tabs>
          <w:tab w:val="num" w:pos="2880"/>
        </w:tabs>
        <w:ind w:left="2880" w:hanging="360"/>
      </w:pPr>
    </w:lvl>
    <w:lvl w:ilvl="4" w:tplc="FA7635F2" w:tentative="1">
      <w:start w:val="1"/>
      <w:numFmt w:val="decimal"/>
      <w:lvlText w:val="%5."/>
      <w:lvlJc w:val="left"/>
      <w:pPr>
        <w:tabs>
          <w:tab w:val="num" w:pos="3600"/>
        </w:tabs>
        <w:ind w:left="3600" w:hanging="360"/>
      </w:pPr>
    </w:lvl>
    <w:lvl w:ilvl="5" w:tplc="D6E2160C" w:tentative="1">
      <w:start w:val="1"/>
      <w:numFmt w:val="decimal"/>
      <w:lvlText w:val="%6."/>
      <w:lvlJc w:val="left"/>
      <w:pPr>
        <w:tabs>
          <w:tab w:val="num" w:pos="4320"/>
        </w:tabs>
        <w:ind w:left="4320" w:hanging="360"/>
      </w:pPr>
    </w:lvl>
    <w:lvl w:ilvl="6" w:tplc="23DADD40" w:tentative="1">
      <w:start w:val="1"/>
      <w:numFmt w:val="decimal"/>
      <w:lvlText w:val="%7."/>
      <w:lvlJc w:val="left"/>
      <w:pPr>
        <w:tabs>
          <w:tab w:val="num" w:pos="5040"/>
        </w:tabs>
        <w:ind w:left="5040" w:hanging="360"/>
      </w:pPr>
    </w:lvl>
    <w:lvl w:ilvl="7" w:tplc="A0A8CF3A" w:tentative="1">
      <w:start w:val="1"/>
      <w:numFmt w:val="decimal"/>
      <w:lvlText w:val="%8."/>
      <w:lvlJc w:val="left"/>
      <w:pPr>
        <w:tabs>
          <w:tab w:val="num" w:pos="5760"/>
        </w:tabs>
        <w:ind w:left="5760" w:hanging="360"/>
      </w:pPr>
    </w:lvl>
    <w:lvl w:ilvl="8" w:tplc="5BDC7204" w:tentative="1">
      <w:start w:val="1"/>
      <w:numFmt w:val="decimal"/>
      <w:lvlText w:val="%9."/>
      <w:lvlJc w:val="left"/>
      <w:pPr>
        <w:tabs>
          <w:tab w:val="num" w:pos="6480"/>
        </w:tabs>
        <w:ind w:left="6480" w:hanging="360"/>
      </w:pPr>
    </w:lvl>
  </w:abstractNum>
  <w:abstractNum w:abstractNumId="103" w15:restartNumberingAfterBreak="0">
    <w:nsid w:val="71301BBB"/>
    <w:multiLevelType w:val="hybridMultilevel"/>
    <w:tmpl w:val="0F64E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2296BD0"/>
    <w:multiLevelType w:val="hybridMultilevel"/>
    <w:tmpl w:val="4A7CDEA2"/>
    <w:lvl w:ilvl="0" w:tplc="AE7E9674">
      <w:start w:val="1"/>
      <w:numFmt w:val="bullet"/>
      <w:lvlText w:val="-"/>
      <w:lvlJc w:val="left"/>
      <w:pPr>
        <w:ind w:left="720" w:hanging="360"/>
      </w:pPr>
      <w:rPr>
        <w:rFonts w:ascii="Courier New" w:hAnsi="Courier New" w:hint="default"/>
      </w:rPr>
    </w:lvl>
    <w:lvl w:ilvl="1" w:tplc="6A187BA2">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722D76A0"/>
    <w:multiLevelType w:val="hybridMultilevel"/>
    <w:tmpl w:val="4B4E69AE"/>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32E0A4A"/>
    <w:multiLevelType w:val="hybridMultilevel"/>
    <w:tmpl w:val="E15C13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3AB3267"/>
    <w:multiLevelType w:val="hybridMultilevel"/>
    <w:tmpl w:val="8FD4445A"/>
    <w:lvl w:ilvl="0" w:tplc="041A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74204F93"/>
    <w:multiLevelType w:val="hybridMultilevel"/>
    <w:tmpl w:val="F802FC80"/>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109" w15:restartNumberingAfterBreak="0">
    <w:nsid w:val="747F0182"/>
    <w:multiLevelType w:val="hybridMultilevel"/>
    <w:tmpl w:val="21E49ACE"/>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110" w15:restartNumberingAfterBreak="0">
    <w:nsid w:val="76846DCE"/>
    <w:multiLevelType w:val="hybridMultilevel"/>
    <w:tmpl w:val="1FD6AC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779607D2"/>
    <w:multiLevelType w:val="hybridMultilevel"/>
    <w:tmpl w:val="82EE7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95E4D85"/>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AB36FF0"/>
    <w:multiLevelType w:val="hybridMultilevel"/>
    <w:tmpl w:val="13E460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B0427AE"/>
    <w:multiLevelType w:val="hybridMultilevel"/>
    <w:tmpl w:val="6E9CBEAC"/>
    <w:lvl w:ilvl="0" w:tplc="FB082FB4">
      <w:start w:val="1"/>
      <w:numFmt w:val="decimal"/>
      <w:lvlText w:val="%1."/>
      <w:lvlJc w:val="left"/>
      <w:pPr>
        <w:ind w:left="570" w:hanging="5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7B427845"/>
    <w:multiLevelType w:val="hybridMultilevel"/>
    <w:tmpl w:val="961633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B622BB9"/>
    <w:multiLevelType w:val="hybridMultilevel"/>
    <w:tmpl w:val="0874A9CC"/>
    <w:lvl w:ilvl="0" w:tplc="766C91B8">
      <w:start w:val="1"/>
      <w:numFmt w:val="bullet"/>
      <w:lvlText w:val="-"/>
      <w:lvlJc w:val="left"/>
      <w:pPr>
        <w:tabs>
          <w:tab w:val="num" w:pos="720"/>
        </w:tabs>
        <w:ind w:left="720" w:hanging="360"/>
      </w:pPr>
      <w:rPr>
        <w:rFonts w:ascii="Times New Roman" w:hAnsi="Times New Roman" w:hint="default"/>
      </w:rPr>
    </w:lvl>
    <w:lvl w:ilvl="1" w:tplc="D97893B0" w:tentative="1">
      <w:start w:val="1"/>
      <w:numFmt w:val="bullet"/>
      <w:lvlText w:val="-"/>
      <w:lvlJc w:val="left"/>
      <w:pPr>
        <w:tabs>
          <w:tab w:val="num" w:pos="1440"/>
        </w:tabs>
        <w:ind w:left="1440" w:hanging="360"/>
      </w:pPr>
      <w:rPr>
        <w:rFonts w:ascii="Times New Roman" w:hAnsi="Times New Roman" w:hint="default"/>
      </w:rPr>
    </w:lvl>
    <w:lvl w:ilvl="2" w:tplc="6F1878E8" w:tentative="1">
      <w:start w:val="1"/>
      <w:numFmt w:val="bullet"/>
      <w:lvlText w:val="-"/>
      <w:lvlJc w:val="left"/>
      <w:pPr>
        <w:tabs>
          <w:tab w:val="num" w:pos="2160"/>
        </w:tabs>
        <w:ind w:left="2160" w:hanging="360"/>
      </w:pPr>
      <w:rPr>
        <w:rFonts w:ascii="Times New Roman" w:hAnsi="Times New Roman" w:hint="default"/>
      </w:rPr>
    </w:lvl>
    <w:lvl w:ilvl="3" w:tplc="D372473E" w:tentative="1">
      <w:start w:val="1"/>
      <w:numFmt w:val="bullet"/>
      <w:lvlText w:val="-"/>
      <w:lvlJc w:val="left"/>
      <w:pPr>
        <w:tabs>
          <w:tab w:val="num" w:pos="2880"/>
        </w:tabs>
        <w:ind w:left="2880" w:hanging="360"/>
      </w:pPr>
      <w:rPr>
        <w:rFonts w:ascii="Times New Roman" w:hAnsi="Times New Roman" w:hint="default"/>
      </w:rPr>
    </w:lvl>
    <w:lvl w:ilvl="4" w:tplc="67D84734" w:tentative="1">
      <w:start w:val="1"/>
      <w:numFmt w:val="bullet"/>
      <w:lvlText w:val="-"/>
      <w:lvlJc w:val="left"/>
      <w:pPr>
        <w:tabs>
          <w:tab w:val="num" w:pos="3600"/>
        </w:tabs>
        <w:ind w:left="3600" w:hanging="360"/>
      </w:pPr>
      <w:rPr>
        <w:rFonts w:ascii="Times New Roman" w:hAnsi="Times New Roman" w:hint="default"/>
      </w:rPr>
    </w:lvl>
    <w:lvl w:ilvl="5" w:tplc="28886C9C" w:tentative="1">
      <w:start w:val="1"/>
      <w:numFmt w:val="bullet"/>
      <w:lvlText w:val="-"/>
      <w:lvlJc w:val="left"/>
      <w:pPr>
        <w:tabs>
          <w:tab w:val="num" w:pos="4320"/>
        </w:tabs>
        <w:ind w:left="4320" w:hanging="360"/>
      </w:pPr>
      <w:rPr>
        <w:rFonts w:ascii="Times New Roman" w:hAnsi="Times New Roman" w:hint="default"/>
      </w:rPr>
    </w:lvl>
    <w:lvl w:ilvl="6" w:tplc="098A488A" w:tentative="1">
      <w:start w:val="1"/>
      <w:numFmt w:val="bullet"/>
      <w:lvlText w:val="-"/>
      <w:lvlJc w:val="left"/>
      <w:pPr>
        <w:tabs>
          <w:tab w:val="num" w:pos="5040"/>
        </w:tabs>
        <w:ind w:left="5040" w:hanging="360"/>
      </w:pPr>
      <w:rPr>
        <w:rFonts w:ascii="Times New Roman" w:hAnsi="Times New Roman" w:hint="default"/>
      </w:rPr>
    </w:lvl>
    <w:lvl w:ilvl="7" w:tplc="40823DF0" w:tentative="1">
      <w:start w:val="1"/>
      <w:numFmt w:val="bullet"/>
      <w:lvlText w:val="-"/>
      <w:lvlJc w:val="left"/>
      <w:pPr>
        <w:tabs>
          <w:tab w:val="num" w:pos="5760"/>
        </w:tabs>
        <w:ind w:left="5760" w:hanging="360"/>
      </w:pPr>
      <w:rPr>
        <w:rFonts w:ascii="Times New Roman" w:hAnsi="Times New Roman" w:hint="default"/>
      </w:rPr>
    </w:lvl>
    <w:lvl w:ilvl="8" w:tplc="A35EDAFE"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7C9D61C1"/>
    <w:multiLevelType w:val="hybridMultilevel"/>
    <w:tmpl w:val="E8000BBA"/>
    <w:lvl w:ilvl="0" w:tplc="58D09BD2">
      <w:start w:val="1"/>
      <w:numFmt w:val="bullet"/>
      <w:lvlText w:val="-"/>
      <w:lvlJc w:val="left"/>
      <w:pPr>
        <w:tabs>
          <w:tab w:val="num" w:pos="720"/>
        </w:tabs>
        <w:ind w:left="720" w:hanging="360"/>
      </w:pPr>
      <w:rPr>
        <w:rFonts w:ascii="Times New Roman" w:hAnsi="Times New Roman" w:hint="default"/>
      </w:rPr>
    </w:lvl>
    <w:lvl w:ilvl="1" w:tplc="6FF4879E" w:tentative="1">
      <w:start w:val="1"/>
      <w:numFmt w:val="bullet"/>
      <w:lvlText w:val="-"/>
      <w:lvlJc w:val="left"/>
      <w:pPr>
        <w:tabs>
          <w:tab w:val="num" w:pos="1440"/>
        </w:tabs>
        <w:ind w:left="1440" w:hanging="360"/>
      </w:pPr>
      <w:rPr>
        <w:rFonts w:ascii="Times New Roman" w:hAnsi="Times New Roman" w:hint="default"/>
      </w:rPr>
    </w:lvl>
    <w:lvl w:ilvl="2" w:tplc="5994ED1A" w:tentative="1">
      <w:start w:val="1"/>
      <w:numFmt w:val="bullet"/>
      <w:lvlText w:val="-"/>
      <w:lvlJc w:val="left"/>
      <w:pPr>
        <w:tabs>
          <w:tab w:val="num" w:pos="2160"/>
        </w:tabs>
        <w:ind w:left="2160" w:hanging="360"/>
      </w:pPr>
      <w:rPr>
        <w:rFonts w:ascii="Times New Roman" w:hAnsi="Times New Roman" w:hint="default"/>
      </w:rPr>
    </w:lvl>
    <w:lvl w:ilvl="3" w:tplc="7D1E4C14" w:tentative="1">
      <w:start w:val="1"/>
      <w:numFmt w:val="bullet"/>
      <w:lvlText w:val="-"/>
      <w:lvlJc w:val="left"/>
      <w:pPr>
        <w:tabs>
          <w:tab w:val="num" w:pos="2880"/>
        </w:tabs>
        <w:ind w:left="2880" w:hanging="360"/>
      </w:pPr>
      <w:rPr>
        <w:rFonts w:ascii="Times New Roman" w:hAnsi="Times New Roman" w:hint="default"/>
      </w:rPr>
    </w:lvl>
    <w:lvl w:ilvl="4" w:tplc="FC04F3AC" w:tentative="1">
      <w:start w:val="1"/>
      <w:numFmt w:val="bullet"/>
      <w:lvlText w:val="-"/>
      <w:lvlJc w:val="left"/>
      <w:pPr>
        <w:tabs>
          <w:tab w:val="num" w:pos="3600"/>
        </w:tabs>
        <w:ind w:left="3600" w:hanging="360"/>
      </w:pPr>
      <w:rPr>
        <w:rFonts w:ascii="Times New Roman" w:hAnsi="Times New Roman" w:hint="default"/>
      </w:rPr>
    </w:lvl>
    <w:lvl w:ilvl="5" w:tplc="D212A9C8" w:tentative="1">
      <w:start w:val="1"/>
      <w:numFmt w:val="bullet"/>
      <w:lvlText w:val="-"/>
      <w:lvlJc w:val="left"/>
      <w:pPr>
        <w:tabs>
          <w:tab w:val="num" w:pos="4320"/>
        </w:tabs>
        <w:ind w:left="4320" w:hanging="360"/>
      </w:pPr>
      <w:rPr>
        <w:rFonts w:ascii="Times New Roman" w:hAnsi="Times New Roman" w:hint="default"/>
      </w:rPr>
    </w:lvl>
    <w:lvl w:ilvl="6" w:tplc="CBCA815A" w:tentative="1">
      <w:start w:val="1"/>
      <w:numFmt w:val="bullet"/>
      <w:lvlText w:val="-"/>
      <w:lvlJc w:val="left"/>
      <w:pPr>
        <w:tabs>
          <w:tab w:val="num" w:pos="5040"/>
        </w:tabs>
        <w:ind w:left="5040" w:hanging="360"/>
      </w:pPr>
      <w:rPr>
        <w:rFonts w:ascii="Times New Roman" w:hAnsi="Times New Roman" w:hint="default"/>
      </w:rPr>
    </w:lvl>
    <w:lvl w:ilvl="7" w:tplc="CD90B42C" w:tentative="1">
      <w:start w:val="1"/>
      <w:numFmt w:val="bullet"/>
      <w:lvlText w:val="-"/>
      <w:lvlJc w:val="left"/>
      <w:pPr>
        <w:tabs>
          <w:tab w:val="num" w:pos="5760"/>
        </w:tabs>
        <w:ind w:left="5760" w:hanging="360"/>
      </w:pPr>
      <w:rPr>
        <w:rFonts w:ascii="Times New Roman" w:hAnsi="Times New Roman" w:hint="default"/>
      </w:rPr>
    </w:lvl>
    <w:lvl w:ilvl="8" w:tplc="6A4413A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59"/>
  </w:num>
  <w:num w:numId="3">
    <w:abstractNumId w:val="65"/>
  </w:num>
  <w:num w:numId="4">
    <w:abstractNumId w:val="30"/>
  </w:num>
  <w:num w:numId="5">
    <w:abstractNumId w:val="1"/>
  </w:num>
  <w:num w:numId="6">
    <w:abstractNumId w:val="20"/>
  </w:num>
  <w:num w:numId="7">
    <w:abstractNumId w:val="33"/>
  </w:num>
  <w:num w:numId="8">
    <w:abstractNumId w:val="98"/>
  </w:num>
  <w:num w:numId="9">
    <w:abstractNumId w:val="93"/>
  </w:num>
  <w:num w:numId="10">
    <w:abstractNumId w:val="85"/>
  </w:num>
  <w:num w:numId="11">
    <w:abstractNumId w:val="17"/>
  </w:num>
  <w:num w:numId="12">
    <w:abstractNumId w:val="71"/>
  </w:num>
  <w:num w:numId="13">
    <w:abstractNumId w:val="82"/>
  </w:num>
  <w:num w:numId="14">
    <w:abstractNumId w:val="53"/>
  </w:num>
  <w:num w:numId="15">
    <w:abstractNumId w:val="29"/>
  </w:num>
  <w:num w:numId="16">
    <w:abstractNumId w:val="99"/>
  </w:num>
  <w:num w:numId="17">
    <w:abstractNumId w:val="34"/>
  </w:num>
  <w:num w:numId="18">
    <w:abstractNumId w:val="36"/>
  </w:num>
  <w:num w:numId="19">
    <w:abstractNumId w:val="57"/>
  </w:num>
  <w:num w:numId="20">
    <w:abstractNumId w:val="42"/>
  </w:num>
  <w:num w:numId="21">
    <w:abstractNumId w:val="9"/>
  </w:num>
  <w:num w:numId="22">
    <w:abstractNumId w:val="43"/>
  </w:num>
  <w:num w:numId="23">
    <w:abstractNumId w:val="86"/>
  </w:num>
  <w:num w:numId="24">
    <w:abstractNumId w:val="5"/>
  </w:num>
  <w:num w:numId="25">
    <w:abstractNumId w:val="96"/>
  </w:num>
  <w:num w:numId="26">
    <w:abstractNumId w:val="101"/>
  </w:num>
  <w:num w:numId="27">
    <w:abstractNumId w:val="63"/>
  </w:num>
  <w:num w:numId="28">
    <w:abstractNumId w:val="79"/>
  </w:num>
  <w:num w:numId="29">
    <w:abstractNumId w:val="68"/>
  </w:num>
  <w:num w:numId="30">
    <w:abstractNumId w:val="8"/>
  </w:num>
  <w:num w:numId="31">
    <w:abstractNumId w:val="22"/>
  </w:num>
  <w:num w:numId="32">
    <w:abstractNumId w:val="113"/>
  </w:num>
  <w:num w:numId="33">
    <w:abstractNumId w:val="52"/>
  </w:num>
  <w:num w:numId="34">
    <w:abstractNumId w:val="89"/>
  </w:num>
  <w:num w:numId="35">
    <w:abstractNumId w:val="81"/>
  </w:num>
  <w:num w:numId="36">
    <w:abstractNumId w:val="54"/>
  </w:num>
  <w:num w:numId="37">
    <w:abstractNumId w:val="69"/>
  </w:num>
  <w:num w:numId="38">
    <w:abstractNumId w:val="64"/>
  </w:num>
  <w:num w:numId="39">
    <w:abstractNumId w:val="95"/>
  </w:num>
  <w:num w:numId="40">
    <w:abstractNumId w:val="58"/>
  </w:num>
  <w:num w:numId="41">
    <w:abstractNumId w:val="14"/>
  </w:num>
  <w:num w:numId="42">
    <w:abstractNumId w:val="88"/>
  </w:num>
  <w:num w:numId="43">
    <w:abstractNumId w:val="31"/>
  </w:num>
  <w:num w:numId="44">
    <w:abstractNumId w:val="115"/>
  </w:num>
  <w:num w:numId="45">
    <w:abstractNumId w:val="67"/>
  </w:num>
  <w:num w:numId="46">
    <w:abstractNumId w:val="66"/>
  </w:num>
  <w:num w:numId="47">
    <w:abstractNumId w:val="111"/>
  </w:num>
  <w:num w:numId="48">
    <w:abstractNumId w:val="16"/>
  </w:num>
  <w:num w:numId="49">
    <w:abstractNumId w:val="97"/>
  </w:num>
  <w:num w:numId="50">
    <w:abstractNumId w:val="94"/>
  </w:num>
  <w:num w:numId="51">
    <w:abstractNumId w:val="21"/>
  </w:num>
  <w:num w:numId="52">
    <w:abstractNumId w:val="6"/>
  </w:num>
  <w:num w:numId="53">
    <w:abstractNumId w:val="90"/>
  </w:num>
  <w:num w:numId="54">
    <w:abstractNumId w:val="106"/>
  </w:num>
  <w:num w:numId="55">
    <w:abstractNumId w:val="3"/>
  </w:num>
  <w:num w:numId="56">
    <w:abstractNumId w:val="7"/>
  </w:num>
  <w:num w:numId="57">
    <w:abstractNumId w:val="105"/>
  </w:num>
  <w:num w:numId="58">
    <w:abstractNumId w:val="65"/>
  </w:num>
  <w:num w:numId="59">
    <w:abstractNumId w:val="65"/>
  </w:num>
  <w:num w:numId="60">
    <w:abstractNumId w:val="65"/>
  </w:num>
  <w:num w:numId="61">
    <w:abstractNumId w:val="60"/>
  </w:num>
  <w:num w:numId="62">
    <w:abstractNumId w:val="12"/>
  </w:num>
  <w:num w:numId="63">
    <w:abstractNumId w:val="107"/>
  </w:num>
  <w:num w:numId="64">
    <w:abstractNumId w:val="39"/>
  </w:num>
  <w:num w:numId="65">
    <w:abstractNumId w:val="103"/>
  </w:num>
  <w:num w:numId="66">
    <w:abstractNumId w:val="19"/>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num>
  <w:num w:numId="69">
    <w:abstractNumId w:val="76"/>
  </w:num>
  <w:num w:numId="70">
    <w:abstractNumId w:val="87"/>
  </w:num>
  <w:num w:numId="71">
    <w:abstractNumId w:val="104"/>
  </w:num>
  <w:num w:numId="72">
    <w:abstractNumId w:val="61"/>
  </w:num>
  <w:num w:numId="73">
    <w:abstractNumId w:val="74"/>
  </w:num>
  <w:num w:numId="74">
    <w:abstractNumId w:val="116"/>
  </w:num>
  <w:num w:numId="75">
    <w:abstractNumId w:val="102"/>
  </w:num>
  <w:num w:numId="76">
    <w:abstractNumId w:val="117"/>
  </w:num>
  <w:num w:numId="77">
    <w:abstractNumId w:val="11"/>
  </w:num>
  <w:num w:numId="78">
    <w:abstractNumId w:val="100"/>
  </w:num>
  <w:num w:numId="79">
    <w:abstractNumId w:val="62"/>
  </w:num>
  <w:num w:numId="80">
    <w:abstractNumId w:val="72"/>
  </w:num>
  <w:num w:numId="81">
    <w:abstractNumId w:val="110"/>
  </w:num>
  <w:num w:numId="82">
    <w:abstractNumId w:val="25"/>
  </w:num>
  <w:num w:numId="83">
    <w:abstractNumId w:val="32"/>
  </w:num>
  <w:num w:numId="84">
    <w:abstractNumId w:val="35"/>
  </w:num>
  <w:num w:numId="85">
    <w:abstractNumId w:val="40"/>
  </w:num>
  <w:num w:numId="86">
    <w:abstractNumId w:val="84"/>
  </w:num>
  <w:num w:numId="87">
    <w:abstractNumId w:val="2"/>
  </w:num>
  <w:num w:numId="88">
    <w:abstractNumId w:val="37"/>
  </w:num>
  <w:num w:numId="89">
    <w:abstractNumId w:val="47"/>
  </w:num>
  <w:num w:numId="90">
    <w:abstractNumId w:val="46"/>
  </w:num>
  <w:num w:numId="91">
    <w:abstractNumId w:val="50"/>
  </w:num>
  <w:num w:numId="92">
    <w:abstractNumId w:val="70"/>
  </w:num>
  <w:num w:numId="93">
    <w:abstractNumId w:val="44"/>
  </w:num>
  <w:num w:numId="94">
    <w:abstractNumId w:val="73"/>
  </w:num>
  <w:num w:numId="95">
    <w:abstractNumId w:val="78"/>
  </w:num>
  <w:num w:numId="96">
    <w:abstractNumId w:val="114"/>
  </w:num>
  <w:num w:numId="97">
    <w:abstractNumId w:val="91"/>
  </w:num>
  <w:num w:numId="98">
    <w:abstractNumId w:val="23"/>
  </w:num>
  <w:num w:numId="99">
    <w:abstractNumId w:val="28"/>
  </w:num>
  <w:num w:numId="100">
    <w:abstractNumId w:val="112"/>
  </w:num>
  <w:num w:numId="101">
    <w:abstractNumId w:val="83"/>
  </w:num>
  <w:num w:numId="102">
    <w:abstractNumId w:val="15"/>
  </w:num>
  <w:num w:numId="103">
    <w:abstractNumId w:val="75"/>
  </w:num>
  <w:num w:numId="104">
    <w:abstractNumId w:val="80"/>
  </w:num>
  <w:num w:numId="105">
    <w:abstractNumId w:val="18"/>
  </w:num>
  <w:num w:numId="106">
    <w:abstractNumId w:val="38"/>
  </w:num>
  <w:num w:numId="107">
    <w:abstractNumId w:val="92"/>
  </w:num>
  <w:num w:numId="108">
    <w:abstractNumId w:val="48"/>
  </w:num>
  <w:num w:numId="109">
    <w:abstractNumId w:val="51"/>
  </w:num>
  <w:num w:numId="110">
    <w:abstractNumId w:val="4"/>
  </w:num>
  <w:num w:numId="111">
    <w:abstractNumId w:val="13"/>
  </w:num>
  <w:num w:numId="112">
    <w:abstractNumId w:val="27"/>
  </w:num>
  <w:num w:numId="113">
    <w:abstractNumId w:val="41"/>
  </w:num>
  <w:num w:numId="114">
    <w:abstractNumId w:val="10"/>
  </w:num>
  <w:num w:numId="115">
    <w:abstractNumId w:val="45"/>
  </w:num>
  <w:num w:numId="116">
    <w:abstractNumId w:val="77"/>
  </w:num>
  <w:num w:numId="117">
    <w:abstractNumId w:val="24"/>
  </w:num>
  <w:num w:numId="118">
    <w:abstractNumId w:val="55"/>
  </w:num>
  <w:num w:numId="119">
    <w:abstractNumId w:val="108"/>
  </w:num>
  <w:num w:numId="120">
    <w:abstractNumId w:val="10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47"/>
  <w:hyphenationZone w:val="425"/>
  <w:doNotHyphenateCaps/>
  <w:defaultTableStyle w:val="TableGrid"/>
  <w:drawingGridHorizontalSpacing w:val="110"/>
  <w:drawingGridVerticalSpacing w:val="120"/>
  <w:displayHorizontalDrawingGridEvery w:val="0"/>
  <w:displayVerticalDrawingGridEvery w:val="3"/>
  <w:doNotShadeFormData/>
  <w:characterSpacingControl w:val="compressPunctuation"/>
  <w:noLineBreaksAfter w:lang="ja-JP" w:val="#$(@[{§ĄŁ‘“€"/>
  <w:noLineBreaksBefore w:lang="ja-JP" w:val="!%),-.:;?]}~°·˘–—’”•…‰"/>
  <w:doNotValidateAgainstSchema/>
  <w:doNotDemarcateInvalidXml/>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NjYzMjC1MDK2NDZQ0lEKTi0uzszPAykwNKsFAGReZ1MtAAAA"/>
  </w:docVars>
  <w:rsids>
    <w:rsidRoot w:val="001235A1"/>
    <w:rsid w:val="000004CB"/>
    <w:rsid w:val="000006EA"/>
    <w:rsid w:val="00000712"/>
    <w:rsid w:val="000008EE"/>
    <w:rsid w:val="000009CF"/>
    <w:rsid w:val="00000BB7"/>
    <w:rsid w:val="00000C27"/>
    <w:rsid w:val="00000C32"/>
    <w:rsid w:val="00000C75"/>
    <w:rsid w:val="00000D8F"/>
    <w:rsid w:val="00000D91"/>
    <w:rsid w:val="00000E1D"/>
    <w:rsid w:val="00000F24"/>
    <w:rsid w:val="00001105"/>
    <w:rsid w:val="000013F2"/>
    <w:rsid w:val="000014B3"/>
    <w:rsid w:val="000016AD"/>
    <w:rsid w:val="00001808"/>
    <w:rsid w:val="00001BB3"/>
    <w:rsid w:val="00001E51"/>
    <w:rsid w:val="00002049"/>
    <w:rsid w:val="000021C7"/>
    <w:rsid w:val="00002389"/>
    <w:rsid w:val="0000262A"/>
    <w:rsid w:val="000027F5"/>
    <w:rsid w:val="00002B6A"/>
    <w:rsid w:val="00002CE8"/>
    <w:rsid w:val="00002DA3"/>
    <w:rsid w:val="00002E7F"/>
    <w:rsid w:val="00002F64"/>
    <w:rsid w:val="00002FDE"/>
    <w:rsid w:val="00003143"/>
    <w:rsid w:val="00003737"/>
    <w:rsid w:val="000037AE"/>
    <w:rsid w:val="00003806"/>
    <w:rsid w:val="00003A58"/>
    <w:rsid w:val="00003B0C"/>
    <w:rsid w:val="00003E80"/>
    <w:rsid w:val="0000407E"/>
    <w:rsid w:val="0000407F"/>
    <w:rsid w:val="000040CC"/>
    <w:rsid w:val="0000431C"/>
    <w:rsid w:val="00004324"/>
    <w:rsid w:val="00004560"/>
    <w:rsid w:val="000046B5"/>
    <w:rsid w:val="000048F6"/>
    <w:rsid w:val="00004ABF"/>
    <w:rsid w:val="00004BC5"/>
    <w:rsid w:val="00004E89"/>
    <w:rsid w:val="00005050"/>
    <w:rsid w:val="0000506A"/>
    <w:rsid w:val="000052A9"/>
    <w:rsid w:val="00005365"/>
    <w:rsid w:val="00005421"/>
    <w:rsid w:val="0000546E"/>
    <w:rsid w:val="000058CB"/>
    <w:rsid w:val="00005A40"/>
    <w:rsid w:val="00005AB5"/>
    <w:rsid w:val="00005BCF"/>
    <w:rsid w:val="00005E80"/>
    <w:rsid w:val="000067BA"/>
    <w:rsid w:val="00006ABF"/>
    <w:rsid w:val="00006BDA"/>
    <w:rsid w:val="00007016"/>
    <w:rsid w:val="00007341"/>
    <w:rsid w:val="0000738F"/>
    <w:rsid w:val="00007474"/>
    <w:rsid w:val="0000751E"/>
    <w:rsid w:val="00007537"/>
    <w:rsid w:val="000075D2"/>
    <w:rsid w:val="00007738"/>
    <w:rsid w:val="000077D8"/>
    <w:rsid w:val="0000791E"/>
    <w:rsid w:val="00007A76"/>
    <w:rsid w:val="00007B8D"/>
    <w:rsid w:val="00007B91"/>
    <w:rsid w:val="00007CAB"/>
    <w:rsid w:val="00007D8D"/>
    <w:rsid w:val="00007ECD"/>
    <w:rsid w:val="00010143"/>
    <w:rsid w:val="000101A9"/>
    <w:rsid w:val="000102B1"/>
    <w:rsid w:val="0001067C"/>
    <w:rsid w:val="000109CA"/>
    <w:rsid w:val="00010C44"/>
    <w:rsid w:val="00010CCD"/>
    <w:rsid w:val="00010DF4"/>
    <w:rsid w:val="00010DFB"/>
    <w:rsid w:val="00011750"/>
    <w:rsid w:val="000117F2"/>
    <w:rsid w:val="00011906"/>
    <w:rsid w:val="00011D51"/>
    <w:rsid w:val="00011FAE"/>
    <w:rsid w:val="000125F5"/>
    <w:rsid w:val="000127DD"/>
    <w:rsid w:val="000127EE"/>
    <w:rsid w:val="0001299F"/>
    <w:rsid w:val="000129B3"/>
    <w:rsid w:val="00012CC6"/>
    <w:rsid w:val="00012DB0"/>
    <w:rsid w:val="00012FC0"/>
    <w:rsid w:val="00013027"/>
    <w:rsid w:val="000132F5"/>
    <w:rsid w:val="0001331F"/>
    <w:rsid w:val="00013365"/>
    <w:rsid w:val="00013372"/>
    <w:rsid w:val="0001360B"/>
    <w:rsid w:val="000137BF"/>
    <w:rsid w:val="00013F73"/>
    <w:rsid w:val="000142D2"/>
    <w:rsid w:val="00014559"/>
    <w:rsid w:val="00014944"/>
    <w:rsid w:val="00014BC2"/>
    <w:rsid w:val="00015125"/>
    <w:rsid w:val="000156F9"/>
    <w:rsid w:val="000158B8"/>
    <w:rsid w:val="00015D5E"/>
    <w:rsid w:val="00015E53"/>
    <w:rsid w:val="00015F05"/>
    <w:rsid w:val="00015F0B"/>
    <w:rsid w:val="00015F96"/>
    <w:rsid w:val="00015FF3"/>
    <w:rsid w:val="00016601"/>
    <w:rsid w:val="00016698"/>
    <w:rsid w:val="000168E7"/>
    <w:rsid w:val="00016A16"/>
    <w:rsid w:val="00016CCC"/>
    <w:rsid w:val="00016F7A"/>
    <w:rsid w:val="000170B3"/>
    <w:rsid w:val="000171A1"/>
    <w:rsid w:val="000171BC"/>
    <w:rsid w:val="0001724A"/>
    <w:rsid w:val="00017268"/>
    <w:rsid w:val="000175B5"/>
    <w:rsid w:val="0001796B"/>
    <w:rsid w:val="000179D7"/>
    <w:rsid w:val="00017A10"/>
    <w:rsid w:val="00017A2F"/>
    <w:rsid w:val="00017A31"/>
    <w:rsid w:val="00017BA1"/>
    <w:rsid w:val="00017C08"/>
    <w:rsid w:val="00017D40"/>
    <w:rsid w:val="00017D99"/>
    <w:rsid w:val="00020061"/>
    <w:rsid w:val="0002006D"/>
    <w:rsid w:val="000200BD"/>
    <w:rsid w:val="000202B9"/>
    <w:rsid w:val="000202EE"/>
    <w:rsid w:val="000203B8"/>
    <w:rsid w:val="000205E3"/>
    <w:rsid w:val="0002066D"/>
    <w:rsid w:val="0002074D"/>
    <w:rsid w:val="000208D1"/>
    <w:rsid w:val="00020BC9"/>
    <w:rsid w:val="00020BCF"/>
    <w:rsid w:val="00020DD3"/>
    <w:rsid w:val="00020DEC"/>
    <w:rsid w:val="00020E56"/>
    <w:rsid w:val="00020F40"/>
    <w:rsid w:val="00020FDD"/>
    <w:rsid w:val="00020FEF"/>
    <w:rsid w:val="00021007"/>
    <w:rsid w:val="00021013"/>
    <w:rsid w:val="0002118B"/>
    <w:rsid w:val="0002128C"/>
    <w:rsid w:val="00021320"/>
    <w:rsid w:val="0002149A"/>
    <w:rsid w:val="000214DA"/>
    <w:rsid w:val="0002164E"/>
    <w:rsid w:val="00021757"/>
    <w:rsid w:val="000218BB"/>
    <w:rsid w:val="00021D3A"/>
    <w:rsid w:val="00021F4A"/>
    <w:rsid w:val="00021F5D"/>
    <w:rsid w:val="00022066"/>
    <w:rsid w:val="000227BB"/>
    <w:rsid w:val="0002292D"/>
    <w:rsid w:val="000232D6"/>
    <w:rsid w:val="000239A5"/>
    <w:rsid w:val="00023C03"/>
    <w:rsid w:val="00023C20"/>
    <w:rsid w:val="00023C21"/>
    <w:rsid w:val="00023E51"/>
    <w:rsid w:val="00023FC5"/>
    <w:rsid w:val="00023FD8"/>
    <w:rsid w:val="00023FF4"/>
    <w:rsid w:val="000240B9"/>
    <w:rsid w:val="000241C1"/>
    <w:rsid w:val="000241E7"/>
    <w:rsid w:val="000243A1"/>
    <w:rsid w:val="0002449B"/>
    <w:rsid w:val="00024AA5"/>
    <w:rsid w:val="00024D11"/>
    <w:rsid w:val="00024E91"/>
    <w:rsid w:val="00024EE4"/>
    <w:rsid w:val="000251B0"/>
    <w:rsid w:val="00025273"/>
    <w:rsid w:val="00025308"/>
    <w:rsid w:val="000254FF"/>
    <w:rsid w:val="00025800"/>
    <w:rsid w:val="000258D4"/>
    <w:rsid w:val="000258E5"/>
    <w:rsid w:val="00025CA9"/>
    <w:rsid w:val="00025F3A"/>
    <w:rsid w:val="000260DC"/>
    <w:rsid w:val="0002620A"/>
    <w:rsid w:val="00026338"/>
    <w:rsid w:val="000263FA"/>
    <w:rsid w:val="00026824"/>
    <w:rsid w:val="000268AE"/>
    <w:rsid w:val="00026B40"/>
    <w:rsid w:val="00026FAB"/>
    <w:rsid w:val="00027109"/>
    <w:rsid w:val="0002724E"/>
    <w:rsid w:val="0002725A"/>
    <w:rsid w:val="0002740A"/>
    <w:rsid w:val="000276CA"/>
    <w:rsid w:val="00027B6B"/>
    <w:rsid w:val="00027D44"/>
    <w:rsid w:val="00027DBB"/>
    <w:rsid w:val="00027FBB"/>
    <w:rsid w:val="000300EF"/>
    <w:rsid w:val="00030313"/>
    <w:rsid w:val="00030411"/>
    <w:rsid w:val="0003051B"/>
    <w:rsid w:val="00030738"/>
    <w:rsid w:val="0003086B"/>
    <w:rsid w:val="0003086C"/>
    <w:rsid w:val="00030EB0"/>
    <w:rsid w:val="00030EFD"/>
    <w:rsid w:val="00031028"/>
    <w:rsid w:val="00031428"/>
    <w:rsid w:val="00031549"/>
    <w:rsid w:val="00031999"/>
    <w:rsid w:val="000319DC"/>
    <w:rsid w:val="00031C33"/>
    <w:rsid w:val="00031C75"/>
    <w:rsid w:val="00031F78"/>
    <w:rsid w:val="0003215E"/>
    <w:rsid w:val="00032233"/>
    <w:rsid w:val="00032271"/>
    <w:rsid w:val="0003240E"/>
    <w:rsid w:val="00032797"/>
    <w:rsid w:val="00032BEE"/>
    <w:rsid w:val="00032D26"/>
    <w:rsid w:val="00032D2A"/>
    <w:rsid w:val="00032F48"/>
    <w:rsid w:val="00032F56"/>
    <w:rsid w:val="00033089"/>
    <w:rsid w:val="000330B3"/>
    <w:rsid w:val="000332F4"/>
    <w:rsid w:val="000333E1"/>
    <w:rsid w:val="00033410"/>
    <w:rsid w:val="0003354B"/>
    <w:rsid w:val="00033D51"/>
    <w:rsid w:val="00033E90"/>
    <w:rsid w:val="00033FA6"/>
    <w:rsid w:val="00034027"/>
    <w:rsid w:val="00034057"/>
    <w:rsid w:val="0003413F"/>
    <w:rsid w:val="00034717"/>
    <w:rsid w:val="00034D5C"/>
    <w:rsid w:val="00035013"/>
    <w:rsid w:val="0003534C"/>
    <w:rsid w:val="000356E7"/>
    <w:rsid w:val="00035873"/>
    <w:rsid w:val="000358CF"/>
    <w:rsid w:val="00036540"/>
    <w:rsid w:val="000369B9"/>
    <w:rsid w:val="00036BA4"/>
    <w:rsid w:val="00036C9E"/>
    <w:rsid w:val="00036CF1"/>
    <w:rsid w:val="00036E67"/>
    <w:rsid w:val="00036FE2"/>
    <w:rsid w:val="000373F1"/>
    <w:rsid w:val="0003756C"/>
    <w:rsid w:val="000375B5"/>
    <w:rsid w:val="00037954"/>
    <w:rsid w:val="00037A7E"/>
    <w:rsid w:val="00037D15"/>
    <w:rsid w:val="00037DAB"/>
    <w:rsid w:val="00040256"/>
    <w:rsid w:val="000403AA"/>
    <w:rsid w:val="0004061E"/>
    <w:rsid w:val="000407D3"/>
    <w:rsid w:val="00040980"/>
    <w:rsid w:val="00040C2E"/>
    <w:rsid w:val="00040D2E"/>
    <w:rsid w:val="00040D3B"/>
    <w:rsid w:val="00040DEF"/>
    <w:rsid w:val="00041144"/>
    <w:rsid w:val="000411FE"/>
    <w:rsid w:val="00041626"/>
    <w:rsid w:val="0004167A"/>
    <w:rsid w:val="000416E6"/>
    <w:rsid w:val="00041D76"/>
    <w:rsid w:val="00041E0D"/>
    <w:rsid w:val="00041FD1"/>
    <w:rsid w:val="0004217E"/>
    <w:rsid w:val="00042195"/>
    <w:rsid w:val="00042308"/>
    <w:rsid w:val="0004236C"/>
    <w:rsid w:val="000424F4"/>
    <w:rsid w:val="000429CE"/>
    <w:rsid w:val="00042A0B"/>
    <w:rsid w:val="00042A68"/>
    <w:rsid w:val="00042C3E"/>
    <w:rsid w:val="00042C6F"/>
    <w:rsid w:val="00042DB5"/>
    <w:rsid w:val="0004312B"/>
    <w:rsid w:val="000432D0"/>
    <w:rsid w:val="000436D2"/>
    <w:rsid w:val="0004372D"/>
    <w:rsid w:val="000438BC"/>
    <w:rsid w:val="00043A22"/>
    <w:rsid w:val="00043AA2"/>
    <w:rsid w:val="00043DF5"/>
    <w:rsid w:val="000440BF"/>
    <w:rsid w:val="000444F7"/>
    <w:rsid w:val="0004455E"/>
    <w:rsid w:val="000446A4"/>
    <w:rsid w:val="000446DB"/>
    <w:rsid w:val="00044752"/>
    <w:rsid w:val="000447D7"/>
    <w:rsid w:val="000449D2"/>
    <w:rsid w:val="000449F8"/>
    <w:rsid w:val="00044BE9"/>
    <w:rsid w:val="00044C13"/>
    <w:rsid w:val="00044D5D"/>
    <w:rsid w:val="00044F7A"/>
    <w:rsid w:val="00045008"/>
    <w:rsid w:val="00045213"/>
    <w:rsid w:val="0004529D"/>
    <w:rsid w:val="000452BF"/>
    <w:rsid w:val="0004555B"/>
    <w:rsid w:val="00045725"/>
    <w:rsid w:val="00045836"/>
    <w:rsid w:val="0004584E"/>
    <w:rsid w:val="00045A40"/>
    <w:rsid w:val="00045CA1"/>
    <w:rsid w:val="00045F23"/>
    <w:rsid w:val="00045F57"/>
    <w:rsid w:val="0004628C"/>
    <w:rsid w:val="000465CA"/>
    <w:rsid w:val="000467E5"/>
    <w:rsid w:val="00046B4B"/>
    <w:rsid w:val="00046D46"/>
    <w:rsid w:val="00046D89"/>
    <w:rsid w:val="0004737B"/>
    <w:rsid w:val="00047727"/>
    <w:rsid w:val="00047899"/>
    <w:rsid w:val="00047B33"/>
    <w:rsid w:val="00047D9C"/>
    <w:rsid w:val="000500A3"/>
    <w:rsid w:val="000500C7"/>
    <w:rsid w:val="000501AE"/>
    <w:rsid w:val="000501D1"/>
    <w:rsid w:val="00050292"/>
    <w:rsid w:val="0005030E"/>
    <w:rsid w:val="000503F8"/>
    <w:rsid w:val="0005044A"/>
    <w:rsid w:val="00050913"/>
    <w:rsid w:val="000509EA"/>
    <w:rsid w:val="00050B27"/>
    <w:rsid w:val="00050B44"/>
    <w:rsid w:val="00050C68"/>
    <w:rsid w:val="00050DB9"/>
    <w:rsid w:val="00050DFB"/>
    <w:rsid w:val="00051083"/>
    <w:rsid w:val="00051434"/>
    <w:rsid w:val="0005155B"/>
    <w:rsid w:val="00051680"/>
    <w:rsid w:val="000518C5"/>
    <w:rsid w:val="0005192A"/>
    <w:rsid w:val="0005195C"/>
    <w:rsid w:val="00051989"/>
    <w:rsid w:val="00051CFE"/>
    <w:rsid w:val="000523FA"/>
    <w:rsid w:val="000524A9"/>
    <w:rsid w:val="00052593"/>
    <w:rsid w:val="000527D6"/>
    <w:rsid w:val="000527F4"/>
    <w:rsid w:val="00052B0D"/>
    <w:rsid w:val="00052C7D"/>
    <w:rsid w:val="00052C96"/>
    <w:rsid w:val="00052D36"/>
    <w:rsid w:val="00052DC5"/>
    <w:rsid w:val="0005302B"/>
    <w:rsid w:val="000532F8"/>
    <w:rsid w:val="0005332D"/>
    <w:rsid w:val="00053689"/>
    <w:rsid w:val="00053898"/>
    <w:rsid w:val="000538DC"/>
    <w:rsid w:val="00053923"/>
    <w:rsid w:val="00054185"/>
    <w:rsid w:val="00054207"/>
    <w:rsid w:val="000545F2"/>
    <w:rsid w:val="00054664"/>
    <w:rsid w:val="000548BD"/>
    <w:rsid w:val="00054916"/>
    <w:rsid w:val="00054A10"/>
    <w:rsid w:val="00054BC5"/>
    <w:rsid w:val="00054CF4"/>
    <w:rsid w:val="00054FE9"/>
    <w:rsid w:val="00055254"/>
    <w:rsid w:val="0005545A"/>
    <w:rsid w:val="000555B0"/>
    <w:rsid w:val="000556E8"/>
    <w:rsid w:val="00055768"/>
    <w:rsid w:val="000557AE"/>
    <w:rsid w:val="0005591A"/>
    <w:rsid w:val="000559E3"/>
    <w:rsid w:val="00055DDD"/>
    <w:rsid w:val="00055FF5"/>
    <w:rsid w:val="0005610E"/>
    <w:rsid w:val="00056146"/>
    <w:rsid w:val="00056767"/>
    <w:rsid w:val="000567BC"/>
    <w:rsid w:val="00056820"/>
    <w:rsid w:val="00056997"/>
    <w:rsid w:val="00056D36"/>
    <w:rsid w:val="00056FB7"/>
    <w:rsid w:val="00057490"/>
    <w:rsid w:val="000574D5"/>
    <w:rsid w:val="000575CC"/>
    <w:rsid w:val="00057794"/>
    <w:rsid w:val="00057BDB"/>
    <w:rsid w:val="00057DC6"/>
    <w:rsid w:val="00057E82"/>
    <w:rsid w:val="00057ED5"/>
    <w:rsid w:val="00057FC4"/>
    <w:rsid w:val="00057FD2"/>
    <w:rsid w:val="000600F1"/>
    <w:rsid w:val="00060359"/>
    <w:rsid w:val="0006048F"/>
    <w:rsid w:val="000605C3"/>
    <w:rsid w:val="000605FA"/>
    <w:rsid w:val="0006065A"/>
    <w:rsid w:val="00060740"/>
    <w:rsid w:val="000609FC"/>
    <w:rsid w:val="00060F54"/>
    <w:rsid w:val="00061096"/>
    <w:rsid w:val="000610C7"/>
    <w:rsid w:val="000618B6"/>
    <w:rsid w:val="00061A7D"/>
    <w:rsid w:val="00061BFD"/>
    <w:rsid w:val="00061E2A"/>
    <w:rsid w:val="000621CA"/>
    <w:rsid w:val="0006222E"/>
    <w:rsid w:val="0006239D"/>
    <w:rsid w:val="000623AD"/>
    <w:rsid w:val="00062478"/>
    <w:rsid w:val="0006267B"/>
    <w:rsid w:val="000627D5"/>
    <w:rsid w:val="000627E6"/>
    <w:rsid w:val="00062801"/>
    <w:rsid w:val="0006295F"/>
    <w:rsid w:val="000629B7"/>
    <w:rsid w:val="00062A18"/>
    <w:rsid w:val="00062B76"/>
    <w:rsid w:val="00062C73"/>
    <w:rsid w:val="00062CC0"/>
    <w:rsid w:val="00062CC1"/>
    <w:rsid w:val="00062DE7"/>
    <w:rsid w:val="00062FF5"/>
    <w:rsid w:val="00063420"/>
    <w:rsid w:val="0006353A"/>
    <w:rsid w:val="000635AD"/>
    <w:rsid w:val="00063676"/>
    <w:rsid w:val="00063837"/>
    <w:rsid w:val="00063978"/>
    <w:rsid w:val="00063B89"/>
    <w:rsid w:val="00063CFA"/>
    <w:rsid w:val="00063E5F"/>
    <w:rsid w:val="00064284"/>
    <w:rsid w:val="0006435B"/>
    <w:rsid w:val="0006459D"/>
    <w:rsid w:val="0006459E"/>
    <w:rsid w:val="00064832"/>
    <w:rsid w:val="00064AA4"/>
    <w:rsid w:val="00064B3A"/>
    <w:rsid w:val="00064CC9"/>
    <w:rsid w:val="00065639"/>
    <w:rsid w:val="00065678"/>
    <w:rsid w:val="00065711"/>
    <w:rsid w:val="00065755"/>
    <w:rsid w:val="000657AB"/>
    <w:rsid w:val="00065DF6"/>
    <w:rsid w:val="00066088"/>
    <w:rsid w:val="000661D5"/>
    <w:rsid w:val="0006639C"/>
    <w:rsid w:val="00066470"/>
    <w:rsid w:val="00066592"/>
    <w:rsid w:val="000665CF"/>
    <w:rsid w:val="0006674E"/>
    <w:rsid w:val="00066B43"/>
    <w:rsid w:val="00066C60"/>
    <w:rsid w:val="00066D4B"/>
    <w:rsid w:val="00066F15"/>
    <w:rsid w:val="00066FA0"/>
    <w:rsid w:val="000671E6"/>
    <w:rsid w:val="000671ED"/>
    <w:rsid w:val="00067307"/>
    <w:rsid w:val="00067710"/>
    <w:rsid w:val="000678A1"/>
    <w:rsid w:val="00067915"/>
    <w:rsid w:val="00067AAA"/>
    <w:rsid w:val="00067AD0"/>
    <w:rsid w:val="00067D9E"/>
    <w:rsid w:val="00067E6E"/>
    <w:rsid w:val="000700EB"/>
    <w:rsid w:val="00070266"/>
    <w:rsid w:val="000703B4"/>
    <w:rsid w:val="00070811"/>
    <w:rsid w:val="00070815"/>
    <w:rsid w:val="00070AE7"/>
    <w:rsid w:val="00070C55"/>
    <w:rsid w:val="00070D06"/>
    <w:rsid w:val="000711E5"/>
    <w:rsid w:val="000715A0"/>
    <w:rsid w:val="00071A30"/>
    <w:rsid w:val="00071CE8"/>
    <w:rsid w:val="00071D62"/>
    <w:rsid w:val="0007209E"/>
    <w:rsid w:val="0007212F"/>
    <w:rsid w:val="00072137"/>
    <w:rsid w:val="00072202"/>
    <w:rsid w:val="000726A4"/>
    <w:rsid w:val="00072852"/>
    <w:rsid w:val="000729D9"/>
    <w:rsid w:val="000729F4"/>
    <w:rsid w:val="00072C79"/>
    <w:rsid w:val="00072CB4"/>
    <w:rsid w:val="00072E13"/>
    <w:rsid w:val="00072ED7"/>
    <w:rsid w:val="00073039"/>
    <w:rsid w:val="000730CA"/>
    <w:rsid w:val="000734E7"/>
    <w:rsid w:val="00073740"/>
    <w:rsid w:val="00073A77"/>
    <w:rsid w:val="00073A91"/>
    <w:rsid w:val="00073BB3"/>
    <w:rsid w:val="00073D2D"/>
    <w:rsid w:val="00073D6F"/>
    <w:rsid w:val="00074388"/>
    <w:rsid w:val="00074582"/>
    <w:rsid w:val="0007481D"/>
    <w:rsid w:val="00074C0D"/>
    <w:rsid w:val="00075079"/>
    <w:rsid w:val="000750B9"/>
    <w:rsid w:val="00075335"/>
    <w:rsid w:val="00075988"/>
    <w:rsid w:val="000759C0"/>
    <w:rsid w:val="00075A48"/>
    <w:rsid w:val="00075AC1"/>
    <w:rsid w:val="00075B8F"/>
    <w:rsid w:val="00075BC0"/>
    <w:rsid w:val="00075E0B"/>
    <w:rsid w:val="00075F20"/>
    <w:rsid w:val="00076589"/>
    <w:rsid w:val="0007666F"/>
    <w:rsid w:val="00076712"/>
    <w:rsid w:val="00076A3D"/>
    <w:rsid w:val="00076C74"/>
    <w:rsid w:val="00076CCE"/>
    <w:rsid w:val="00076D60"/>
    <w:rsid w:val="00077080"/>
    <w:rsid w:val="00077573"/>
    <w:rsid w:val="0007758E"/>
    <w:rsid w:val="00077792"/>
    <w:rsid w:val="00077AE6"/>
    <w:rsid w:val="00077C6F"/>
    <w:rsid w:val="00077CDC"/>
    <w:rsid w:val="00077DF6"/>
    <w:rsid w:val="00077F4A"/>
    <w:rsid w:val="00077F8C"/>
    <w:rsid w:val="000800B3"/>
    <w:rsid w:val="00080161"/>
    <w:rsid w:val="000803B6"/>
    <w:rsid w:val="00080936"/>
    <w:rsid w:val="00080B00"/>
    <w:rsid w:val="00080E99"/>
    <w:rsid w:val="00081066"/>
    <w:rsid w:val="000810BF"/>
    <w:rsid w:val="000810F4"/>
    <w:rsid w:val="000811FE"/>
    <w:rsid w:val="000815C4"/>
    <w:rsid w:val="00081E80"/>
    <w:rsid w:val="0008217B"/>
    <w:rsid w:val="000825BD"/>
    <w:rsid w:val="0008283C"/>
    <w:rsid w:val="000828AC"/>
    <w:rsid w:val="000829A2"/>
    <w:rsid w:val="000829D8"/>
    <w:rsid w:val="00082B99"/>
    <w:rsid w:val="00082D1F"/>
    <w:rsid w:val="00082D91"/>
    <w:rsid w:val="00082F47"/>
    <w:rsid w:val="000830D6"/>
    <w:rsid w:val="0008323D"/>
    <w:rsid w:val="0008349D"/>
    <w:rsid w:val="000834DB"/>
    <w:rsid w:val="000838DA"/>
    <w:rsid w:val="000839C3"/>
    <w:rsid w:val="00083A96"/>
    <w:rsid w:val="00083AF9"/>
    <w:rsid w:val="00083C08"/>
    <w:rsid w:val="0008427D"/>
    <w:rsid w:val="0008435B"/>
    <w:rsid w:val="00084400"/>
    <w:rsid w:val="0008442B"/>
    <w:rsid w:val="00084453"/>
    <w:rsid w:val="000845F8"/>
    <w:rsid w:val="0008464F"/>
    <w:rsid w:val="00084684"/>
    <w:rsid w:val="0008481A"/>
    <w:rsid w:val="00084CC3"/>
    <w:rsid w:val="00084D03"/>
    <w:rsid w:val="00085050"/>
    <w:rsid w:val="0008512E"/>
    <w:rsid w:val="000851CC"/>
    <w:rsid w:val="0008534F"/>
    <w:rsid w:val="0008588B"/>
    <w:rsid w:val="000858DE"/>
    <w:rsid w:val="00085A6C"/>
    <w:rsid w:val="00085E4D"/>
    <w:rsid w:val="00085EB3"/>
    <w:rsid w:val="00086471"/>
    <w:rsid w:val="0008650B"/>
    <w:rsid w:val="00086510"/>
    <w:rsid w:val="00086597"/>
    <w:rsid w:val="00086667"/>
    <w:rsid w:val="00086799"/>
    <w:rsid w:val="00086877"/>
    <w:rsid w:val="00086923"/>
    <w:rsid w:val="00086AA4"/>
    <w:rsid w:val="00086B0E"/>
    <w:rsid w:val="00086C3D"/>
    <w:rsid w:val="00087107"/>
    <w:rsid w:val="0008716C"/>
    <w:rsid w:val="00087239"/>
    <w:rsid w:val="00087449"/>
    <w:rsid w:val="00087509"/>
    <w:rsid w:val="00087527"/>
    <w:rsid w:val="000876A4"/>
    <w:rsid w:val="0008770D"/>
    <w:rsid w:val="000877BD"/>
    <w:rsid w:val="00087E7F"/>
    <w:rsid w:val="00087FDB"/>
    <w:rsid w:val="00090126"/>
    <w:rsid w:val="00090127"/>
    <w:rsid w:val="00090218"/>
    <w:rsid w:val="00090421"/>
    <w:rsid w:val="000908F7"/>
    <w:rsid w:val="00090A1C"/>
    <w:rsid w:val="00090B21"/>
    <w:rsid w:val="00090B4D"/>
    <w:rsid w:val="00091211"/>
    <w:rsid w:val="0009122B"/>
    <w:rsid w:val="000913B7"/>
    <w:rsid w:val="0009146D"/>
    <w:rsid w:val="00091640"/>
    <w:rsid w:val="00091679"/>
    <w:rsid w:val="00091768"/>
    <w:rsid w:val="00091901"/>
    <w:rsid w:val="00091997"/>
    <w:rsid w:val="00091A0C"/>
    <w:rsid w:val="00091B91"/>
    <w:rsid w:val="0009221C"/>
    <w:rsid w:val="00092C7F"/>
    <w:rsid w:val="00092D1B"/>
    <w:rsid w:val="00092FEB"/>
    <w:rsid w:val="0009334A"/>
    <w:rsid w:val="00093433"/>
    <w:rsid w:val="0009355D"/>
    <w:rsid w:val="00093614"/>
    <w:rsid w:val="00093700"/>
    <w:rsid w:val="00093777"/>
    <w:rsid w:val="00093781"/>
    <w:rsid w:val="000938E2"/>
    <w:rsid w:val="00093B63"/>
    <w:rsid w:val="00094008"/>
    <w:rsid w:val="00094018"/>
    <w:rsid w:val="00094244"/>
    <w:rsid w:val="00094559"/>
    <w:rsid w:val="00094604"/>
    <w:rsid w:val="00094B3F"/>
    <w:rsid w:val="00094B48"/>
    <w:rsid w:val="00094BB8"/>
    <w:rsid w:val="00094EDC"/>
    <w:rsid w:val="00095178"/>
    <w:rsid w:val="0009553C"/>
    <w:rsid w:val="0009564B"/>
    <w:rsid w:val="00095942"/>
    <w:rsid w:val="00095C61"/>
    <w:rsid w:val="00095CF8"/>
    <w:rsid w:val="00095DDF"/>
    <w:rsid w:val="00095ED0"/>
    <w:rsid w:val="00096000"/>
    <w:rsid w:val="0009603D"/>
    <w:rsid w:val="00096114"/>
    <w:rsid w:val="000962E6"/>
    <w:rsid w:val="00096777"/>
    <w:rsid w:val="000968A6"/>
    <w:rsid w:val="00096F11"/>
    <w:rsid w:val="00096FB8"/>
    <w:rsid w:val="00096FCE"/>
    <w:rsid w:val="00097280"/>
    <w:rsid w:val="0009729E"/>
    <w:rsid w:val="000974BC"/>
    <w:rsid w:val="000976F0"/>
    <w:rsid w:val="00097D41"/>
    <w:rsid w:val="000A019E"/>
    <w:rsid w:val="000A0210"/>
    <w:rsid w:val="000A025E"/>
    <w:rsid w:val="000A0311"/>
    <w:rsid w:val="000A03CC"/>
    <w:rsid w:val="000A04B5"/>
    <w:rsid w:val="000A053A"/>
    <w:rsid w:val="000A0708"/>
    <w:rsid w:val="000A072A"/>
    <w:rsid w:val="000A0786"/>
    <w:rsid w:val="000A0C08"/>
    <w:rsid w:val="000A0D07"/>
    <w:rsid w:val="000A14F4"/>
    <w:rsid w:val="000A15B6"/>
    <w:rsid w:val="000A1623"/>
    <w:rsid w:val="000A1759"/>
    <w:rsid w:val="000A17E7"/>
    <w:rsid w:val="000A1E02"/>
    <w:rsid w:val="000A1E07"/>
    <w:rsid w:val="000A2077"/>
    <w:rsid w:val="000A220F"/>
    <w:rsid w:val="000A22EF"/>
    <w:rsid w:val="000A28FB"/>
    <w:rsid w:val="000A2B78"/>
    <w:rsid w:val="000A2DC5"/>
    <w:rsid w:val="000A2E6F"/>
    <w:rsid w:val="000A2EFF"/>
    <w:rsid w:val="000A2FEE"/>
    <w:rsid w:val="000A30B2"/>
    <w:rsid w:val="000A30BD"/>
    <w:rsid w:val="000A3211"/>
    <w:rsid w:val="000A3276"/>
    <w:rsid w:val="000A3435"/>
    <w:rsid w:val="000A356A"/>
    <w:rsid w:val="000A36C2"/>
    <w:rsid w:val="000A377B"/>
    <w:rsid w:val="000A3E11"/>
    <w:rsid w:val="000A45E0"/>
    <w:rsid w:val="000A4655"/>
    <w:rsid w:val="000A472A"/>
    <w:rsid w:val="000A4800"/>
    <w:rsid w:val="000A493B"/>
    <w:rsid w:val="000A4D1F"/>
    <w:rsid w:val="000A4DA3"/>
    <w:rsid w:val="000A4DAF"/>
    <w:rsid w:val="000A5175"/>
    <w:rsid w:val="000A55D0"/>
    <w:rsid w:val="000A5698"/>
    <w:rsid w:val="000A579D"/>
    <w:rsid w:val="000A5BD7"/>
    <w:rsid w:val="000A5D35"/>
    <w:rsid w:val="000A5EBB"/>
    <w:rsid w:val="000A60F2"/>
    <w:rsid w:val="000A62ED"/>
    <w:rsid w:val="000A62F1"/>
    <w:rsid w:val="000A6336"/>
    <w:rsid w:val="000A6374"/>
    <w:rsid w:val="000A639A"/>
    <w:rsid w:val="000A6483"/>
    <w:rsid w:val="000A67E5"/>
    <w:rsid w:val="000A6C60"/>
    <w:rsid w:val="000A6CEF"/>
    <w:rsid w:val="000A6F62"/>
    <w:rsid w:val="000A74C7"/>
    <w:rsid w:val="000A7639"/>
    <w:rsid w:val="000A767F"/>
    <w:rsid w:val="000A782E"/>
    <w:rsid w:val="000A7E4F"/>
    <w:rsid w:val="000B00BB"/>
    <w:rsid w:val="000B0293"/>
    <w:rsid w:val="000B02F5"/>
    <w:rsid w:val="000B0302"/>
    <w:rsid w:val="000B04B2"/>
    <w:rsid w:val="000B0670"/>
    <w:rsid w:val="000B07FE"/>
    <w:rsid w:val="000B0AFD"/>
    <w:rsid w:val="000B0B18"/>
    <w:rsid w:val="000B0B84"/>
    <w:rsid w:val="000B0EE3"/>
    <w:rsid w:val="000B1016"/>
    <w:rsid w:val="000B13EB"/>
    <w:rsid w:val="000B1733"/>
    <w:rsid w:val="000B1A56"/>
    <w:rsid w:val="000B1A63"/>
    <w:rsid w:val="000B1D0B"/>
    <w:rsid w:val="000B1EE7"/>
    <w:rsid w:val="000B1FC9"/>
    <w:rsid w:val="000B2010"/>
    <w:rsid w:val="000B22EA"/>
    <w:rsid w:val="000B23A9"/>
    <w:rsid w:val="000B2400"/>
    <w:rsid w:val="000B2561"/>
    <w:rsid w:val="000B262D"/>
    <w:rsid w:val="000B28E0"/>
    <w:rsid w:val="000B2D2B"/>
    <w:rsid w:val="000B2F63"/>
    <w:rsid w:val="000B2FC8"/>
    <w:rsid w:val="000B3213"/>
    <w:rsid w:val="000B376C"/>
    <w:rsid w:val="000B3921"/>
    <w:rsid w:val="000B3AF1"/>
    <w:rsid w:val="000B3AFB"/>
    <w:rsid w:val="000B3C22"/>
    <w:rsid w:val="000B3C81"/>
    <w:rsid w:val="000B401B"/>
    <w:rsid w:val="000B443D"/>
    <w:rsid w:val="000B498E"/>
    <w:rsid w:val="000B4A11"/>
    <w:rsid w:val="000B4F66"/>
    <w:rsid w:val="000B4FC4"/>
    <w:rsid w:val="000B55C6"/>
    <w:rsid w:val="000B5967"/>
    <w:rsid w:val="000B59AF"/>
    <w:rsid w:val="000B59BA"/>
    <w:rsid w:val="000B59F5"/>
    <w:rsid w:val="000B5AA1"/>
    <w:rsid w:val="000B5AAC"/>
    <w:rsid w:val="000B5B19"/>
    <w:rsid w:val="000B5E99"/>
    <w:rsid w:val="000B5F9C"/>
    <w:rsid w:val="000B658C"/>
    <w:rsid w:val="000B6866"/>
    <w:rsid w:val="000B6D1C"/>
    <w:rsid w:val="000B6E0B"/>
    <w:rsid w:val="000B6E2B"/>
    <w:rsid w:val="000B6EEB"/>
    <w:rsid w:val="000B73AB"/>
    <w:rsid w:val="000B744C"/>
    <w:rsid w:val="000B7AAB"/>
    <w:rsid w:val="000B7C11"/>
    <w:rsid w:val="000B7E65"/>
    <w:rsid w:val="000B7F5E"/>
    <w:rsid w:val="000C017D"/>
    <w:rsid w:val="000C029E"/>
    <w:rsid w:val="000C0629"/>
    <w:rsid w:val="000C06FB"/>
    <w:rsid w:val="000C0A9C"/>
    <w:rsid w:val="000C0E90"/>
    <w:rsid w:val="000C0F31"/>
    <w:rsid w:val="000C113E"/>
    <w:rsid w:val="000C118A"/>
    <w:rsid w:val="000C1193"/>
    <w:rsid w:val="000C146D"/>
    <w:rsid w:val="000C1596"/>
    <w:rsid w:val="000C1719"/>
    <w:rsid w:val="000C18A2"/>
    <w:rsid w:val="000C19EF"/>
    <w:rsid w:val="000C1C3B"/>
    <w:rsid w:val="000C1CC3"/>
    <w:rsid w:val="000C1DB4"/>
    <w:rsid w:val="000C1E38"/>
    <w:rsid w:val="000C20BF"/>
    <w:rsid w:val="000C21BE"/>
    <w:rsid w:val="000C2364"/>
    <w:rsid w:val="000C2709"/>
    <w:rsid w:val="000C287E"/>
    <w:rsid w:val="000C2C2E"/>
    <w:rsid w:val="000C2DED"/>
    <w:rsid w:val="000C2E12"/>
    <w:rsid w:val="000C2E35"/>
    <w:rsid w:val="000C3018"/>
    <w:rsid w:val="000C30F2"/>
    <w:rsid w:val="000C3146"/>
    <w:rsid w:val="000C33D9"/>
    <w:rsid w:val="000C3549"/>
    <w:rsid w:val="000C3679"/>
    <w:rsid w:val="000C3733"/>
    <w:rsid w:val="000C3756"/>
    <w:rsid w:val="000C3909"/>
    <w:rsid w:val="000C3DCB"/>
    <w:rsid w:val="000C3EC2"/>
    <w:rsid w:val="000C4037"/>
    <w:rsid w:val="000C422D"/>
    <w:rsid w:val="000C42DD"/>
    <w:rsid w:val="000C47E5"/>
    <w:rsid w:val="000C4903"/>
    <w:rsid w:val="000C4D1D"/>
    <w:rsid w:val="000C4D24"/>
    <w:rsid w:val="000C5068"/>
    <w:rsid w:val="000C5343"/>
    <w:rsid w:val="000C55C1"/>
    <w:rsid w:val="000C584C"/>
    <w:rsid w:val="000C5BB7"/>
    <w:rsid w:val="000C5D57"/>
    <w:rsid w:val="000C5DD7"/>
    <w:rsid w:val="000C5F69"/>
    <w:rsid w:val="000C6021"/>
    <w:rsid w:val="000C63C2"/>
    <w:rsid w:val="000C63F7"/>
    <w:rsid w:val="000C651F"/>
    <w:rsid w:val="000C6553"/>
    <w:rsid w:val="000C6A46"/>
    <w:rsid w:val="000C6D74"/>
    <w:rsid w:val="000C6EA4"/>
    <w:rsid w:val="000C716B"/>
    <w:rsid w:val="000C7307"/>
    <w:rsid w:val="000C7335"/>
    <w:rsid w:val="000C7362"/>
    <w:rsid w:val="000C7849"/>
    <w:rsid w:val="000C794A"/>
    <w:rsid w:val="000C7B36"/>
    <w:rsid w:val="000C7C23"/>
    <w:rsid w:val="000C7C91"/>
    <w:rsid w:val="000C7E22"/>
    <w:rsid w:val="000C7E58"/>
    <w:rsid w:val="000C7E74"/>
    <w:rsid w:val="000C7EB5"/>
    <w:rsid w:val="000D0280"/>
    <w:rsid w:val="000D06EB"/>
    <w:rsid w:val="000D09FF"/>
    <w:rsid w:val="000D0B1E"/>
    <w:rsid w:val="000D0C2E"/>
    <w:rsid w:val="000D118A"/>
    <w:rsid w:val="000D1267"/>
    <w:rsid w:val="000D1982"/>
    <w:rsid w:val="000D1B4D"/>
    <w:rsid w:val="000D1E86"/>
    <w:rsid w:val="000D204A"/>
    <w:rsid w:val="000D2104"/>
    <w:rsid w:val="000D2347"/>
    <w:rsid w:val="000D27DA"/>
    <w:rsid w:val="000D289B"/>
    <w:rsid w:val="000D3040"/>
    <w:rsid w:val="000D3306"/>
    <w:rsid w:val="000D346C"/>
    <w:rsid w:val="000D364A"/>
    <w:rsid w:val="000D38B9"/>
    <w:rsid w:val="000D3980"/>
    <w:rsid w:val="000D3A21"/>
    <w:rsid w:val="000D3B11"/>
    <w:rsid w:val="000D3B40"/>
    <w:rsid w:val="000D3D9C"/>
    <w:rsid w:val="000D3E1E"/>
    <w:rsid w:val="000D3E77"/>
    <w:rsid w:val="000D4608"/>
    <w:rsid w:val="000D480B"/>
    <w:rsid w:val="000D4F1E"/>
    <w:rsid w:val="000D51DD"/>
    <w:rsid w:val="000D5557"/>
    <w:rsid w:val="000D5808"/>
    <w:rsid w:val="000D601C"/>
    <w:rsid w:val="000D6129"/>
    <w:rsid w:val="000D638F"/>
    <w:rsid w:val="000D63CC"/>
    <w:rsid w:val="000D6645"/>
    <w:rsid w:val="000D682A"/>
    <w:rsid w:val="000D6C42"/>
    <w:rsid w:val="000D6D92"/>
    <w:rsid w:val="000D6D98"/>
    <w:rsid w:val="000D6F91"/>
    <w:rsid w:val="000D749E"/>
    <w:rsid w:val="000D7551"/>
    <w:rsid w:val="000D75BB"/>
    <w:rsid w:val="000D7686"/>
    <w:rsid w:val="000D7946"/>
    <w:rsid w:val="000D7948"/>
    <w:rsid w:val="000D79A2"/>
    <w:rsid w:val="000D79D9"/>
    <w:rsid w:val="000D7AFF"/>
    <w:rsid w:val="000D7E1C"/>
    <w:rsid w:val="000D7F2F"/>
    <w:rsid w:val="000E039A"/>
    <w:rsid w:val="000E06DA"/>
    <w:rsid w:val="000E0B01"/>
    <w:rsid w:val="000E0B7A"/>
    <w:rsid w:val="000E0D40"/>
    <w:rsid w:val="000E0DF0"/>
    <w:rsid w:val="000E0FAA"/>
    <w:rsid w:val="000E1382"/>
    <w:rsid w:val="000E13BB"/>
    <w:rsid w:val="000E16B6"/>
    <w:rsid w:val="000E16C7"/>
    <w:rsid w:val="000E18F5"/>
    <w:rsid w:val="000E1973"/>
    <w:rsid w:val="000E1A58"/>
    <w:rsid w:val="000E1B1D"/>
    <w:rsid w:val="000E1C3F"/>
    <w:rsid w:val="000E1C45"/>
    <w:rsid w:val="000E2083"/>
    <w:rsid w:val="000E20AB"/>
    <w:rsid w:val="000E2270"/>
    <w:rsid w:val="000E22EE"/>
    <w:rsid w:val="000E2E29"/>
    <w:rsid w:val="000E2E66"/>
    <w:rsid w:val="000E3042"/>
    <w:rsid w:val="000E30AB"/>
    <w:rsid w:val="000E3183"/>
    <w:rsid w:val="000E352E"/>
    <w:rsid w:val="000E3C55"/>
    <w:rsid w:val="000E3D6F"/>
    <w:rsid w:val="000E4041"/>
    <w:rsid w:val="000E420F"/>
    <w:rsid w:val="000E42D7"/>
    <w:rsid w:val="000E43E2"/>
    <w:rsid w:val="000E463A"/>
    <w:rsid w:val="000E464D"/>
    <w:rsid w:val="000E48CD"/>
    <w:rsid w:val="000E4AA1"/>
    <w:rsid w:val="000E4D2F"/>
    <w:rsid w:val="000E5273"/>
    <w:rsid w:val="000E537A"/>
    <w:rsid w:val="000E5474"/>
    <w:rsid w:val="000E559B"/>
    <w:rsid w:val="000E5AAB"/>
    <w:rsid w:val="000E5AE2"/>
    <w:rsid w:val="000E5AE9"/>
    <w:rsid w:val="000E5EAF"/>
    <w:rsid w:val="000E608A"/>
    <w:rsid w:val="000E6178"/>
    <w:rsid w:val="000E6382"/>
    <w:rsid w:val="000E645D"/>
    <w:rsid w:val="000E681D"/>
    <w:rsid w:val="000E6C78"/>
    <w:rsid w:val="000E6F7C"/>
    <w:rsid w:val="000E7037"/>
    <w:rsid w:val="000E7171"/>
    <w:rsid w:val="000E71F1"/>
    <w:rsid w:val="000E72FF"/>
    <w:rsid w:val="000E73B8"/>
    <w:rsid w:val="000E7516"/>
    <w:rsid w:val="000E7568"/>
    <w:rsid w:val="000E75F8"/>
    <w:rsid w:val="000E777B"/>
    <w:rsid w:val="000E7906"/>
    <w:rsid w:val="000E7C33"/>
    <w:rsid w:val="000E7C7C"/>
    <w:rsid w:val="000E7CB3"/>
    <w:rsid w:val="000E7D4F"/>
    <w:rsid w:val="000E7E67"/>
    <w:rsid w:val="000E7FC6"/>
    <w:rsid w:val="000F0003"/>
    <w:rsid w:val="000F038E"/>
    <w:rsid w:val="000F06D9"/>
    <w:rsid w:val="000F08AA"/>
    <w:rsid w:val="000F0A59"/>
    <w:rsid w:val="000F0B01"/>
    <w:rsid w:val="000F0C1F"/>
    <w:rsid w:val="000F14BC"/>
    <w:rsid w:val="000F1DA7"/>
    <w:rsid w:val="000F1FF3"/>
    <w:rsid w:val="000F1FFE"/>
    <w:rsid w:val="000F2025"/>
    <w:rsid w:val="000F24E2"/>
    <w:rsid w:val="000F2B00"/>
    <w:rsid w:val="000F2DBA"/>
    <w:rsid w:val="000F2F0E"/>
    <w:rsid w:val="000F32AA"/>
    <w:rsid w:val="000F35BC"/>
    <w:rsid w:val="000F39F4"/>
    <w:rsid w:val="000F3C7F"/>
    <w:rsid w:val="000F3CA8"/>
    <w:rsid w:val="000F3E19"/>
    <w:rsid w:val="000F3FFB"/>
    <w:rsid w:val="000F4118"/>
    <w:rsid w:val="000F4301"/>
    <w:rsid w:val="000F4588"/>
    <w:rsid w:val="000F45C5"/>
    <w:rsid w:val="000F4B9C"/>
    <w:rsid w:val="000F4D40"/>
    <w:rsid w:val="000F4D45"/>
    <w:rsid w:val="000F50CB"/>
    <w:rsid w:val="000F5277"/>
    <w:rsid w:val="000F5659"/>
    <w:rsid w:val="000F5675"/>
    <w:rsid w:val="000F593F"/>
    <w:rsid w:val="000F59CB"/>
    <w:rsid w:val="000F5A59"/>
    <w:rsid w:val="000F5CD0"/>
    <w:rsid w:val="000F5D03"/>
    <w:rsid w:val="000F5E0B"/>
    <w:rsid w:val="000F5F5D"/>
    <w:rsid w:val="000F5F80"/>
    <w:rsid w:val="000F5FC1"/>
    <w:rsid w:val="000F6342"/>
    <w:rsid w:val="000F6398"/>
    <w:rsid w:val="000F658A"/>
    <w:rsid w:val="000F6A40"/>
    <w:rsid w:val="000F6C8C"/>
    <w:rsid w:val="000F6D21"/>
    <w:rsid w:val="000F6D4D"/>
    <w:rsid w:val="000F6EEF"/>
    <w:rsid w:val="000F6F74"/>
    <w:rsid w:val="000F7145"/>
    <w:rsid w:val="000F7312"/>
    <w:rsid w:val="000F74CE"/>
    <w:rsid w:val="000F7970"/>
    <w:rsid w:val="000F7A68"/>
    <w:rsid w:val="000F7B22"/>
    <w:rsid w:val="000F7B2C"/>
    <w:rsid w:val="000F7BEC"/>
    <w:rsid w:val="000F7C4D"/>
    <w:rsid w:val="000F7DED"/>
    <w:rsid w:val="000F7F12"/>
    <w:rsid w:val="00100325"/>
    <w:rsid w:val="00100417"/>
    <w:rsid w:val="00100698"/>
    <w:rsid w:val="00100932"/>
    <w:rsid w:val="0010095B"/>
    <w:rsid w:val="001009C2"/>
    <w:rsid w:val="00100B8F"/>
    <w:rsid w:val="00100C36"/>
    <w:rsid w:val="001014D4"/>
    <w:rsid w:val="001017E9"/>
    <w:rsid w:val="00101A2B"/>
    <w:rsid w:val="00101A58"/>
    <w:rsid w:val="00101B1A"/>
    <w:rsid w:val="00101B75"/>
    <w:rsid w:val="00101B89"/>
    <w:rsid w:val="00101BE4"/>
    <w:rsid w:val="00101C9D"/>
    <w:rsid w:val="00101EC6"/>
    <w:rsid w:val="00102083"/>
    <w:rsid w:val="001021F1"/>
    <w:rsid w:val="0010233B"/>
    <w:rsid w:val="00102349"/>
    <w:rsid w:val="0010257B"/>
    <w:rsid w:val="0010271A"/>
    <w:rsid w:val="00102B41"/>
    <w:rsid w:val="00102BD5"/>
    <w:rsid w:val="00102BF4"/>
    <w:rsid w:val="00102CBB"/>
    <w:rsid w:val="001030EB"/>
    <w:rsid w:val="001032D6"/>
    <w:rsid w:val="00103330"/>
    <w:rsid w:val="00103A53"/>
    <w:rsid w:val="00103EDC"/>
    <w:rsid w:val="0010418C"/>
    <w:rsid w:val="001042DC"/>
    <w:rsid w:val="00104556"/>
    <w:rsid w:val="00104A4E"/>
    <w:rsid w:val="00104C6B"/>
    <w:rsid w:val="00104E3F"/>
    <w:rsid w:val="00104EFF"/>
    <w:rsid w:val="00105058"/>
    <w:rsid w:val="001050A5"/>
    <w:rsid w:val="001050C2"/>
    <w:rsid w:val="001051C5"/>
    <w:rsid w:val="00105265"/>
    <w:rsid w:val="00105433"/>
    <w:rsid w:val="00105480"/>
    <w:rsid w:val="0010549F"/>
    <w:rsid w:val="00105627"/>
    <w:rsid w:val="00105717"/>
    <w:rsid w:val="001058F9"/>
    <w:rsid w:val="001059CF"/>
    <w:rsid w:val="00105CE0"/>
    <w:rsid w:val="001062D9"/>
    <w:rsid w:val="001064F0"/>
    <w:rsid w:val="001065E3"/>
    <w:rsid w:val="00106A02"/>
    <w:rsid w:val="00106CFA"/>
    <w:rsid w:val="001074EE"/>
    <w:rsid w:val="00107780"/>
    <w:rsid w:val="001077C5"/>
    <w:rsid w:val="0011016A"/>
    <w:rsid w:val="001103CC"/>
    <w:rsid w:val="0011042D"/>
    <w:rsid w:val="00110761"/>
    <w:rsid w:val="0011093B"/>
    <w:rsid w:val="00110AA7"/>
    <w:rsid w:val="00110B20"/>
    <w:rsid w:val="00110B80"/>
    <w:rsid w:val="00110C91"/>
    <w:rsid w:val="00110EBF"/>
    <w:rsid w:val="00110F22"/>
    <w:rsid w:val="00111018"/>
    <w:rsid w:val="001111AF"/>
    <w:rsid w:val="0011123C"/>
    <w:rsid w:val="001112B5"/>
    <w:rsid w:val="0011141E"/>
    <w:rsid w:val="001114D9"/>
    <w:rsid w:val="001115CF"/>
    <w:rsid w:val="001119A9"/>
    <w:rsid w:val="00111A34"/>
    <w:rsid w:val="00111AE5"/>
    <w:rsid w:val="00111B42"/>
    <w:rsid w:val="00111BA6"/>
    <w:rsid w:val="00111CE3"/>
    <w:rsid w:val="00111EE1"/>
    <w:rsid w:val="00111F02"/>
    <w:rsid w:val="0011203E"/>
    <w:rsid w:val="00112135"/>
    <w:rsid w:val="00112164"/>
    <w:rsid w:val="00112339"/>
    <w:rsid w:val="001124BA"/>
    <w:rsid w:val="00112519"/>
    <w:rsid w:val="00112534"/>
    <w:rsid w:val="00112A50"/>
    <w:rsid w:val="00112AEF"/>
    <w:rsid w:val="00112B05"/>
    <w:rsid w:val="00112BBB"/>
    <w:rsid w:val="00113199"/>
    <w:rsid w:val="00113295"/>
    <w:rsid w:val="001132CC"/>
    <w:rsid w:val="00113364"/>
    <w:rsid w:val="00113473"/>
    <w:rsid w:val="001134A9"/>
    <w:rsid w:val="00113664"/>
    <w:rsid w:val="00113692"/>
    <w:rsid w:val="00113730"/>
    <w:rsid w:val="00113797"/>
    <w:rsid w:val="00113830"/>
    <w:rsid w:val="00113C3C"/>
    <w:rsid w:val="00113E2A"/>
    <w:rsid w:val="00113FA3"/>
    <w:rsid w:val="001146F1"/>
    <w:rsid w:val="00114753"/>
    <w:rsid w:val="0011492A"/>
    <w:rsid w:val="00114C23"/>
    <w:rsid w:val="00114CC8"/>
    <w:rsid w:val="00114F60"/>
    <w:rsid w:val="001150FA"/>
    <w:rsid w:val="001152E5"/>
    <w:rsid w:val="0011531B"/>
    <w:rsid w:val="00115526"/>
    <w:rsid w:val="0011569E"/>
    <w:rsid w:val="0011578C"/>
    <w:rsid w:val="0011588F"/>
    <w:rsid w:val="001158E2"/>
    <w:rsid w:val="001158EE"/>
    <w:rsid w:val="00115E93"/>
    <w:rsid w:val="00115F0C"/>
    <w:rsid w:val="0011603A"/>
    <w:rsid w:val="0011644D"/>
    <w:rsid w:val="0011649A"/>
    <w:rsid w:val="00116607"/>
    <w:rsid w:val="001168D3"/>
    <w:rsid w:val="001169E9"/>
    <w:rsid w:val="001169FA"/>
    <w:rsid w:val="00116C12"/>
    <w:rsid w:val="00116E76"/>
    <w:rsid w:val="00116ED6"/>
    <w:rsid w:val="001170D5"/>
    <w:rsid w:val="00117373"/>
    <w:rsid w:val="00117670"/>
    <w:rsid w:val="00117863"/>
    <w:rsid w:val="001178BF"/>
    <w:rsid w:val="00117CFE"/>
    <w:rsid w:val="0012006B"/>
    <w:rsid w:val="00120098"/>
    <w:rsid w:val="00120327"/>
    <w:rsid w:val="0012039A"/>
    <w:rsid w:val="001205F8"/>
    <w:rsid w:val="00120789"/>
    <w:rsid w:val="00120796"/>
    <w:rsid w:val="00120B8B"/>
    <w:rsid w:val="00120C40"/>
    <w:rsid w:val="00120C49"/>
    <w:rsid w:val="00120D04"/>
    <w:rsid w:val="00120DC7"/>
    <w:rsid w:val="00120EAA"/>
    <w:rsid w:val="00120FBB"/>
    <w:rsid w:val="001210BA"/>
    <w:rsid w:val="001211AE"/>
    <w:rsid w:val="001211EB"/>
    <w:rsid w:val="001212B8"/>
    <w:rsid w:val="001217ED"/>
    <w:rsid w:val="00121846"/>
    <w:rsid w:val="001218E0"/>
    <w:rsid w:val="0012198B"/>
    <w:rsid w:val="00121BD9"/>
    <w:rsid w:val="00121DCE"/>
    <w:rsid w:val="00121E55"/>
    <w:rsid w:val="00121F04"/>
    <w:rsid w:val="00121F32"/>
    <w:rsid w:val="00121FB4"/>
    <w:rsid w:val="00122085"/>
    <w:rsid w:val="0012219D"/>
    <w:rsid w:val="001221A5"/>
    <w:rsid w:val="001224AF"/>
    <w:rsid w:val="001225A3"/>
    <w:rsid w:val="00122693"/>
    <w:rsid w:val="00122832"/>
    <w:rsid w:val="001228CF"/>
    <w:rsid w:val="001229D7"/>
    <w:rsid w:val="00122E3B"/>
    <w:rsid w:val="00122EEB"/>
    <w:rsid w:val="00123191"/>
    <w:rsid w:val="0012332F"/>
    <w:rsid w:val="00123485"/>
    <w:rsid w:val="001235A1"/>
    <w:rsid w:val="001237D9"/>
    <w:rsid w:val="00123C44"/>
    <w:rsid w:val="00123EE9"/>
    <w:rsid w:val="00123F53"/>
    <w:rsid w:val="0012442F"/>
    <w:rsid w:val="00124457"/>
    <w:rsid w:val="001245E9"/>
    <w:rsid w:val="001246CD"/>
    <w:rsid w:val="0012482F"/>
    <w:rsid w:val="0012498F"/>
    <w:rsid w:val="00124D90"/>
    <w:rsid w:val="00125059"/>
    <w:rsid w:val="0012522F"/>
    <w:rsid w:val="0012568E"/>
    <w:rsid w:val="00125A1A"/>
    <w:rsid w:val="00125ABD"/>
    <w:rsid w:val="00125D94"/>
    <w:rsid w:val="00125DFE"/>
    <w:rsid w:val="00125E62"/>
    <w:rsid w:val="00126119"/>
    <w:rsid w:val="00126263"/>
    <w:rsid w:val="00126708"/>
    <w:rsid w:val="00126809"/>
    <w:rsid w:val="00126D3C"/>
    <w:rsid w:val="00126D4D"/>
    <w:rsid w:val="00126E5A"/>
    <w:rsid w:val="001271D4"/>
    <w:rsid w:val="0012768E"/>
    <w:rsid w:val="00127B36"/>
    <w:rsid w:val="00127B97"/>
    <w:rsid w:val="00127C60"/>
    <w:rsid w:val="00127CBC"/>
    <w:rsid w:val="00127ED4"/>
    <w:rsid w:val="00127FF7"/>
    <w:rsid w:val="00130173"/>
    <w:rsid w:val="00130345"/>
    <w:rsid w:val="001304CC"/>
    <w:rsid w:val="00130842"/>
    <w:rsid w:val="0013097E"/>
    <w:rsid w:val="00130C9A"/>
    <w:rsid w:val="00130D8D"/>
    <w:rsid w:val="00130EB7"/>
    <w:rsid w:val="0013130D"/>
    <w:rsid w:val="00131321"/>
    <w:rsid w:val="00131667"/>
    <w:rsid w:val="00131689"/>
    <w:rsid w:val="0013177E"/>
    <w:rsid w:val="00131B33"/>
    <w:rsid w:val="00131B61"/>
    <w:rsid w:val="00131EEB"/>
    <w:rsid w:val="001324B5"/>
    <w:rsid w:val="0013274F"/>
    <w:rsid w:val="001330D1"/>
    <w:rsid w:val="0013312A"/>
    <w:rsid w:val="0013319D"/>
    <w:rsid w:val="0013345F"/>
    <w:rsid w:val="00133583"/>
    <w:rsid w:val="0013361C"/>
    <w:rsid w:val="00133843"/>
    <w:rsid w:val="001339F8"/>
    <w:rsid w:val="00133A2D"/>
    <w:rsid w:val="00133B29"/>
    <w:rsid w:val="00133C82"/>
    <w:rsid w:val="00133D91"/>
    <w:rsid w:val="00133E2A"/>
    <w:rsid w:val="00133E3B"/>
    <w:rsid w:val="00134020"/>
    <w:rsid w:val="00134116"/>
    <w:rsid w:val="001341D2"/>
    <w:rsid w:val="00134620"/>
    <w:rsid w:val="00134771"/>
    <w:rsid w:val="00134ABE"/>
    <w:rsid w:val="00134FE4"/>
    <w:rsid w:val="00135352"/>
    <w:rsid w:val="001355C3"/>
    <w:rsid w:val="001355CA"/>
    <w:rsid w:val="0013570A"/>
    <w:rsid w:val="00135864"/>
    <w:rsid w:val="001358A6"/>
    <w:rsid w:val="001359BB"/>
    <w:rsid w:val="00135C6C"/>
    <w:rsid w:val="00135E1A"/>
    <w:rsid w:val="00135F07"/>
    <w:rsid w:val="00136156"/>
    <w:rsid w:val="00136363"/>
    <w:rsid w:val="001365D4"/>
    <w:rsid w:val="001365EF"/>
    <w:rsid w:val="00136747"/>
    <w:rsid w:val="00136B1C"/>
    <w:rsid w:val="00136C49"/>
    <w:rsid w:val="001370A9"/>
    <w:rsid w:val="001370AE"/>
    <w:rsid w:val="001374CB"/>
    <w:rsid w:val="001374D8"/>
    <w:rsid w:val="00137734"/>
    <w:rsid w:val="00137823"/>
    <w:rsid w:val="0013782A"/>
    <w:rsid w:val="00137888"/>
    <w:rsid w:val="0013798B"/>
    <w:rsid w:val="001379F3"/>
    <w:rsid w:val="00137A21"/>
    <w:rsid w:val="00140122"/>
    <w:rsid w:val="0014018C"/>
    <w:rsid w:val="001401AE"/>
    <w:rsid w:val="00140589"/>
    <w:rsid w:val="00140958"/>
    <w:rsid w:val="00140C09"/>
    <w:rsid w:val="00140D09"/>
    <w:rsid w:val="00140D20"/>
    <w:rsid w:val="00140EC3"/>
    <w:rsid w:val="001415A8"/>
    <w:rsid w:val="00141805"/>
    <w:rsid w:val="0014189A"/>
    <w:rsid w:val="00141998"/>
    <w:rsid w:val="00141B60"/>
    <w:rsid w:val="00141BD6"/>
    <w:rsid w:val="00141FF9"/>
    <w:rsid w:val="001422E8"/>
    <w:rsid w:val="001424A8"/>
    <w:rsid w:val="00142697"/>
    <w:rsid w:val="001429DB"/>
    <w:rsid w:val="0014316D"/>
    <w:rsid w:val="001432E0"/>
    <w:rsid w:val="0014350A"/>
    <w:rsid w:val="00143595"/>
    <w:rsid w:val="0014372D"/>
    <w:rsid w:val="00143845"/>
    <w:rsid w:val="00143C22"/>
    <w:rsid w:val="00143EFF"/>
    <w:rsid w:val="00143FBD"/>
    <w:rsid w:val="00144168"/>
    <w:rsid w:val="00144196"/>
    <w:rsid w:val="001442B2"/>
    <w:rsid w:val="001442ED"/>
    <w:rsid w:val="0014447D"/>
    <w:rsid w:val="0014457C"/>
    <w:rsid w:val="00144920"/>
    <w:rsid w:val="00144DE7"/>
    <w:rsid w:val="00144F8C"/>
    <w:rsid w:val="001450CB"/>
    <w:rsid w:val="00145417"/>
    <w:rsid w:val="00145743"/>
    <w:rsid w:val="00145881"/>
    <w:rsid w:val="00145AD8"/>
    <w:rsid w:val="00145BA2"/>
    <w:rsid w:val="00145D14"/>
    <w:rsid w:val="00145D7C"/>
    <w:rsid w:val="00145F1D"/>
    <w:rsid w:val="00145F75"/>
    <w:rsid w:val="00145FAB"/>
    <w:rsid w:val="00146138"/>
    <w:rsid w:val="001461DB"/>
    <w:rsid w:val="001461E0"/>
    <w:rsid w:val="001464AF"/>
    <w:rsid w:val="001467AF"/>
    <w:rsid w:val="00146884"/>
    <w:rsid w:val="00146D26"/>
    <w:rsid w:val="00146DA3"/>
    <w:rsid w:val="00146EE7"/>
    <w:rsid w:val="0014712E"/>
    <w:rsid w:val="001471F5"/>
    <w:rsid w:val="00147231"/>
    <w:rsid w:val="0014792A"/>
    <w:rsid w:val="00147A38"/>
    <w:rsid w:val="00147A6D"/>
    <w:rsid w:val="00147AAF"/>
    <w:rsid w:val="00147C4B"/>
    <w:rsid w:val="00147E50"/>
    <w:rsid w:val="00150042"/>
    <w:rsid w:val="001502DA"/>
    <w:rsid w:val="0015048A"/>
    <w:rsid w:val="001505E9"/>
    <w:rsid w:val="00150654"/>
    <w:rsid w:val="0015075C"/>
    <w:rsid w:val="001507B9"/>
    <w:rsid w:val="00150931"/>
    <w:rsid w:val="00150E44"/>
    <w:rsid w:val="00150EEC"/>
    <w:rsid w:val="00151064"/>
    <w:rsid w:val="001512F5"/>
    <w:rsid w:val="0015132E"/>
    <w:rsid w:val="00151448"/>
    <w:rsid w:val="00151471"/>
    <w:rsid w:val="0015156A"/>
    <w:rsid w:val="00151710"/>
    <w:rsid w:val="00151825"/>
    <w:rsid w:val="001518CA"/>
    <w:rsid w:val="00151AD0"/>
    <w:rsid w:val="00151B4C"/>
    <w:rsid w:val="00151D01"/>
    <w:rsid w:val="00151D15"/>
    <w:rsid w:val="00151F10"/>
    <w:rsid w:val="00151F2D"/>
    <w:rsid w:val="00152037"/>
    <w:rsid w:val="001520EB"/>
    <w:rsid w:val="00152197"/>
    <w:rsid w:val="0015274C"/>
    <w:rsid w:val="0015296C"/>
    <w:rsid w:val="00152AEB"/>
    <w:rsid w:val="00152B7B"/>
    <w:rsid w:val="00152EAB"/>
    <w:rsid w:val="00153005"/>
    <w:rsid w:val="00153177"/>
    <w:rsid w:val="001532DC"/>
    <w:rsid w:val="0015358E"/>
    <w:rsid w:val="001537A3"/>
    <w:rsid w:val="0015394B"/>
    <w:rsid w:val="0015398D"/>
    <w:rsid w:val="001539D3"/>
    <w:rsid w:val="00153B9F"/>
    <w:rsid w:val="00153D10"/>
    <w:rsid w:val="00153F12"/>
    <w:rsid w:val="001541BA"/>
    <w:rsid w:val="001546B0"/>
    <w:rsid w:val="00154752"/>
    <w:rsid w:val="00154AC3"/>
    <w:rsid w:val="00154BDB"/>
    <w:rsid w:val="00154F6D"/>
    <w:rsid w:val="00154F78"/>
    <w:rsid w:val="0015502D"/>
    <w:rsid w:val="0015525E"/>
    <w:rsid w:val="001554CB"/>
    <w:rsid w:val="00155789"/>
    <w:rsid w:val="00155962"/>
    <w:rsid w:val="00155AFC"/>
    <w:rsid w:val="00155DBB"/>
    <w:rsid w:val="00155F46"/>
    <w:rsid w:val="00156005"/>
    <w:rsid w:val="00156021"/>
    <w:rsid w:val="00156429"/>
    <w:rsid w:val="00156550"/>
    <w:rsid w:val="00156707"/>
    <w:rsid w:val="001568E3"/>
    <w:rsid w:val="001569C9"/>
    <w:rsid w:val="00156CED"/>
    <w:rsid w:val="00157089"/>
    <w:rsid w:val="00157158"/>
    <w:rsid w:val="00157433"/>
    <w:rsid w:val="0015748D"/>
    <w:rsid w:val="001576B5"/>
    <w:rsid w:val="00157942"/>
    <w:rsid w:val="00157957"/>
    <w:rsid w:val="00157980"/>
    <w:rsid w:val="00157A40"/>
    <w:rsid w:val="00157A6D"/>
    <w:rsid w:val="00157F05"/>
    <w:rsid w:val="00160467"/>
    <w:rsid w:val="001604D1"/>
    <w:rsid w:val="001606FB"/>
    <w:rsid w:val="00160790"/>
    <w:rsid w:val="00160A79"/>
    <w:rsid w:val="00160C98"/>
    <w:rsid w:val="00160D55"/>
    <w:rsid w:val="00160DC7"/>
    <w:rsid w:val="00161CCB"/>
    <w:rsid w:val="00161F49"/>
    <w:rsid w:val="00161F7D"/>
    <w:rsid w:val="00161F9B"/>
    <w:rsid w:val="00162211"/>
    <w:rsid w:val="0016227F"/>
    <w:rsid w:val="001624BE"/>
    <w:rsid w:val="001624E5"/>
    <w:rsid w:val="0016256E"/>
    <w:rsid w:val="00162694"/>
    <w:rsid w:val="001627C5"/>
    <w:rsid w:val="001629AA"/>
    <w:rsid w:val="00162ACE"/>
    <w:rsid w:val="00162D29"/>
    <w:rsid w:val="00162F08"/>
    <w:rsid w:val="00162F4E"/>
    <w:rsid w:val="0016381C"/>
    <w:rsid w:val="00163918"/>
    <w:rsid w:val="00163A18"/>
    <w:rsid w:val="00163A2F"/>
    <w:rsid w:val="00163A58"/>
    <w:rsid w:val="00163DE7"/>
    <w:rsid w:val="00163E10"/>
    <w:rsid w:val="001640FE"/>
    <w:rsid w:val="001643CF"/>
    <w:rsid w:val="00164437"/>
    <w:rsid w:val="00164483"/>
    <w:rsid w:val="0016453E"/>
    <w:rsid w:val="0016463B"/>
    <w:rsid w:val="001647E5"/>
    <w:rsid w:val="00164A9B"/>
    <w:rsid w:val="00164B5C"/>
    <w:rsid w:val="00164D4A"/>
    <w:rsid w:val="00164E92"/>
    <w:rsid w:val="00164F3F"/>
    <w:rsid w:val="00164FF7"/>
    <w:rsid w:val="00165313"/>
    <w:rsid w:val="00165568"/>
    <w:rsid w:val="001655D2"/>
    <w:rsid w:val="001656B3"/>
    <w:rsid w:val="001656C9"/>
    <w:rsid w:val="00165793"/>
    <w:rsid w:val="00165A7D"/>
    <w:rsid w:val="00165BDD"/>
    <w:rsid w:val="00165C28"/>
    <w:rsid w:val="00165E78"/>
    <w:rsid w:val="001660B0"/>
    <w:rsid w:val="00166271"/>
    <w:rsid w:val="0016642F"/>
    <w:rsid w:val="0016655F"/>
    <w:rsid w:val="0016658D"/>
    <w:rsid w:val="00166794"/>
    <w:rsid w:val="00166AFC"/>
    <w:rsid w:val="00166B6B"/>
    <w:rsid w:val="00166B9F"/>
    <w:rsid w:val="00166C5B"/>
    <w:rsid w:val="00167163"/>
    <w:rsid w:val="00167196"/>
    <w:rsid w:val="00167198"/>
    <w:rsid w:val="00167BB9"/>
    <w:rsid w:val="00170378"/>
    <w:rsid w:val="0017078C"/>
    <w:rsid w:val="001707E3"/>
    <w:rsid w:val="001708DE"/>
    <w:rsid w:val="001708FA"/>
    <w:rsid w:val="00170D3B"/>
    <w:rsid w:val="00170E73"/>
    <w:rsid w:val="00170F3D"/>
    <w:rsid w:val="00170F43"/>
    <w:rsid w:val="0017109D"/>
    <w:rsid w:val="001710D9"/>
    <w:rsid w:val="0017123F"/>
    <w:rsid w:val="00171605"/>
    <w:rsid w:val="0017176D"/>
    <w:rsid w:val="00171800"/>
    <w:rsid w:val="001718C4"/>
    <w:rsid w:val="00171A85"/>
    <w:rsid w:val="00171ED0"/>
    <w:rsid w:val="00171F6E"/>
    <w:rsid w:val="00172395"/>
    <w:rsid w:val="00172424"/>
    <w:rsid w:val="001725A4"/>
    <w:rsid w:val="001728A1"/>
    <w:rsid w:val="001729A8"/>
    <w:rsid w:val="00172F5D"/>
    <w:rsid w:val="00173118"/>
    <w:rsid w:val="0017313D"/>
    <w:rsid w:val="001731DE"/>
    <w:rsid w:val="00173718"/>
    <w:rsid w:val="001738BF"/>
    <w:rsid w:val="00173BB1"/>
    <w:rsid w:val="00173C43"/>
    <w:rsid w:val="00173C52"/>
    <w:rsid w:val="00173DC6"/>
    <w:rsid w:val="00173DE9"/>
    <w:rsid w:val="00173E4B"/>
    <w:rsid w:val="0017408A"/>
    <w:rsid w:val="00174263"/>
    <w:rsid w:val="001742D8"/>
    <w:rsid w:val="001742ED"/>
    <w:rsid w:val="001743AC"/>
    <w:rsid w:val="001745DF"/>
    <w:rsid w:val="001747CC"/>
    <w:rsid w:val="001749F6"/>
    <w:rsid w:val="00174B9A"/>
    <w:rsid w:val="00174DC6"/>
    <w:rsid w:val="00174DCA"/>
    <w:rsid w:val="00174EC0"/>
    <w:rsid w:val="001754EA"/>
    <w:rsid w:val="00175584"/>
    <w:rsid w:val="001755B3"/>
    <w:rsid w:val="001757B1"/>
    <w:rsid w:val="00175852"/>
    <w:rsid w:val="00175D18"/>
    <w:rsid w:val="00175F0D"/>
    <w:rsid w:val="00175FC0"/>
    <w:rsid w:val="001760C7"/>
    <w:rsid w:val="0017624D"/>
    <w:rsid w:val="001762AE"/>
    <w:rsid w:val="00176405"/>
    <w:rsid w:val="001764A7"/>
    <w:rsid w:val="0017697F"/>
    <w:rsid w:val="001772E2"/>
    <w:rsid w:val="001774D7"/>
    <w:rsid w:val="001774DF"/>
    <w:rsid w:val="00177508"/>
    <w:rsid w:val="00177548"/>
    <w:rsid w:val="001775E1"/>
    <w:rsid w:val="0017761D"/>
    <w:rsid w:val="0017763B"/>
    <w:rsid w:val="00177917"/>
    <w:rsid w:val="00177AE5"/>
    <w:rsid w:val="00177CC5"/>
    <w:rsid w:val="00177CD1"/>
    <w:rsid w:val="00177E27"/>
    <w:rsid w:val="00177E2B"/>
    <w:rsid w:val="001802C5"/>
    <w:rsid w:val="00180335"/>
    <w:rsid w:val="001803E8"/>
    <w:rsid w:val="00180947"/>
    <w:rsid w:val="00180A86"/>
    <w:rsid w:val="00180D62"/>
    <w:rsid w:val="00180ED0"/>
    <w:rsid w:val="00181055"/>
    <w:rsid w:val="001810F3"/>
    <w:rsid w:val="0018136A"/>
    <w:rsid w:val="0018136B"/>
    <w:rsid w:val="001813AB"/>
    <w:rsid w:val="001816E9"/>
    <w:rsid w:val="0018187D"/>
    <w:rsid w:val="001818DA"/>
    <w:rsid w:val="00181AFA"/>
    <w:rsid w:val="00181DAF"/>
    <w:rsid w:val="001820F3"/>
    <w:rsid w:val="00182170"/>
    <w:rsid w:val="001823A4"/>
    <w:rsid w:val="001823CA"/>
    <w:rsid w:val="0018245B"/>
    <w:rsid w:val="001828FF"/>
    <w:rsid w:val="00182B83"/>
    <w:rsid w:val="001830CB"/>
    <w:rsid w:val="0018386F"/>
    <w:rsid w:val="00183BB9"/>
    <w:rsid w:val="00183C64"/>
    <w:rsid w:val="00183DFA"/>
    <w:rsid w:val="00183F12"/>
    <w:rsid w:val="00184426"/>
    <w:rsid w:val="001845BC"/>
    <w:rsid w:val="00184615"/>
    <w:rsid w:val="001846D8"/>
    <w:rsid w:val="00184843"/>
    <w:rsid w:val="0018493B"/>
    <w:rsid w:val="00184A70"/>
    <w:rsid w:val="00184E21"/>
    <w:rsid w:val="00184EDE"/>
    <w:rsid w:val="00184F37"/>
    <w:rsid w:val="0018505C"/>
    <w:rsid w:val="001851F3"/>
    <w:rsid w:val="00185351"/>
    <w:rsid w:val="00185457"/>
    <w:rsid w:val="001855BD"/>
    <w:rsid w:val="001857B7"/>
    <w:rsid w:val="00185868"/>
    <w:rsid w:val="0018590D"/>
    <w:rsid w:val="00185A3F"/>
    <w:rsid w:val="00185C84"/>
    <w:rsid w:val="00186010"/>
    <w:rsid w:val="001860FF"/>
    <w:rsid w:val="00186122"/>
    <w:rsid w:val="00186282"/>
    <w:rsid w:val="001864E4"/>
    <w:rsid w:val="0018654F"/>
    <w:rsid w:val="00186724"/>
    <w:rsid w:val="00186798"/>
    <w:rsid w:val="00186B70"/>
    <w:rsid w:val="00186C38"/>
    <w:rsid w:val="00186C75"/>
    <w:rsid w:val="00186E98"/>
    <w:rsid w:val="00186ED6"/>
    <w:rsid w:val="001870E7"/>
    <w:rsid w:val="0018734E"/>
    <w:rsid w:val="0018783E"/>
    <w:rsid w:val="00187964"/>
    <w:rsid w:val="0018799D"/>
    <w:rsid w:val="00187C12"/>
    <w:rsid w:val="00187F79"/>
    <w:rsid w:val="00187F88"/>
    <w:rsid w:val="00190461"/>
    <w:rsid w:val="0019078D"/>
    <w:rsid w:val="001908D1"/>
    <w:rsid w:val="0019093E"/>
    <w:rsid w:val="001909DB"/>
    <w:rsid w:val="00190B3B"/>
    <w:rsid w:val="00190D23"/>
    <w:rsid w:val="00190D51"/>
    <w:rsid w:val="00190DFD"/>
    <w:rsid w:val="00190F08"/>
    <w:rsid w:val="0019101B"/>
    <w:rsid w:val="00191178"/>
    <w:rsid w:val="001912B6"/>
    <w:rsid w:val="001912C3"/>
    <w:rsid w:val="001912E7"/>
    <w:rsid w:val="0019139D"/>
    <w:rsid w:val="00191690"/>
    <w:rsid w:val="00191711"/>
    <w:rsid w:val="00191B52"/>
    <w:rsid w:val="00191D13"/>
    <w:rsid w:val="0019200F"/>
    <w:rsid w:val="00192187"/>
    <w:rsid w:val="0019271F"/>
    <w:rsid w:val="00192783"/>
    <w:rsid w:val="0019287A"/>
    <w:rsid w:val="001928A8"/>
    <w:rsid w:val="0019297B"/>
    <w:rsid w:val="00192A47"/>
    <w:rsid w:val="00192B67"/>
    <w:rsid w:val="001933A4"/>
    <w:rsid w:val="001936C2"/>
    <w:rsid w:val="00193765"/>
    <w:rsid w:val="00193B9F"/>
    <w:rsid w:val="00193DC2"/>
    <w:rsid w:val="00193FE7"/>
    <w:rsid w:val="00194434"/>
    <w:rsid w:val="001944A3"/>
    <w:rsid w:val="00194D04"/>
    <w:rsid w:val="00194D07"/>
    <w:rsid w:val="00194D84"/>
    <w:rsid w:val="00194E69"/>
    <w:rsid w:val="00194E88"/>
    <w:rsid w:val="00195082"/>
    <w:rsid w:val="00195110"/>
    <w:rsid w:val="0019545E"/>
    <w:rsid w:val="0019551E"/>
    <w:rsid w:val="00195708"/>
    <w:rsid w:val="001957C7"/>
    <w:rsid w:val="00195800"/>
    <w:rsid w:val="00195922"/>
    <w:rsid w:val="00195B36"/>
    <w:rsid w:val="00195BC8"/>
    <w:rsid w:val="00195C5A"/>
    <w:rsid w:val="00195D9F"/>
    <w:rsid w:val="00195DA5"/>
    <w:rsid w:val="00195DAB"/>
    <w:rsid w:val="00195ECC"/>
    <w:rsid w:val="0019649F"/>
    <w:rsid w:val="001965EE"/>
    <w:rsid w:val="0019668B"/>
    <w:rsid w:val="001966BC"/>
    <w:rsid w:val="00196870"/>
    <w:rsid w:val="001968AB"/>
    <w:rsid w:val="001969AA"/>
    <w:rsid w:val="00196CA7"/>
    <w:rsid w:val="00196CD5"/>
    <w:rsid w:val="00196DBA"/>
    <w:rsid w:val="00196FBB"/>
    <w:rsid w:val="00196FD6"/>
    <w:rsid w:val="00197125"/>
    <w:rsid w:val="001971EC"/>
    <w:rsid w:val="00197468"/>
    <w:rsid w:val="0019748D"/>
    <w:rsid w:val="001976D3"/>
    <w:rsid w:val="0019790E"/>
    <w:rsid w:val="00197A4F"/>
    <w:rsid w:val="00197BFA"/>
    <w:rsid w:val="00197D2D"/>
    <w:rsid w:val="00197DBF"/>
    <w:rsid w:val="001A01CB"/>
    <w:rsid w:val="001A01F9"/>
    <w:rsid w:val="001A0225"/>
    <w:rsid w:val="001A0230"/>
    <w:rsid w:val="001A0312"/>
    <w:rsid w:val="001A0684"/>
    <w:rsid w:val="001A06E3"/>
    <w:rsid w:val="001A0878"/>
    <w:rsid w:val="001A0A68"/>
    <w:rsid w:val="001A0BAE"/>
    <w:rsid w:val="001A0BBC"/>
    <w:rsid w:val="001A0C66"/>
    <w:rsid w:val="001A0D40"/>
    <w:rsid w:val="001A10BF"/>
    <w:rsid w:val="001A111E"/>
    <w:rsid w:val="001A1170"/>
    <w:rsid w:val="001A12FA"/>
    <w:rsid w:val="001A1535"/>
    <w:rsid w:val="001A1706"/>
    <w:rsid w:val="001A18CB"/>
    <w:rsid w:val="001A1CC5"/>
    <w:rsid w:val="001A2215"/>
    <w:rsid w:val="001A2665"/>
    <w:rsid w:val="001A2685"/>
    <w:rsid w:val="001A2AFF"/>
    <w:rsid w:val="001A2DFB"/>
    <w:rsid w:val="001A31FD"/>
    <w:rsid w:val="001A3200"/>
    <w:rsid w:val="001A32C9"/>
    <w:rsid w:val="001A371D"/>
    <w:rsid w:val="001A386B"/>
    <w:rsid w:val="001A3870"/>
    <w:rsid w:val="001A3922"/>
    <w:rsid w:val="001A395B"/>
    <w:rsid w:val="001A39F6"/>
    <w:rsid w:val="001A3B0A"/>
    <w:rsid w:val="001A3C71"/>
    <w:rsid w:val="001A3C81"/>
    <w:rsid w:val="001A3FC0"/>
    <w:rsid w:val="001A4570"/>
    <w:rsid w:val="001A4793"/>
    <w:rsid w:val="001A4A95"/>
    <w:rsid w:val="001A4B3B"/>
    <w:rsid w:val="001A4D9F"/>
    <w:rsid w:val="001A4DDA"/>
    <w:rsid w:val="001A4E20"/>
    <w:rsid w:val="001A4F09"/>
    <w:rsid w:val="001A5108"/>
    <w:rsid w:val="001A5158"/>
    <w:rsid w:val="001A544D"/>
    <w:rsid w:val="001A55A2"/>
    <w:rsid w:val="001A5746"/>
    <w:rsid w:val="001A577A"/>
    <w:rsid w:val="001A57B5"/>
    <w:rsid w:val="001A5813"/>
    <w:rsid w:val="001A587F"/>
    <w:rsid w:val="001A58AB"/>
    <w:rsid w:val="001A58F1"/>
    <w:rsid w:val="001A597D"/>
    <w:rsid w:val="001A5AC8"/>
    <w:rsid w:val="001A606B"/>
    <w:rsid w:val="001A611F"/>
    <w:rsid w:val="001A657F"/>
    <w:rsid w:val="001A675D"/>
    <w:rsid w:val="001A68D5"/>
    <w:rsid w:val="001A6CA0"/>
    <w:rsid w:val="001A704A"/>
    <w:rsid w:val="001A70F0"/>
    <w:rsid w:val="001A7368"/>
    <w:rsid w:val="001A748A"/>
    <w:rsid w:val="001A7532"/>
    <w:rsid w:val="001A7699"/>
    <w:rsid w:val="001A76BD"/>
    <w:rsid w:val="001A7934"/>
    <w:rsid w:val="001A7AFD"/>
    <w:rsid w:val="001B00E5"/>
    <w:rsid w:val="001B013E"/>
    <w:rsid w:val="001B03EB"/>
    <w:rsid w:val="001B0455"/>
    <w:rsid w:val="001B0511"/>
    <w:rsid w:val="001B0608"/>
    <w:rsid w:val="001B06EE"/>
    <w:rsid w:val="001B0B8F"/>
    <w:rsid w:val="001B0C23"/>
    <w:rsid w:val="001B0D5E"/>
    <w:rsid w:val="001B0EFC"/>
    <w:rsid w:val="001B0F06"/>
    <w:rsid w:val="001B1130"/>
    <w:rsid w:val="001B11C8"/>
    <w:rsid w:val="001B1308"/>
    <w:rsid w:val="001B13AD"/>
    <w:rsid w:val="001B1492"/>
    <w:rsid w:val="001B1A8D"/>
    <w:rsid w:val="001B1CEE"/>
    <w:rsid w:val="001B1DA9"/>
    <w:rsid w:val="001B1EB7"/>
    <w:rsid w:val="001B21B7"/>
    <w:rsid w:val="001B2381"/>
    <w:rsid w:val="001B253D"/>
    <w:rsid w:val="001B2A09"/>
    <w:rsid w:val="001B2A16"/>
    <w:rsid w:val="001B2AD1"/>
    <w:rsid w:val="001B2AF3"/>
    <w:rsid w:val="001B2FB4"/>
    <w:rsid w:val="001B32AC"/>
    <w:rsid w:val="001B34E8"/>
    <w:rsid w:val="001B34FC"/>
    <w:rsid w:val="001B36B3"/>
    <w:rsid w:val="001B38C1"/>
    <w:rsid w:val="001B3A21"/>
    <w:rsid w:val="001B3A41"/>
    <w:rsid w:val="001B3C29"/>
    <w:rsid w:val="001B3E85"/>
    <w:rsid w:val="001B4051"/>
    <w:rsid w:val="001B414D"/>
    <w:rsid w:val="001B4200"/>
    <w:rsid w:val="001B482A"/>
    <w:rsid w:val="001B49CE"/>
    <w:rsid w:val="001B4CCE"/>
    <w:rsid w:val="001B4DCD"/>
    <w:rsid w:val="001B4F70"/>
    <w:rsid w:val="001B4FC9"/>
    <w:rsid w:val="001B5125"/>
    <w:rsid w:val="001B52F6"/>
    <w:rsid w:val="001B5372"/>
    <w:rsid w:val="001B559E"/>
    <w:rsid w:val="001B5693"/>
    <w:rsid w:val="001B5A9D"/>
    <w:rsid w:val="001B5D33"/>
    <w:rsid w:val="001B5FC8"/>
    <w:rsid w:val="001B6254"/>
    <w:rsid w:val="001B62FA"/>
    <w:rsid w:val="001B645B"/>
    <w:rsid w:val="001B6569"/>
    <w:rsid w:val="001B66B7"/>
    <w:rsid w:val="001B6A15"/>
    <w:rsid w:val="001B6B2E"/>
    <w:rsid w:val="001B6B71"/>
    <w:rsid w:val="001B6C7B"/>
    <w:rsid w:val="001B6DF8"/>
    <w:rsid w:val="001B6F6D"/>
    <w:rsid w:val="001B76FD"/>
    <w:rsid w:val="001B77F5"/>
    <w:rsid w:val="001B7BD3"/>
    <w:rsid w:val="001C03F2"/>
    <w:rsid w:val="001C0423"/>
    <w:rsid w:val="001C0B99"/>
    <w:rsid w:val="001C0C1E"/>
    <w:rsid w:val="001C0FD6"/>
    <w:rsid w:val="001C107A"/>
    <w:rsid w:val="001C11ED"/>
    <w:rsid w:val="001C141A"/>
    <w:rsid w:val="001C149E"/>
    <w:rsid w:val="001C177D"/>
    <w:rsid w:val="001C17A0"/>
    <w:rsid w:val="001C1A0F"/>
    <w:rsid w:val="001C1DB3"/>
    <w:rsid w:val="001C1E75"/>
    <w:rsid w:val="001C1FF8"/>
    <w:rsid w:val="001C20A0"/>
    <w:rsid w:val="001C212C"/>
    <w:rsid w:val="001C22C0"/>
    <w:rsid w:val="001C25B7"/>
    <w:rsid w:val="001C27CA"/>
    <w:rsid w:val="001C289C"/>
    <w:rsid w:val="001C29E5"/>
    <w:rsid w:val="001C2A9D"/>
    <w:rsid w:val="001C2D0C"/>
    <w:rsid w:val="001C2F24"/>
    <w:rsid w:val="001C2F45"/>
    <w:rsid w:val="001C2F64"/>
    <w:rsid w:val="001C305A"/>
    <w:rsid w:val="001C31AC"/>
    <w:rsid w:val="001C3587"/>
    <w:rsid w:val="001C38B2"/>
    <w:rsid w:val="001C392D"/>
    <w:rsid w:val="001C3DF4"/>
    <w:rsid w:val="001C40AD"/>
    <w:rsid w:val="001C42D5"/>
    <w:rsid w:val="001C44DE"/>
    <w:rsid w:val="001C453E"/>
    <w:rsid w:val="001C4856"/>
    <w:rsid w:val="001C4B67"/>
    <w:rsid w:val="001C4B9C"/>
    <w:rsid w:val="001C4C15"/>
    <w:rsid w:val="001C4E31"/>
    <w:rsid w:val="001C5095"/>
    <w:rsid w:val="001C51B9"/>
    <w:rsid w:val="001C540C"/>
    <w:rsid w:val="001C5492"/>
    <w:rsid w:val="001C55A4"/>
    <w:rsid w:val="001C59BA"/>
    <w:rsid w:val="001C5E45"/>
    <w:rsid w:val="001C5FC8"/>
    <w:rsid w:val="001C61DF"/>
    <w:rsid w:val="001C6616"/>
    <w:rsid w:val="001C6833"/>
    <w:rsid w:val="001C688F"/>
    <w:rsid w:val="001C6993"/>
    <w:rsid w:val="001C6A8D"/>
    <w:rsid w:val="001C6E5F"/>
    <w:rsid w:val="001C6FCA"/>
    <w:rsid w:val="001C72CF"/>
    <w:rsid w:val="001C7464"/>
    <w:rsid w:val="001C77CB"/>
    <w:rsid w:val="001C7AD1"/>
    <w:rsid w:val="001C7B65"/>
    <w:rsid w:val="001C7D0D"/>
    <w:rsid w:val="001D031F"/>
    <w:rsid w:val="001D0588"/>
    <w:rsid w:val="001D05FA"/>
    <w:rsid w:val="001D0780"/>
    <w:rsid w:val="001D090F"/>
    <w:rsid w:val="001D0B3A"/>
    <w:rsid w:val="001D0CFC"/>
    <w:rsid w:val="001D15C4"/>
    <w:rsid w:val="001D17BC"/>
    <w:rsid w:val="001D1819"/>
    <w:rsid w:val="001D1849"/>
    <w:rsid w:val="001D1A19"/>
    <w:rsid w:val="001D1C37"/>
    <w:rsid w:val="001D1C67"/>
    <w:rsid w:val="001D1D8A"/>
    <w:rsid w:val="001D2001"/>
    <w:rsid w:val="001D22BA"/>
    <w:rsid w:val="001D231A"/>
    <w:rsid w:val="001D2321"/>
    <w:rsid w:val="001D2334"/>
    <w:rsid w:val="001D2439"/>
    <w:rsid w:val="001D2576"/>
    <w:rsid w:val="001D29EE"/>
    <w:rsid w:val="001D2A6F"/>
    <w:rsid w:val="001D2DF3"/>
    <w:rsid w:val="001D2FA5"/>
    <w:rsid w:val="001D2FE5"/>
    <w:rsid w:val="001D3016"/>
    <w:rsid w:val="001D333E"/>
    <w:rsid w:val="001D352E"/>
    <w:rsid w:val="001D35DD"/>
    <w:rsid w:val="001D3F57"/>
    <w:rsid w:val="001D3F69"/>
    <w:rsid w:val="001D411F"/>
    <w:rsid w:val="001D43F7"/>
    <w:rsid w:val="001D44EE"/>
    <w:rsid w:val="001D4749"/>
    <w:rsid w:val="001D4834"/>
    <w:rsid w:val="001D4A05"/>
    <w:rsid w:val="001D4DBD"/>
    <w:rsid w:val="001D4DE7"/>
    <w:rsid w:val="001D4E28"/>
    <w:rsid w:val="001D4F2F"/>
    <w:rsid w:val="001D51CD"/>
    <w:rsid w:val="001D52B7"/>
    <w:rsid w:val="001D532E"/>
    <w:rsid w:val="001D5A58"/>
    <w:rsid w:val="001D5A78"/>
    <w:rsid w:val="001D5CD2"/>
    <w:rsid w:val="001D5E70"/>
    <w:rsid w:val="001D5F4E"/>
    <w:rsid w:val="001D5F8C"/>
    <w:rsid w:val="001D6067"/>
    <w:rsid w:val="001D61E5"/>
    <w:rsid w:val="001D61E9"/>
    <w:rsid w:val="001D6358"/>
    <w:rsid w:val="001D6588"/>
    <w:rsid w:val="001D6610"/>
    <w:rsid w:val="001D6899"/>
    <w:rsid w:val="001D6B5A"/>
    <w:rsid w:val="001D6BBB"/>
    <w:rsid w:val="001D6C31"/>
    <w:rsid w:val="001D6E4F"/>
    <w:rsid w:val="001D6E99"/>
    <w:rsid w:val="001D7576"/>
    <w:rsid w:val="001D75FA"/>
    <w:rsid w:val="001D780E"/>
    <w:rsid w:val="001D7A92"/>
    <w:rsid w:val="001D7BA4"/>
    <w:rsid w:val="001D7ED0"/>
    <w:rsid w:val="001E0162"/>
    <w:rsid w:val="001E01D8"/>
    <w:rsid w:val="001E01E7"/>
    <w:rsid w:val="001E0454"/>
    <w:rsid w:val="001E046E"/>
    <w:rsid w:val="001E05CA"/>
    <w:rsid w:val="001E0C49"/>
    <w:rsid w:val="001E0DB3"/>
    <w:rsid w:val="001E0E25"/>
    <w:rsid w:val="001E1131"/>
    <w:rsid w:val="001E13D5"/>
    <w:rsid w:val="001E14CB"/>
    <w:rsid w:val="001E1502"/>
    <w:rsid w:val="001E1A76"/>
    <w:rsid w:val="001E1B8D"/>
    <w:rsid w:val="001E2469"/>
    <w:rsid w:val="001E25AB"/>
    <w:rsid w:val="001E280B"/>
    <w:rsid w:val="001E2B81"/>
    <w:rsid w:val="001E3001"/>
    <w:rsid w:val="001E33AF"/>
    <w:rsid w:val="001E36C3"/>
    <w:rsid w:val="001E3794"/>
    <w:rsid w:val="001E37CF"/>
    <w:rsid w:val="001E3BD0"/>
    <w:rsid w:val="001E3CC1"/>
    <w:rsid w:val="001E3CE7"/>
    <w:rsid w:val="001E3F5D"/>
    <w:rsid w:val="001E4461"/>
    <w:rsid w:val="001E46AC"/>
    <w:rsid w:val="001E4758"/>
    <w:rsid w:val="001E48AC"/>
    <w:rsid w:val="001E4A81"/>
    <w:rsid w:val="001E4B2E"/>
    <w:rsid w:val="001E4BDF"/>
    <w:rsid w:val="001E4CDB"/>
    <w:rsid w:val="001E4E55"/>
    <w:rsid w:val="001E4E59"/>
    <w:rsid w:val="001E4E7E"/>
    <w:rsid w:val="001E5019"/>
    <w:rsid w:val="001E5072"/>
    <w:rsid w:val="001E5104"/>
    <w:rsid w:val="001E531A"/>
    <w:rsid w:val="001E543C"/>
    <w:rsid w:val="001E5568"/>
    <w:rsid w:val="001E5598"/>
    <w:rsid w:val="001E5658"/>
    <w:rsid w:val="001E57B6"/>
    <w:rsid w:val="001E5B18"/>
    <w:rsid w:val="001E5C58"/>
    <w:rsid w:val="001E5C9B"/>
    <w:rsid w:val="001E5D10"/>
    <w:rsid w:val="001E5F6F"/>
    <w:rsid w:val="001E62E2"/>
    <w:rsid w:val="001E62E7"/>
    <w:rsid w:val="001E650B"/>
    <w:rsid w:val="001E658F"/>
    <w:rsid w:val="001E65C1"/>
    <w:rsid w:val="001E65C8"/>
    <w:rsid w:val="001E66EB"/>
    <w:rsid w:val="001E678F"/>
    <w:rsid w:val="001E6973"/>
    <w:rsid w:val="001E7676"/>
    <w:rsid w:val="001E76FB"/>
    <w:rsid w:val="001E7751"/>
    <w:rsid w:val="001E78AC"/>
    <w:rsid w:val="001E7905"/>
    <w:rsid w:val="001E7B50"/>
    <w:rsid w:val="001E7D4F"/>
    <w:rsid w:val="001E7EF4"/>
    <w:rsid w:val="001F02DA"/>
    <w:rsid w:val="001F03DC"/>
    <w:rsid w:val="001F03F5"/>
    <w:rsid w:val="001F0830"/>
    <w:rsid w:val="001F0985"/>
    <w:rsid w:val="001F0B5E"/>
    <w:rsid w:val="001F0BFD"/>
    <w:rsid w:val="001F0EAD"/>
    <w:rsid w:val="001F0F7B"/>
    <w:rsid w:val="001F16E3"/>
    <w:rsid w:val="001F194F"/>
    <w:rsid w:val="001F1B63"/>
    <w:rsid w:val="001F1BBC"/>
    <w:rsid w:val="001F1DE0"/>
    <w:rsid w:val="001F206D"/>
    <w:rsid w:val="001F2697"/>
    <w:rsid w:val="001F28CC"/>
    <w:rsid w:val="001F2912"/>
    <w:rsid w:val="001F2929"/>
    <w:rsid w:val="001F2A79"/>
    <w:rsid w:val="001F2C85"/>
    <w:rsid w:val="001F3253"/>
    <w:rsid w:val="001F383B"/>
    <w:rsid w:val="001F3B23"/>
    <w:rsid w:val="001F3F2E"/>
    <w:rsid w:val="001F41F4"/>
    <w:rsid w:val="001F437D"/>
    <w:rsid w:val="001F438A"/>
    <w:rsid w:val="001F43A1"/>
    <w:rsid w:val="001F445F"/>
    <w:rsid w:val="001F47EE"/>
    <w:rsid w:val="001F48D9"/>
    <w:rsid w:val="001F4CCC"/>
    <w:rsid w:val="001F4D95"/>
    <w:rsid w:val="001F4DF2"/>
    <w:rsid w:val="001F5190"/>
    <w:rsid w:val="001F5306"/>
    <w:rsid w:val="001F5413"/>
    <w:rsid w:val="001F5441"/>
    <w:rsid w:val="001F556B"/>
    <w:rsid w:val="001F56E3"/>
    <w:rsid w:val="001F570F"/>
    <w:rsid w:val="001F5966"/>
    <w:rsid w:val="001F5AA7"/>
    <w:rsid w:val="001F5DAC"/>
    <w:rsid w:val="001F5E8F"/>
    <w:rsid w:val="001F5FC3"/>
    <w:rsid w:val="001F6104"/>
    <w:rsid w:val="001F6207"/>
    <w:rsid w:val="001F623F"/>
    <w:rsid w:val="001F6600"/>
    <w:rsid w:val="001F6619"/>
    <w:rsid w:val="001F69AA"/>
    <w:rsid w:val="001F6B88"/>
    <w:rsid w:val="001F6C94"/>
    <w:rsid w:val="001F6CDD"/>
    <w:rsid w:val="001F6E75"/>
    <w:rsid w:val="001F6E9E"/>
    <w:rsid w:val="001F6F69"/>
    <w:rsid w:val="001F6FDB"/>
    <w:rsid w:val="001F7006"/>
    <w:rsid w:val="001F7424"/>
    <w:rsid w:val="001F7552"/>
    <w:rsid w:val="001F784E"/>
    <w:rsid w:val="001F78AB"/>
    <w:rsid w:val="001F7CC6"/>
    <w:rsid w:val="00200103"/>
    <w:rsid w:val="0020024B"/>
    <w:rsid w:val="002007B4"/>
    <w:rsid w:val="00200B0F"/>
    <w:rsid w:val="00200E71"/>
    <w:rsid w:val="00201013"/>
    <w:rsid w:val="002011EF"/>
    <w:rsid w:val="002016F0"/>
    <w:rsid w:val="002017A9"/>
    <w:rsid w:val="002017C0"/>
    <w:rsid w:val="00201944"/>
    <w:rsid w:val="00201E01"/>
    <w:rsid w:val="0020251A"/>
    <w:rsid w:val="00202531"/>
    <w:rsid w:val="002025F6"/>
    <w:rsid w:val="00202797"/>
    <w:rsid w:val="002027E9"/>
    <w:rsid w:val="00202ABC"/>
    <w:rsid w:val="00202AFB"/>
    <w:rsid w:val="00202B58"/>
    <w:rsid w:val="00202B83"/>
    <w:rsid w:val="00202D26"/>
    <w:rsid w:val="00202E8A"/>
    <w:rsid w:val="002033F5"/>
    <w:rsid w:val="002034AC"/>
    <w:rsid w:val="002039F9"/>
    <w:rsid w:val="00203D75"/>
    <w:rsid w:val="00203F0B"/>
    <w:rsid w:val="002040E5"/>
    <w:rsid w:val="00204700"/>
    <w:rsid w:val="002048E7"/>
    <w:rsid w:val="002049CA"/>
    <w:rsid w:val="00204B41"/>
    <w:rsid w:val="00204C0A"/>
    <w:rsid w:val="00204CA6"/>
    <w:rsid w:val="00204F08"/>
    <w:rsid w:val="002050C4"/>
    <w:rsid w:val="0020521C"/>
    <w:rsid w:val="00205518"/>
    <w:rsid w:val="002058A1"/>
    <w:rsid w:val="002059C4"/>
    <w:rsid w:val="00205A5C"/>
    <w:rsid w:val="00205A92"/>
    <w:rsid w:val="00205B0E"/>
    <w:rsid w:val="00205B4D"/>
    <w:rsid w:val="00205DC7"/>
    <w:rsid w:val="00205E50"/>
    <w:rsid w:val="002062E6"/>
    <w:rsid w:val="0020632F"/>
    <w:rsid w:val="002063D7"/>
    <w:rsid w:val="002064E3"/>
    <w:rsid w:val="0020655D"/>
    <w:rsid w:val="00206A4F"/>
    <w:rsid w:val="00206AD3"/>
    <w:rsid w:val="00206B71"/>
    <w:rsid w:val="00206FE6"/>
    <w:rsid w:val="002071CA"/>
    <w:rsid w:val="002073FF"/>
    <w:rsid w:val="0020787D"/>
    <w:rsid w:val="00207922"/>
    <w:rsid w:val="0020792E"/>
    <w:rsid w:val="002079B9"/>
    <w:rsid w:val="00207AFA"/>
    <w:rsid w:val="00207E11"/>
    <w:rsid w:val="00207E3C"/>
    <w:rsid w:val="002100B4"/>
    <w:rsid w:val="0021063F"/>
    <w:rsid w:val="0021081C"/>
    <w:rsid w:val="002108FE"/>
    <w:rsid w:val="00210A14"/>
    <w:rsid w:val="00210CD1"/>
    <w:rsid w:val="00210DC2"/>
    <w:rsid w:val="00211009"/>
    <w:rsid w:val="00211120"/>
    <w:rsid w:val="00211178"/>
    <w:rsid w:val="002112CB"/>
    <w:rsid w:val="0021148C"/>
    <w:rsid w:val="00211B35"/>
    <w:rsid w:val="00211BDE"/>
    <w:rsid w:val="00211F0B"/>
    <w:rsid w:val="002125DE"/>
    <w:rsid w:val="00212A5B"/>
    <w:rsid w:val="00212BD8"/>
    <w:rsid w:val="0021356F"/>
    <w:rsid w:val="00213605"/>
    <w:rsid w:val="002137BC"/>
    <w:rsid w:val="00213833"/>
    <w:rsid w:val="00213880"/>
    <w:rsid w:val="00213F20"/>
    <w:rsid w:val="002140BC"/>
    <w:rsid w:val="00214466"/>
    <w:rsid w:val="00214D84"/>
    <w:rsid w:val="00215197"/>
    <w:rsid w:val="002151BD"/>
    <w:rsid w:val="00215742"/>
    <w:rsid w:val="00215821"/>
    <w:rsid w:val="002158A5"/>
    <w:rsid w:val="00215922"/>
    <w:rsid w:val="00215A33"/>
    <w:rsid w:val="002161E3"/>
    <w:rsid w:val="002162F6"/>
    <w:rsid w:val="00216493"/>
    <w:rsid w:val="0021651B"/>
    <w:rsid w:val="00216EEB"/>
    <w:rsid w:val="00216F37"/>
    <w:rsid w:val="0021707C"/>
    <w:rsid w:val="0021769F"/>
    <w:rsid w:val="00220103"/>
    <w:rsid w:val="00220220"/>
    <w:rsid w:val="002202B3"/>
    <w:rsid w:val="0022032A"/>
    <w:rsid w:val="002206D3"/>
    <w:rsid w:val="002208FD"/>
    <w:rsid w:val="00220A10"/>
    <w:rsid w:val="00220B56"/>
    <w:rsid w:val="00220B5D"/>
    <w:rsid w:val="00220E42"/>
    <w:rsid w:val="0022118D"/>
    <w:rsid w:val="002213D9"/>
    <w:rsid w:val="002216A4"/>
    <w:rsid w:val="00221C13"/>
    <w:rsid w:val="00221C2C"/>
    <w:rsid w:val="00221CB0"/>
    <w:rsid w:val="00221CCF"/>
    <w:rsid w:val="00221D17"/>
    <w:rsid w:val="00221D62"/>
    <w:rsid w:val="00221D72"/>
    <w:rsid w:val="00221DCB"/>
    <w:rsid w:val="0022220B"/>
    <w:rsid w:val="00222371"/>
    <w:rsid w:val="002225B5"/>
    <w:rsid w:val="002225E4"/>
    <w:rsid w:val="002225F3"/>
    <w:rsid w:val="00222C9D"/>
    <w:rsid w:val="00222DC0"/>
    <w:rsid w:val="0022301A"/>
    <w:rsid w:val="002231FA"/>
    <w:rsid w:val="002232D1"/>
    <w:rsid w:val="00223658"/>
    <w:rsid w:val="002236AA"/>
    <w:rsid w:val="002236D6"/>
    <w:rsid w:val="00223934"/>
    <w:rsid w:val="00223C02"/>
    <w:rsid w:val="00223DA4"/>
    <w:rsid w:val="002240A0"/>
    <w:rsid w:val="0022410A"/>
    <w:rsid w:val="00224247"/>
    <w:rsid w:val="002244E5"/>
    <w:rsid w:val="00224555"/>
    <w:rsid w:val="00224577"/>
    <w:rsid w:val="00224579"/>
    <w:rsid w:val="002249A1"/>
    <w:rsid w:val="00224EB3"/>
    <w:rsid w:val="002253F6"/>
    <w:rsid w:val="00225471"/>
    <w:rsid w:val="00225681"/>
    <w:rsid w:val="0022594D"/>
    <w:rsid w:val="00225A9F"/>
    <w:rsid w:val="00225B77"/>
    <w:rsid w:val="00225D72"/>
    <w:rsid w:val="0022618C"/>
    <w:rsid w:val="002263CE"/>
    <w:rsid w:val="002265D8"/>
    <w:rsid w:val="00226693"/>
    <w:rsid w:val="00226887"/>
    <w:rsid w:val="00226935"/>
    <w:rsid w:val="00226B0F"/>
    <w:rsid w:val="00226B34"/>
    <w:rsid w:val="00226C27"/>
    <w:rsid w:val="00226F1F"/>
    <w:rsid w:val="00226FA4"/>
    <w:rsid w:val="00226FAE"/>
    <w:rsid w:val="00227011"/>
    <w:rsid w:val="002271C4"/>
    <w:rsid w:val="002273CF"/>
    <w:rsid w:val="00227626"/>
    <w:rsid w:val="002276EF"/>
    <w:rsid w:val="00227716"/>
    <w:rsid w:val="00227BA4"/>
    <w:rsid w:val="00227FC2"/>
    <w:rsid w:val="002307D4"/>
    <w:rsid w:val="002309E1"/>
    <w:rsid w:val="00230C18"/>
    <w:rsid w:val="00230C8E"/>
    <w:rsid w:val="0023186D"/>
    <w:rsid w:val="00231A4F"/>
    <w:rsid w:val="00231B7D"/>
    <w:rsid w:val="00231E1B"/>
    <w:rsid w:val="00231F54"/>
    <w:rsid w:val="00231FE9"/>
    <w:rsid w:val="0023215C"/>
    <w:rsid w:val="002322F5"/>
    <w:rsid w:val="002322FA"/>
    <w:rsid w:val="00232379"/>
    <w:rsid w:val="00232508"/>
    <w:rsid w:val="002325D1"/>
    <w:rsid w:val="002326BB"/>
    <w:rsid w:val="00232A1B"/>
    <w:rsid w:val="00232CF4"/>
    <w:rsid w:val="00232E92"/>
    <w:rsid w:val="00232EC2"/>
    <w:rsid w:val="00232FA1"/>
    <w:rsid w:val="002332C0"/>
    <w:rsid w:val="00233304"/>
    <w:rsid w:val="00233423"/>
    <w:rsid w:val="002336AB"/>
    <w:rsid w:val="00233A0D"/>
    <w:rsid w:val="00233B36"/>
    <w:rsid w:val="00233C8B"/>
    <w:rsid w:val="00233D3A"/>
    <w:rsid w:val="00233E90"/>
    <w:rsid w:val="00233F29"/>
    <w:rsid w:val="00234267"/>
    <w:rsid w:val="00234301"/>
    <w:rsid w:val="002343A1"/>
    <w:rsid w:val="002343B5"/>
    <w:rsid w:val="00234703"/>
    <w:rsid w:val="00234877"/>
    <w:rsid w:val="002349C9"/>
    <w:rsid w:val="00234AEC"/>
    <w:rsid w:val="00234B50"/>
    <w:rsid w:val="00234BE9"/>
    <w:rsid w:val="00234C5E"/>
    <w:rsid w:val="00234F56"/>
    <w:rsid w:val="002352E6"/>
    <w:rsid w:val="00235381"/>
    <w:rsid w:val="002354A1"/>
    <w:rsid w:val="0023564C"/>
    <w:rsid w:val="002356F6"/>
    <w:rsid w:val="00235703"/>
    <w:rsid w:val="00235A94"/>
    <w:rsid w:val="00235BDC"/>
    <w:rsid w:val="00236240"/>
    <w:rsid w:val="0023631C"/>
    <w:rsid w:val="00236560"/>
    <w:rsid w:val="0023686C"/>
    <w:rsid w:val="00236A93"/>
    <w:rsid w:val="00236B48"/>
    <w:rsid w:val="00236BB6"/>
    <w:rsid w:val="00236E76"/>
    <w:rsid w:val="0023728C"/>
    <w:rsid w:val="00237321"/>
    <w:rsid w:val="0023765D"/>
    <w:rsid w:val="0023767C"/>
    <w:rsid w:val="0023769D"/>
    <w:rsid w:val="002376B4"/>
    <w:rsid w:val="00237813"/>
    <w:rsid w:val="00237866"/>
    <w:rsid w:val="0023793E"/>
    <w:rsid w:val="00237B4D"/>
    <w:rsid w:val="00237BE1"/>
    <w:rsid w:val="00237D4F"/>
    <w:rsid w:val="00237F7F"/>
    <w:rsid w:val="00237FF9"/>
    <w:rsid w:val="002400A3"/>
    <w:rsid w:val="00240115"/>
    <w:rsid w:val="002402DC"/>
    <w:rsid w:val="002402EC"/>
    <w:rsid w:val="002405F5"/>
    <w:rsid w:val="002406F3"/>
    <w:rsid w:val="0024076F"/>
    <w:rsid w:val="002407DC"/>
    <w:rsid w:val="002408EE"/>
    <w:rsid w:val="002409C0"/>
    <w:rsid w:val="00240A66"/>
    <w:rsid w:val="00240B51"/>
    <w:rsid w:val="00240D55"/>
    <w:rsid w:val="00240E61"/>
    <w:rsid w:val="00240E85"/>
    <w:rsid w:val="00240FE5"/>
    <w:rsid w:val="00240FF0"/>
    <w:rsid w:val="00241136"/>
    <w:rsid w:val="00241262"/>
    <w:rsid w:val="00241507"/>
    <w:rsid w:val="002416FF"/>
    <w:rsid w:val="00241719"/>
    <w:rsid w:val="00241953"/>
    <w:rsid w:val="00241B98"/>
    <w:rsid w:val="00241EB5"/>
    <w:rsid w:val="0024256D"/>
    <w:rsid w:val="00242921"/>
    <w:rsid w:val="00242CD0"/>
    <w:rsid w:val="00242D2A"/>
    <w:rsid w:val="00242E46"/>
    <w:rsid w:val="00242FE1"/>
    <w:rsid w:val="0024305D"/>
    <w:rsid w:val="00243296"/>
    <w:rsid w:val="00243348"/>
    <w:rsid w:val="00243603"/>
    <w:rsid w:val="0024386C"/>
    <w:rsid w:val="00243A46"/>
    <w:rsid w:val="00243A66"/>
    <w:rsid w:val="00243E3D"/>
    <w:rsid w:val="00243E5A"/>
    <w:rsid w:val="00244048"/>
    <w:rsid w:val="0024413B"/>
    <w:rsid w:val="00244361"/>
    <w:rsid w:val="0024436A"/>
    <w:rsid w:val="0024458E"/>
    <w:rsid w:val="002446C3"/>
    <w:rsid w:val="00244A36"/>
    <w:rsid w:val="00244D86"/>
    <w:rsid w:val="00244DC2"/>
    <w:rsid w:val="00244E1D"/>
    <w:rsid w:val="00244F6E"/>
    <w:rsid w:val="0024515D"/>
    <w:rsid w:val="002452B5"/>
    <w:rsid w:val="002456E7"/>
    <w:rsid w:val="00245747"/>
    <w:rsid w:val="00245DFB"/>
    <w:rsid w:val="00245E9A"/>
    <w:rsid w:val="002464BE"/>
    <w:rsid w:val="002464E6"/>
    <w:rsid w:val="002465F1"/>
    <w:rsid w:val="0024680A"/>
    <w:rsid w:val="00246BE9"/>
    <w:rsid w:val="00246CC1"/>
    <w:rsid w:val="00246DA3"/>
    <w:rsid w:val="00246EB1"/>
    <w:rsid w:val="00246F05"/>
    <w:rsid w:val="0024706D"/>
    <w:rsid w:val="00247125"/>
    <w:rsid w:val="00247375"/>
    <w:rsid w:val="00247E34"/>
    <w:rsid w:val="0025002F"/>
    <w:rsid w:val="00250074"/>
    <w:rsid w:val="002505A6"/>
    <w:rsid w:val="0025060A"/>
    <w:rsid w:val="00250654"/>
    <w:rsid w:val="002507E7"/>
    <w:rsid w:val="0025099B"/>
    <w:rsid w:val="00250D2F"/>
    <w:rsid w:val="00250DF6"/>
    <w:rsid w:val="00250EE2"/>
    <w:rsid w:val="0025109A"/>
    <w:rsid w:val="002510B0"/>
    <w:rsid w:val="00251123"/>
    <w:rsid w:val="00251231"/>
    <w:rsid w:val="00251249"/>
    <w:rsid w:val="00251338"/>
    <w:rsid w:val="0025141D"/>
    <w:rsid w:val="0025145F"/>
    <w:rsid w:val="00251585"/>
    <w:rsid w:val="0025162D"/>
    <w:rsid w:val="00251765"/>
    <w:rsid w:val="00251797"/>
    <w:rsid w:val="00251C0C"/>
    <w:rsid w:val="00251EE3"/>
    <w:rsid w:val="00251F74"/>
    <w:rsid w:val="00251F86"/>
    <w:rsid w:val="0025293C"/>
    <w:rsid w:val="00252EEF"/>
    <w:rsid w:val="002531EB"/>
    <w:rsid w:val="002533D3"/>
    <w:rsid w:val="002539EA"/>
    <w:rsid w:val="00253A9B"/>
    <w:rsid w:val="00253D52"/>
    <w:rsid w:val="00254148"/>
    <w:rsid w:val="002545A4"/>
    <w:rsid w:val="00254607"/>
    <w:rsid w:val="002546BB"/>
    <w:rsid w:val="002547A4"/>
    <w:rsid w:val="0025505A"/>
    <w:rsid w:val="002551DB"/>
    <w:rsid w:val="00255540"/>
    <w:rsid w:val="002555FD"/>
    <w:rsid w:val="00255844"/>
    <w:rsid w:val="002558DE"/>
    <w:rsid w:val="00255ABF"/>
    <w:rsid w:val="00255BF5"/>
    <w:rsid w:val="00255C11"/>
    <w:rsid w:val="00255F09"/>
    <w:rsid w:val="00255F10"/>
    <w:rsid w:val="00256163"/>
    <w:rsid w:val="002562CD"/>
    <w:rsid w:val="00256428"/>
    <w:rsid w:val="0025666A"/>
    <w:rsid w:val="00256F13"/>
    <w:rsid w:val="002573C0"/>
    <w:rsid w:val="002574B2"/>
    <w:rsid w:val="002575AA"/>
    <w:rsid w:val="00257637"/>
    <w:rsid w:val="002577E4"/>
    <w:rsid w:val="00257AAE"/>
    <w:rsid w:val="00257C9E"/>
    <w:rsid w:val="00260255"/>
    <w:rsid w:val="002603CE"/>
    <w:rsid w:val="002605B9"/>
    <w:rsid w:val="002607EC"/>
    <w:rsid w:val="00260849"/>
    <w:rsid w:val="002608E0"/>
    <w:rsid w:val="00260BD9"/>
    <w:rsid w:val="00260D18"/>
    <w:rsid w:val="00260E32"/>
    <w:rsid w:val="00261080"/>
    <w:rsid w:val="0026126C"/>
    <w:rsid w:val="00261655"/>
    <w:rsid w:val="0026171A"/>
    <w:rsid w:val="0026173B"/>
    <w:rsid w:val="00261997"/>
    <w:rsid w:val="00261D14"/>
    <w:rsid w:val="00261DA1"/>
    <w:rsid w:val="00261FC1"/>
    <w:rsid w:val="0026215F"/>
    <w:rsid w:val="00262445"/>
    <w:rsid w:val="00262589"/>
    <w:rsid w:val="002625B7"/>
    <w:rsid w:val="00262630"/>
    <w:rsid w:val="0026275F"/>
    <w:rsid w:val="0026277D"/>
    <w:rsid w:val="00262814"/>
    <w:rsid w:val="00262B87"/>
    <w:rsid w:val="00262D1E"/>
    <w:rsid w:val="00262D42"/>
    <w:rsid w:val="00262D70"/>
    <w:rsid w:val="00262FE4"/>
    <w:rsid w:val="0026316C"/>
    <w:rsid w:val="002633E9"/>
    <w:rsid w:val="00263675"/>
    <w:rsid w:val="00263955"/>
    <w:rsid w:val="00263A62"/>
    <w:rsid w:val="00263AC8"/>
    <w:rsid w:val="00263DF4"/>
    <w:rsid w:val="002642FA"/>
    <w:rsid w:val="002643A4"/>
    <w:rsid w:val="00264677"/>
    <w:rsid w:val="002646BC"/>
    <w:rsid w:val="00264995"/>
    <w:rsid w:val="00264AD8"/>
    <w:rsid w:val="00264E17"/>
    <w:rsid w:val="00264F3C"/>
    <w:rsid w:val="00265457"/>
    <w:rsid w:val="002655D6"/>
    <w:rsid w:val="002656C7"/>
    <w:rsid w:val="00265BD5"/>
    <w:rsid w:val="00265E77"/>
    <w:rsid w:val="002660A4"/>
    <w:rsid w:val="002662E1"/>
    <w:rsid w:val="002664A9"/>
    <w:rsid w:val="002664AA"/>
    <w:rsid w:val="00266520"/>
    <w:rsid w:val="002666B2"/>
    <w:rsid w:val="00266788"/>
    <w:rsid w:val="00266794"/>
    <w:rsid w:val="00266B29"/>
    <w:rsid w:val="00266BE1"/>
    <w:rsid w:val="00266CD9"/>
    <w:rsid w:val="002670A6"/>
    <w:rsid w:val="002673A4"/>
    <w:rsid w:val="00267753"/>
    <w:rsid w:val="00267E01"/>
    <w:rsid w:val="00267F91"/>
    <w:rsid w:val="00270008"/>
    <w:rsid w:val="002702B3"/>
    <w:rsid w:val="002705A1"/>
    <w:rsid w:val="00270724"/>
    <w:rsid w:val="0027091E"/>
    <w:rsid w:val="0027092A"/>
    <w:rsid w:val="00270AE3"/>
    <w:rsid w:val="00270BA8"/>
    <w:rsid w:val="00270BBA"/>
    <w:rsid w:val="00270D47"/>
    <w:rsid w:val="00270F37"/>
    <w:rsid w:val="00271145"/>
    <w:rsid w:val="00271264"/>
    <w:rsid w:val="002713A2"/>
    <w:rsid w:val="00271642"/>
    <w:rsid w:val="002716B8"/>
    <w:rsid w:val="002719A1"/>
    <w:rsid w:val="00271AAD"/>
    <w:rsid w:val="00271B83"/>
    <w:rsid w:val="0027212C"/>
    <w:rsid w:val="002721C8"/>
    <w:rsid w:val="0027255E"/>
    <w:rsid w:val="00272581"/>
    <w:rsid w:val="002727A8"/>
    <w:rsid w:val="002728F1"/>
    <w:rsid w:val="00272921"/>
    <w:rsid w:val="002729E8"/>
    <w:rsid w:val="00272A40"/>
    <w:rsid w:val="00272B5A"/>
    <w:rsid w:val="00272C0D"/>
    <w:rsid w:val="00272E06"/>
    <w:rsid w:val="00273090"/>
    <w:rsid w:val="002730D5"/>
    <w:rsid w:val="0027346C"/>
    <w:rsid w:val="002736C3"/>
    <w:rsid w:val="002737DE"/>
    <w:rsid w:val="0027381B"/>
    <w:rsid w:val="00273883"/>
    <w:rsid w:val="00273916"/>
    <w:rsid w:val="002739EB"/>
    <w:rsid w:val="00273A24"/>
    <w:rsid w:val="00273A57"/>
    <w:rsid w:val="00273C47"/>
    <w:rsid w:val="00273DF1"/>
    <w:rsid w:val="00273DF4"/>
    <w:rsid w:val="00273EBA"/>
    <w:rsid w:val="00273ECE"/>
    <w:rsid w:val="0027400E"/>
    <w:rsid w:val="002741A5"/>
    <w:rsid w:val="0027425D"/>
    <w:rsid w:val="002746C0"/>
    <w:rsid w:val="002748EB"/>
    <w:rsid w:val="00274AA2"/>
    <w:rsid w:val="00274CC8"/>
    <w:rsid w:val="00274CD3"/>
    <w:rsid w:val="00274D5F"/>
    <w:rsid w:val="00275545"/>
    <w:rsid w:val="00275566"/>
    <w:rsid w:val="002755DA"/>
    <w:rsid w:val="002755E2"/>
    <w:rsid w:val="00275941"/>
    <w:rsid w:val="0027597D"/>
    <w:rsid w:val="002759D8"/>
    <w:rsid w:val="00275B02"/>
    <w:rsid w:val="00275BF5"/>
    <w:rsid w:val="00275BF9"/>
    <w:rsid w:val="00275DC6"/>
    <w:rsid w:val="00276227"/>
    <w:rsid w:val="0027634B"/>
    <w:rsid w:val="0027642E"/>
    <w:rsid w:val="00276489"/>
    <w:rsid w:val="002766DA"/>
    <w:rsid w:val="00276726"/>
    <w:rsid w:val="00276818"/>
    <w:rsid w:val="00276880"/>
    <w:rsid w:val="002768C7"/>
    <w:rsid w:val="00276B01"/>
    <w:rsid w:val="00276C49"/>
    <w:rsid w:val="00276CE9"/>
    <w:rsid w:val="0027700F"/>
    <w:rsid w:val="00277070"/>
    <w:rsid w:val="002770AB"/>
    <w:rsid w:val="002772C6"/>
    <w:rsid w:val="00277353"/>
    <w:rsid w:val="002778A4"/>
    <w:rsid w:val="00277B17"/>
    <w:rsid w:val="00277B9E"/>
    <w:rsid w:val="00277C4C"/>
    <w:rsid w:val="00277EBB"/>
    <w:rsid w:val="00280061"/>
    <w:rsid w:val="002802C9"/>
    <w:rsid w:val="0028034A"/>
    <w:rsid w:val="00280567"/>
    <w:rsid w:val="00280912"/>
    <w:rsid w:val="00280A24"/>
    <w:rsid w:val="00280BFA"/>
    <w:rsid w:val="00280ED3"/>
    <w:rsid w:val="002811D5"/>
    <w:rsid w:val="00281217"/>
    <w:rsid w:val="002814B4"/>
    <w:rsid w:val="00281649"/>
    <w:rsid w:val="0028170E"/>
    <w:rsid w:val="00281896"/>
    <w:rsid w:val="00281921"/>
    <w:rsid w:val="002819DD"/>
    <w:rsid w:val="00281E08"/>
    <w:rsid w:val="00281E76"/>
    <w:rsid w:val="00282009"/>
    <w:rsid w:val="00282098"/>
    <w:rsid w:val="00282398"/>
    <w:rsid w:val="00282445"/>
    <w:rsid w:val="002824E2"/>
    <w:rsid w:val="0028260C"/>
    <w:rsid w:val="00282AB1"/>
    <w:rsid w:val="00282B72"/>
    <w:rsid w:val="00282BFE"/>
    <w:rsid w:val="00282DF9"/>
    <w:rsid w:val="0028318D"/>
    <w:rsid w:val="002832CB"/>
    <w:rsid w:val="002832D6"/>
    <w:rsid w:val="00283968"/>
    <w:rsid w:val="00283C0B"/>
    <w:rsid w:val="00283CCE"/>
    <w:rsid w:val="00283EAA"/>
    <w:rsid w:val="00283F7A"/>
    <w:rsid w:val="00284016"/>
    <w:rsid w:val="0028416E"/>
    <w:rsid w:val="002844E2"/>
    <w:rsid w:val="002845C9"/>
    <w:rsid w:val="002846EF"/>
    <w:rsid w:val="002847FA"/>
    <w:rsid w:val="00284A63"/>
    <w:rsid w:val="00285089"/>
    <w:rsid w:val="00285164"/>
    <w:rsid w:val="002852DF"/>
    <w:rsid w:val="002855C4"/>
    <w:rsid w:val="00285758"/>
    <w:rsid w:val="002859B2"/>
    <w:rsid w:val="00285D28"/>
    <w:rsid w:val="00285EFC"/>
    <w:rsid w:val="00285F70"/>
    <w:rsid w:val="00285F8E"/>
    <w:rsid w:val="00286033"/>
    <w:rsid w:val="00286127"/>
    <w:rsid w:val="00286162"/>
    <w:rsid w:val="0028659C"/>
    <w:rsid w:val="0028677C"/>
    <w:rsid w:val="00286948"/>
    <w:rsid w:val="00286986"/>
    <w:rsid w:val="00286A04"/>
    <w:rsid w:val="00286B8D"/>
    <w:rsid w:val="00286C7F"/>
    <w:rsid w:val="00286F3D"/>
    <w:rsid w:val="002870AF"/>
    <w:rsid w:val="0028798A"/>
    <w:rsid w:val="00287A96"/>
    <w:rsid w:val="00287DEF"/>
    <w:rsid w:val="0029032E"/>
    <w:rsid w:val="0029049F"/>
    <w:rsid w:val="0029070B"/>
    <w:rsid w:val="00290711"/>
    <w:rsid w:val="0029088D"/>
    <w:rsid w:val="0029091B"/>
    <w:rsid w:val="0029105F"/>
    <w:rsid w:val="00291131"/>
    <w:rsid w:val="002911B0"/>
    <w:rsid w:val="00291320"/>
    <w:rsid w:val="0029143E"/>
    <w:rsid w:val="00291488"/>
    <w:rsid w:val="00291592"/>
    <w:rsid w:val="00291723"/>
    <w:rsid w:val="002918CA"/>
    <w:rsid w:val="00291980"/>
    <w:rsid w:val="00291D42"/>
    <w:rsid w:val="00291DD4"/>
    <w:rsid w:val="00292016"/>
    <w:rsid w:val="0029237F"/>
    <w:rsid w:val="002925E2"/>
    <w:rsid w:val="0029262A"/>
    <w:rsid w:val="002926FC"/>
    <w:rsid w:val="00292A58"/>
    <w:rsid w:val="00292B70"/>
    <w:rsid w:val="002931B9"/>
    <w:rsid w:val="0029348D"/>
    <w:rsid w:val="0029363E"/>
    <w:rsid w:val="002936E9"/>
    <w:rsid w:val="0029380F"/>
    <w:rsid w:val="0029395A"/>
    <w:rsid w:val="00293A66"/>
    <w:rsid w:val="00293AD2"/>
    <w:rsid w:val="00293B13"/>
    <w:rsid w:val="00293CCC"/>
    <w:rsid w:val="00293EB5"/>
    <w:rsid w:val="002940F6"/>
    <w:rsid w:val="00294212"/>
    <w:rsid w:val="00294734"/>
    <w:rsid w:val="0029497B"/>
    <w:rsid w:val="00294BA7"/>
    <w:rsid w:val="00294C8D"/>
    <w:rsid w:val="00294CAC"/>
    <w:rsid w:val="00294DE2"/>
    <w:rsid w:val="00294E57"/>
    <w:rsid w:val="00294EA7"/>
    <w:rsid w:val="00294EBB"/>
    <w:rsid w:val="00294F72"/>
    <w:rsid w:val="002952B0"/>
    <w:rsid w:val="002957A0"/>
    <w:rsid w:val="002958AC"/>
    <w:rsid w:val="00295A40"/>
    <w:rsid w:val="00295B3D"/>
    <w:rsid w:val="00295B63"/>
    <w:rsid w:val="00295B91"/>
    <w:rsid w:val="002960D8"/>
    <w:rsid w:val="00296365"/>
    <w:rsid w:val="0029673A"/>
    <w:rsid w:val="002969AD"/>
    <w:rsid w:val="00296A12"/>
    <w:rsid w:val="00296C94"/>
    <w:rsid w:val="00296D23"/>
    <w:rsid w:val="00296E4A"/>
    <w:rsid w:val="002972D0"/>
    <w:rsid w:val="002973EE"/>
    <w:rsid w:val="0029757B"/>
    <w:rsid w:val="00297720"/>
    <w:rsid w:val="002977C9"/>
    <w:rsid w:val="002977F4"/>
    <w:rsid w:val="00297A0D"/>
    <w:rsid w:val="00297B2A"/>
    <w:rsid w:val="00297B4C"/>
    <w:rsid w:val="00297B75"/>
    <w:rsid w:val="00297B8F"/>
    <w:rsid w:val="00297C4A"/>
    <w:rsid w:val="00297D10"/>
    <w:rsid w:val="00297E52"/>
    <w:rsid w:val="00297FB0"/>
    <w:rsid w:val="002A0075"/>
    <w:rsid w:val="002A00A4"/>
    <w:rsid w:val="002A0496"/>
    <w:rsid w:val="002A04D5"/>
    <w:rsid w:val="002A0513"/>
    <w:rsid w:val="002A0889"/>
    <w:rsid w:val="002A0E06"/>
    <w:rsid w:val="002A107E"/>
    <w:rsid w:val="002A10E1"/>
    <w:rsid w:val="002A13B7"/>
    <w:rsid w:val="002A13F6"/>
    <w:rsid w:val="002A1477"/>
    <w:rsid w:val="002A15AE"/>
    <w:rsid w:val="002A15B3"/>
    <w:rsid w:val="002A1995"/>
    <w:rsid w:val="002A21C6"/>
    <w:rsid w:val="002A26F2"/>
    <w:rsid w:val="002A2714"/>
    <w:rsid w:val="002A27FD"/>
    <w:rsid w:val="002A297E"/>
    <w:rsid w:val="002A2D22"/>
    <w:rsid w:val="002A2E5F"/>
    <w:rsid w:val="002A31B2"/>
    <w:rsid w:val="002A3224"/>
    <w:rsid w:val="002A3363"/>
    <w:rsid w:val="002A33B7"/>
    <w:rsid w:val="002A3406"/>
    <w:rsid w:val="002A3D53"/>
    <w:rsid w:val="002A3FE0"/>
    <w:rsid w:val="002A4077"/>
    <w:rsid w:val="002A4252"/>
    <w:rsid w:val="002A4362"/>
    <w:rsid w:val="002A4394"/>
    <w:rsid w:val="002A44A2"/>
    <w:rsid w:val="002A45A9"/>
    <w:rsid w:val="002A498E"/>
    <w:rsid w:val="002A4A55"/>
    <w:rsid w:val="002A4BF7"/>
    <w:rsid w:val="002A4D1E"/>
    <w:rsid w:val="002A4D29"/>
    <w:rsid w:val="002A4E63"/>
    <w:rsid w:val="002A4EAB"/>
    <w:rsid w:val="002A4EC0"/>
    <w:rsid w:val="002A5014"/>
    <w:rsid w:val="002A50B7"/>
    <w:rsid w:val="002A5242"/>
    <w:rsid w:val="002A5243"/>
    <w:rsid w:val="002A525A"/>
    <w:rsid w:val="002A566B"/>
    <w:rsid w:val="002A57C8"/>
    <w:rsid w:val="002A57D2"/>
    <w:rsid w:val="002A590B"/>
    <w:rsid w:val="002A6239"/>
    <w:rsid w:val="002A6401"/>
    <w:rsid w:val="002A644A"/>
    <w:rsid w:val="002A6673"/>
    <w:rsid w:val="002A670C"/>
    <w:rsid w:val="002A6B84"/>
    <w:rsid w:val="002A6BD2"/>
    <w:rsid w:val="002A6E0F"/>
    <w:rsid w:val="002A6F4A"/>
    <w:rsid w:val="002A6F73"/>
    <w:rsid w:val="002A7123"/>
    <w:rsid w:val="002A73F7"/>
    <w:rsid w:val="002A740A"/>
    <w:rsid w:val="002A755E"/>
    <w:rsid w:val="002A78BF"/>
    <w:rsid w:val="002A78E3"/>
    <w:rsid w:val="002A7978"/>
    <w:rsid w:val="002A7B4E"/>
    <w:rsid w:val="002B0378"/>
    <w:rsid w:val="002B0522"/>
    <w:rsid w:val="002B0527"/>
    <w:rsid w:val="002B0590"/>
    <w:rsid w:val="002B07F9"/>
    <w:rsid w:val="002B0BC2"/>
    <w:rsid w:val="002B0CF6"/>
    <w:rsid w:val="002B0D05"/>
    <w:rsid w:val="002B0EA1"/>
    <w:rsid w:val="002B0EB1"/>
    <w:rsid w:val="002B0F87"/>
    <w:rsid w:val="002B132A"/>
    <w:rsid w:val="002B14D4"/>
    <w:rsid w:val="002B1680"/>
    <w:rsid w:val="002B16DA"/>
    <w:rsid w:val="002B178B"/>
    <w:rsid w:val="002B182B"/>
    <w:rsid w:val="002B1A18"/>
    <w:rsid w:val="002B1FE5"/>
    <w:rsid w:val="002B23A2"/>
    <w:rsid w:val="002B247A"/>
    <w:rsid w:val="002B25B8"/>
    <w:rsid w:val="002B2608"/>
    <w:rsid w:val="002B269D"/>
    <w:rsid w:val="002B26D0"/>
    <w:rsid w:val="002B296D"/>
    <w:rsid w:val="002B2B5C"/>
    <w:rsid w:val="002B2EA4"/>
    <w:rsid w:val="002B31B4"/>
    <w:rsid w:val="002B31B6"/>
    <w:rsid w:val="002B34DE"/>
    <w:rsid w:val="002B38D6"/>
    <w:rsid w:val="002B3A0C"/>
    <w:rsid w:val="002B3A43"/>
    <w:rsid w:val="002B3DD3"/>
    <w:rsid w:val="002B3F05"/>
    <w:rsid w:val="002B4141"/>
    <w:rsid w:val="002B4147"/>
    <w:rsid w:val="002B4219"/>
    <w:rsid w:val="002B4436"/>
    <w:rsid w:val="002B46AD"/>
    <w:rsid w:val="002B4784"/>
    <w:rsid w:val="002B4792"/>
    <w:rsid w:val="002B48AF"/>
    <w:rsid w:val="002B4908"/>
    <w:rsid w:val="002B4A28"/>
    <w:rsid w:val="002B4CBA"/>
    <w:rsid w:val="002B4DD8"/>
    <w:rsid w:val="002B54FA"/>
    <w:rsid w:val="002B56BD"/>
    <w:rsid w:val="002B57C9"/>
    <w:rsid w:val="002B5A94"/>
    <w:rsid w:val="002B5CC0"/>
    <w:rsid w:val="002B62AB"/>
    <w:rsid w:val="002B6485"/>
    <w:rsid w:val="002B666A"/>
    <w:rsid w:val="002B670B"/>
    <w:rsid w:val="002B6D39"/>
    <w:rsid w:val="002B6E5B"/>
    <w:rsid w:val="002B6FB0"/>
    <w:rsid w:val="002B7686"/>
    <w:rsid w:val="002B7725"/>
    <w:rsid w:val="002B7754"/>
    <w:rsid w:val="002B7773"/>
    <w:rsid w:val="002B79AD"/>
    <w:rsid w:val="002B7AD7"/>
    <w:rsid w:val="002B7C3B"/>
    <w:rsid w:val="002B7D36"/>
    <w:rsid w:val="002C0294"/>
    <w:rsid w:val="002C055B"/>
    <w:rsid w:val="002C08AE"/>
    <w:rsid w:val="002C0B90"/>
    <w:rsid w:val="002C0C0C"/>
    <w:rsid w:val="002C0C84"/>
    <w:rsid w:val="002C0DDF"/>
    <w:rsid w:val="002C104F"/>
    <w:rsid w:val="002C1452"/>
    <w:rsid w:val="002C18DA"/>
    <w:rsid w:val="002C1D6E"/>
    <w:rsid w:val="002C1D85"/>
    <w:rsid w:val="002C1DFA"/>
    <w:rsid w:val="002C1F07"/>
    <w:rsid w:val="002C1FBE"/>
    <w:rsid w:val="002C21CC"/>
    <w:rsid w:val="002C233C"/>
    <w:rsid w:val="002C237E"/>
    <w:rsid w:val="002C240B"/>
    <w:rsid w:val="002C2457"/>
    <w:rsid w:val="002C280E"/>
    <w:rsid w:val="002C28CF"/>
    <w:rsid w:val="002C2918"/>
    <w:rsid w:val="002C2A87"/>
    <w:rsid w:val="002C2CFC"/>
    <w:rsid w:val="002C2EFA"/>
    <w:rsid w:val="002C30DB"/>
    <w:rsid w:val="002C30FD"/>
    <w:rsid w:val="002C3293"/>
    <w:rsid w:val="002C3628"/>
    <w:rsid w:val="002C3D52"/>
    <w:rsid w:val="002C3D57"/>
    <w:rsid w:val="002C3FB7"/>
    <w:rsid w:val="002C40B6"/>
    <w:rsid w:val="002C4C5E"/>
    <w:rsid w:val="002C4C91"/>
    <w:rsid w:val="002C4FFA"/>
    <w:rsid w:val="002C5126"/>
    <w:rsid w:val="002C5261"/>
    <w:rsid w:val="002C52AA"/>
    <w:rsid w:val="002C52D6"/>
    <w:rsid w:val="002C52F5"/>
    <w:rsid w:val="002C5468"/>
    <w:rsid w:val="002C556C"/>
    <w:rsid w:val="002C5799"/>
    <w:rsid w:val="002C5808"/>
    <w:rsid w:val="002C5823"/>
    <w:rsid w:val="002C59A1"/>
    <w:rsid w:val="002C5B27"/>
    <w:rsid w:val="002C5F4A"/>
    <w:rsid w:val="002C6083"/>
    <w:rsid w:val="002C6113"/>
    <w:rsid w:val="002C63F8"/>
    <w:rsid w:val="002C64B6"/>
    <w:rsid w:val="002C6575"/>
    <w:rsid w:val="002C65A8"/>
    <w:rsid w:val="002C6A2E"/>
    <w:rsid w:val="002C6A92"/>
    <w:rsid w:val="002C6C3C"/>
    <w:rsid w:val="002C751A"/>
    <w:rsid w:val="002C7649"/>
    <w:rsid w:val="002C7908"/>
    <w:rsid w:val="002C7A16"/>
    <w:rsid w:val="002C7B2B"/>
    <w:rsid w:val="002C7CE4"/>
    <w:rsid w:val="002C7DBB"/>
    <w:rsid w:val="002C7F68"/>
    <w:rsid w:val="002D00D9"/>
    <w:rsid w:val="002D049E"/>
    <w:rsid w:val="002D0508"/>
    <w:rsid w:val="002D0600"/>
    <w:rsid w:val="002D060F"/>
    <w:rsid w:val="002D077C"/>
    <w:rsid w:val="002D0A49"/>
    <w:rsid w:val="002D0E62"/>
    <w:rsid w:val="002D0E9E"/>
    <w:rsid w:val="002D1013"/>
    <w:rsid w:val="002D1021"/>
    <w:rsid w:val="002D11B0"/>
    <w:rsid w:val="002D130B"/>
    <w:rsid w:val="002D1470"/>
    <w:rsid w:val="002D1756"/>
    <w:rsid w:val="002D1889"/>
    <w:rsid w:val="002D1A69"/>
    <w:rsid w:val="002D1D36"/>
    <w:rsid w:val="002D1DCF"/>
    <w:rsid w:val="002D1E7E"/>
    <w:rsid w:val="002D1E85"/>
    <w:rsid w:val="002D1E86"/>
    <w:rsid w:val="002D200E"/>
    <w:rsid w:val="002D2091"/>
    <w:rsid w:val="002D2288"/>
    <w:rsid w:val="002D24A2"/>
    <w:rsid w:val="002D2656"/>
    <w:rsid w:val="002D278A"/>
    <w:rsid w:val="002D27A3"/>
    <w:rsid w:val="002D27B7"/>
    <w:rsid w:val="002D27FA"/>
    <w:rsid w:val="002D2CEB"/>
    <w:rsid w:val="002D3004"/>
    <w:rsid w:val="002D3108"/>
    <w:rsid w:val="002D3269"/>
    <w:rsid w:val="002D3398"/>
    <w:rsid w:val="002D33FB"/>
    <w:rsid w:val="002D395E"/>
    <w:rsid w:val="002D3A6A"/>
    <w:rsid w:val="002D3C69"/>
    <w:rsid w:val="002D3DFC"/>
    <w:rsid w:val="002D3E4A"/>
    <w:rsid w:val="002D4056"/>
    <w:rsid w:val="002D412A"/>
    <w:rsid w:val="002D443A"/>
    <w:rsid w:val="002D450C"/>
    <w:rsid w:val="002D46EA"/>
    <w:rsid w:val="002D49FA"/>
    <w:rsid w:val="002D4B1A"/>
    <w:rsid w:val="002D4DA9"/>
    <w:rsid w:val="002D4DCA"/>
    <w:rsid w:val="002D4EFE"/>
    <w:rsid w:val="002D4F7B"/>
    <w:rsid w:val="002D4FB3"/>
    <w:rsid w:val="002D5105"/>
    <w:rsid w:val="002D5136"/>
    <w:rsid w:val="002D5235"/>
    <w:rsid w:val="002D5295"/>
    <w:rsid w:val="002D52CA"/>
    <w:rsid w:val="002D55F4"/>
    <w:rsid w:val="002D5752"/>
    <w:rsid w:val="002D595A"/>
    <w:rsid w:val="002D5D52"/>
    <w:rsid w:val="002D60AD"/>
    <w:rsid w:val="002D6341"/>
    <w:rsid w:val="002D6379"/>
    <w:rsid w:val="002D6609"/>
    <w:rsid w:val="002D67AD"/>
    <w:rsid w:val="002D67BD"/>
    <w:rsid w:val="002D6B23"/>
    <w:rsid w:val="002D6E00"/>
    <w:rsid w:val="002D7282"/>
    <w:rsid w:val="002D7710"/>
    <w:rsid w:val="002D783E"/>
    <w:rsid w:val="002D7DA5"/>
    <w:rsid w:val="002D7F2D"/>
    <w:rsid w:val="002E00F2"/>
    <w:rsid w:val="002E0124"/>
    <w:rsid w:val="002E012D"/>
    <w:rsid w:val="002E026A"/>
    <w:rsid w:val="002E05AE"/>
    <w:rsid w:val="002E07E9"/>
    <w:rsid w:val="002E08C8"/>
    <w:rsid w:val="002E0BA1"/>
    <w:rsid w:val="002E0D67"/>
    <w:rsid w:val="002E0F77"/>
    <w:rsid w:val="002E114D"/>
    <w:rsid w:val="002E1247"/>
    <w:rsid w:val="002E12F8"/>
    <w:rsid w:val="002E1401"/>
    <w:rsid w:val="002E147B"/>
    <w:rsid w:val="002E14BA"/>
    <w:rsid w:val="002E1581"/>
    <w:rsid w:val="002E18D1"/>
    <w:rsid w:val="002E1933"/>
    <w:rsid w:val="002E19A1"/>
    <w:rsid w:val="002E19F4"/>
    <w:rsid w:val="002E1B6C"/>
    <w:rsid w:val="002E1BB7"/>
    <w:rsid w:val="002E1D7E"/>
    <w:rsid w:val="002E202B"/>
    <w:rsid w:val="002E20F1"/>
    <w:rsid w:val="002E21AF"/>
    <w:rsid w:val="002E27F2"/>
    <w:rsid w:val="002E289E"/>
    <w:rsid w:val="002E2AC2"/>
    <w:rsid w:val="002E2C22"/>
    <w:rsid w:val="002E2CB9"/>
    <w:rsid w:val="002E2DC0"/>
    <w:rsid w:val="002E2EE0"/>
    <w:rsid w:val="002E2EE3"/>
    <w:rsid w:val="002E2FFC"/>
    <w:rsid w:val="002E335D"/>
    <w:rsid w:val="002E349F"/>
    <w:rsid w:val="002E36D5"/>
    <w:rsid w:val="002E37CE"/>
    <w:rsid w:val="002E3A18"/>
    <w:rsid w:val="002E3D60"/>
    <w:rsid w:val="002E3D64"/>
    <w:rsid w:val="002E3DEA"/>
    <w:rsid w:val="002E44CB"/>
    <w:rsid w:val="002E4532"/>
    <w:rsid w:val="002E45E7"/>
    <w:rsid w:val="002E47D2"/>
    <w:rsid w:val="002E4880"/>
    <w:rsid w:val="002E494E"/>
    <w:rsid w:val="002E4990"/>
    <w:rsid w:val="002E4BAF"/>
    <w:rsid w:val="002E5150"/>
    <w:rsid w:val="002E552A"/>
    <w:rsid w:val="002E5566"/>
    <w:rsid w:val="002E58DE"/>
    <w:rsid w:val="002E595A"/>
    <w:rsid w:val="002E5D46"/>
    <w:rsid w:val="002E5D96"/>
    <w:rsid w:val="002E5E24"/>
    <w:rsid w:val="002E5E5D"/>
    <w:rsid w:val="002E65E3"/>
    <w:rsid w:val="002E6886"/>
    <w:rsid w:val="002E6B29"/>
    <w:rsid w:val="002E6EEF"/>
    <w:rsid w:val="002E709D"/>
    <w:rsid w:val="002E72AB"/>
    <w:rsid w:val="002E72F8"/>
    <w:rsid w:val="002E7810"/>
    <w:rsid w:val="002E796C"/>
    <w:rsid w:val="002E7986"/>
    <w:rsid w:val="002E7C6B"/>
    <w:rsid w:val="002E7CB4"/>
    <w:rsid w:val="002F003E"/>
    <w:rsid w:val="002F04AC"/>
    <w:rsid w:val="002F04D2"/>
    <w:rsid w:val="002F05BA"/>
    <w:rsid w:val="002F08EF"/>
    <w:rsid w:val="002F0A9F"/>
    <w:rsid w:val="002F0B31"/>
    <w:rsid w:val="002F0BB9"/>
    <w:rsid w:val="002F0C74"/>
    <w:rsid w:val="002F0D7A"/>
    <w:rsid w:val="002F0F3F"/>
    <w:rsid w:val="002F0F78"/>
    <w:rsid w:val="002F1418"/>
    <w:rsid w:val="002F1665"/>
    <w:rsid w:val="002F1A5F"/>
    <w:rsid w:val="002F1B64"/>
    <w:rsid w:val="002F1BEE"/>
    <w:rsid w:val="002F1C82"/>
    <w:rsid w:val="002F1E73"/>
    <w:rsid w:val="002F20D0"/>
    <w:rsid w:val="002F260E"/>
    <w:rsid w:val="002F2674"/>
    <w:rsid w:val="002F271B"/>
    <w:rsid w:val="002F290D"/>
    <w:rsid w:val="002F2AED"/>
    <w:rsid w:val="002F2BB8"/>
    <w:rsid w:val="002F2C81"/>
    <w:rsid w:val="002F31D0"/>
    <w:rsid w:val="002F326D"/>
    <w:rsid w:val="002F3366"/>
    <w:rsid w:val="002F3425"/>
    <w:rsid w:val="002F3524"/>
    <w:rsid w:val="002F3540"/>
    <w:rsid w:val="002F35C9"/>
    <w:rsid w:val="002F35DD"/>
    <w:rsid w:val="002F3615"/>
    <w:rsid w:val="002F3766"/>
    <w:rsid w:val="002F37BD"/>
    <w:rsid w:val="002F386B"/>
    <w:rsid w:val="002F3AB5"/>
    <w:rsid w:val="002F3B4E"/>
    <w:rsid w:val="002F3F39"/>
    <w:rsid w:val="002F3FF1"/>
    <w:rsid w:val="002F3FFD"/>
    <w:rsid w:val="002F4260"/>
    <w:rsid w:val="002F429C"/>
    <w:rsid w:val="002F4390"/>
    <w:rsid w:val="002F4509"/>
    <w:rsid w:val="002F4630"/>
    <w:rsid w:val="002F474B"/>
    <w:rsid w:val="002F4A0C"/>
    <w:rsid w:val="002F4A42"/>
    <w:rsid w:val="002F5789"/>
    <w:rsid w:val="002F5C67"/>
    <w:rsid w:val="002F614B"/>
    <w:rsid w:val="002F69AB"/>
    <w:rsid w:val="002F6BEA"/>
    <w:rsid w:val="002F6C7E"/>
    <w:rsid w:val="002F6C96"/>
    <w:rsid w:val="002F6D06"/>
    <w:rsid w:val="002F70D5"/>
    <w:rsid w:val="002F716A"/>
    <w:rsid w:val="002F7198"/>
    <w:rsid w:val="002F74EA"/>
    <w:rsid w:val="002F75B1"/>
    <w:rsid w:val="002F7896"/>
    <w:rsid w:val="002F790F"/>
    <w:rsid w:val="002F7A0B"/>
    <w:rsid w:val="002F7A9F"/>
    <w:rsid w:val="002F7DAD"/>
    <w:rsid w:val="002F7DCB"/>
    <w:rsid w:val="002F7F89"/>
    <w:rsid w:val="002F7F9E"/>
    <w:rsid w:val="003000E7"/>
    <w:rsid w:val="00300355"/>
    <w:rsid w:val="00300567"/>
    <w:rsid w:val="00300569"/>
    <w:rsid w:val="00300746"/>
    <w:rsid w:val="00300A79"/>
    <w:rsid w:val="003012AB"/>
    <w:rsid w:val="003013B0"/>
    <w:rsid w:val="003014B4"/>
    <w:rsid w:val="00301725"/>
    <w:rsid w:val="00301778"/>
    <w:rsid w:val="003018D8"/>
    <w:rsid w:val="0030194C"/>
    <w:rsid w:val="00301B57"/>
    <w:rsid w:val="00302043"/>
    <w:rsid w:val="0030223D"/>
    <w:rsid w:val="003024B8"/>
    <w:rsid w:val="0030262B"/>
    <w:rsid w:val="003029B3"/>
    <w:rsid w:val="00302B44"/>
    <w:rsid w:val="00302C62"/>
    <w:rsid w:val="00302F91"/>
    <w:rsid w:val="00303023"/>
    <w:rsid w:val="0030322C"/>
    <w:rsid w:val="00303284"/>
    <w:rsid w:val="0030349F"/>
    <w:rsid w:val="003035DD"/>
    <w:rsid w:val="00303606"/>
    <w:rsid w:val="003036CF"/>
    <w:rsid w:val="00303718"/>
    <w:rsid w:val="003037AE"/>
    <w:rsid w:val="00303950"/>
    <w:rsid w:val="00303A00"/>
    <w:rsid w:val="00303C0B"/>
    <w:rsid w:val="00303EC4"/>
    <w:rsid w:val="00304562"/>
    <w:rsid w:val="003045F2"/>
    <w:rsid w:val="00304702"/>
    <w:rsid w:val="003047C4"/>
    <w:rsid w:val="00304935"/>
    <w:rsid w:val="00304C00"/>
    <w:rsid w:val="003050C5"/>
    <w:rsid w:val="00305444"/>
    <w:rsid w:val="003058BE"/>
    <w:rsid w:val="00305C76"/>
    <w:rsid w:val="00305CED"/>
    <w:rsid w:val="00305D10"/>
    <w:rsid w:val="00305F63"/>
    <w:rsid w:val="00305FB7"/>
    <w:rsid w:val="00306081"/>
    <w:rsid w:val="0030623B"/>
    <w:rsid w:val="00306271"/>
    <w:rsid w:val="0030642A"/>
    <w:rsid w:val="00306774"/>
    <w:rsid w:val="003068EC"/>
    <w:rsid w:val="00306AB1"/>
    <w:rsid w:val="00306C7D"/>
    <w:rsid w:val="00306DEF"/>
    <w:rsid w:val="0030736C"/>
    <w:rsid w:val="0030751A"/>
    <w:rsid w:val="00307921"/>
    <w:rsid w:val="00307A8C"/>
    <w:rsid w:val="00307AAD"/>
    <w:rsid w:val="00307B98"/>
    <w:rsid w:val="00307DD6"/>
    <w:rsid w:val="00307F47"/>
    <w:rsid w:val="00310082"/>
    <w:rsid w:val="003102C1"/>
    <w:rsid w:val="00310350"/>
    <w:rsid w:val="0031036E"/>
    <w:rsid w:val="00310569"/>
    <w:rsid w:val="003105B0"/>
    <w:rsid w:val="00310821"/>
    <w:rsid w:val="00310A2E"/>
    <w:rsid w:val="00310C4F"/>
    <w:rsid w:val="00310E62"/>
    <w:rsid w:val="00311467"/>
    <w:rsid w:val="00311772"/>
    <w:rsid w:val="00311C9D"/>
    <w:rsid w:val="00311D7C"/>
    <w:rsid w:val="00312017"/>
    <w:rsid w:val="0031203D"/>
    <w:rsid w:val="00312304"/>
    <w:rsid w:val="003125D3"/>
    <w:rsid w:val="003129A6"/>
    <w:rsid w:val="003129FD"/>
    <w:rsid w:val="00312BD7"/>
    <w:rsid w:val="00312CD3"/>
    <w:rsid w:val="00312FED"/>
    <w:rsid w:val="00313042"/>
    <w:rsid w:val="0031317C"/>
    <w:rsid w:val="003132A3"/>
    <w:rsid w:val="0031330B"/>
    <w:rsid w:val="003134ED"/>
    <w:rsid w:val="00313904"/>
    <w:rsid w:val="00313922"/>
    <w:rsid w:val="003139F3"/>
    <w:rsid w:val="00313A67"/>
    <w:rsid w:val="00313DF8"/>
    <w:rsid w:val="00313EF1"/>
    <w:rsid w:val="00313F22"/>
    <w:rsid w:val="00313F66"/>
    <w:rsid w:val="0031415D"/>
    <w:rsid w:val="003143FB"/>
    <w:rsid w:val="0031450C"/>
    <w:rsid w:val="00314566"/>
    <w:rsid w:val="0031468E"/>
    <w:rsid w:val="0031468F"/>
    <w:rsid w:val="00314720"/>
    <w:rsid w:val="003149C9"/>
    <w:rsid w:val="00314BE6"/>
    <w:rsid w:val="00314CCB"/>
    <w:rsid w:val="00314DBB"/>
    <w:rsid w:val="00314F4D"/>
    <w:rsid w:val="0031511B"/>
    <w:rsid w:val="00315194"/>
    <w:rsid w:val="00315298"/>
    <w:rsid w:val="003152B7"/>
    <w:rsid w:val="00315366"/>
    <w:rsid w:val="0031546A"/>
    <w:rsid w:val="003156BA"/>
    <w:rsid w:val="00315ABA"/>
    <w:rsid w:val="00315AE7"/>
    <w:rsid w:val="00315C1F"/>
    <w:rsid w:val="00316224"/>
    <w:rsid w:val="0031649B"/>
    <w:rsid w:val="00316593"/>
    <w:rsid w:val="00316745"/>
    <w:rsid w:val="0031675E"/>
    <w:rsid w:val="003168E1"/>
    <w:rsid w:val="0031690F"/>
    <w:rsid w:val="00316C2A"/>
    <w:rsid w:val="00316C67"/>
    <w:rsid w:val="0031717F"/>
    <w:rsid w:val="0031721C"/>
    <w:rsid w:val="003172B0"/>
    <w:rsid w:val="003172E2"/>
    <w:rsid w:val="00317734"/>
    <w:rsid w:val="00317978"/>
    <w:rsid w:val="0031799B"/>
    <w:rsid w:val="00317C16"/>
    <w:rsid w:val="00317C4A"/>
    <w:rsid w:val="00317CE3"/>
    <w:rsid w:val="00320105"/>
    <w:rsid w:val="00320122"/>
    <w:rsid w:val="0032014F"/>
    <w:rsid w:val="003203A6"/>
    <w:rsid w:val="0032041E"/>
    <w:rsid w:val="003204EE"/>
    <w:rsid w:val="003205E6"/>
    <w:rsid w:val="003207C3"/>
    <w:rsid w:val="00320811"/>
    <w:rsid w:val="00320D14"/>
    <w:rsid w:val="0032126A"/>
    <w:rsid w:val="00321616"/>
    <w:rsid w:val="00321781"/>
    <w:rsid w:val="003218CF"/>
    <w:rsid w:val="00321A26"/>
    <w:rsid w:val="00321CD3"/>
    <w:rsid w:val="0032202D"/>
    <w:rsid w:val="00322074"/>
    <w:rsid w:val="003220D3"/>
    <w:rsid w:val="003223C5"/>
    <w:rsid w:val="00322616"/>
    <w:rsid w:val="003228D8"/>
    <w:rsid w:val="003228DC"/>
    <w:rsid w:val="0032294A"/>
    <w:rsid w:val="003229C6"/>
    <w:rsid w:val="00322CCF"/>
    <w:rsid w:val="00323068"/>
    <w:rsid w:val="003231CA"/>
    <w:rsid w:val="00323305"/>
    <w:rsid w:val="003237BA"/>
    <w:rsid w:val="00323869"/>
    <w:rsid w:val="00323AE9"/>
    <w:rsid w:val="00323CF8"/>
    <w:rsid w:val="00323DEF"/>
    <w:rsid w:val="0032404F"/>
    <w:rsid w:val="0032461D"/>
    <w:rsid w:val="00324747"/>
    <w:rsid w:val="00324981"/>
    <w:rsid w:val="00324AD0"/>
    <w:rsid w:val="00324BCC"/>
    <w:rsid w:val="00324C9D"/>
    <w:rsid w:val="0032548C"/>
    <w:rsid w:val="00325625"/>
    <w:rsid w:val="0032564E"/>
    <w:rsid w:val="00325841"/>
    <w:rsid w:val="00325AAA"/>
    <w:rsid w:val="00325B93"/>
    <w:rsid w:val="00325B9C"/>
    <w:rsid w:val="00325BAD"/>
    <w:rsid w:val="00326178"/>
    <w:rsid w:val="003261B2"/>
    <w:rsid w:val="00326244"/>
    <w:rsid w:val="003262C7"/>
    <w:rsid w:val="00326826"/>
    <w:rsid w:val="0032691F"/>
    <w:rsid w:val="00326A96"/>
    <w:rsid w:val="00326AD6"/>
    <w:rsid w:val="00326B54"/>
    <w:rsid w:val="00326D41"/>
    <w:rsid w:val="00326E46"/>
    <w:rsid w:val="00326F65"/>
    <w:rsid w:val="00327105"/>
    <w:rsid w:val="003271E9"/>
    <w:rsid w:val="00327383"/>
    <w:rsid w:val="0032751F"/>
    <w:rsid w:val="00327537"/>
    <w:rsid w:val="003275C5"/>
    <w:rsid w:val="00327606"/>
    <w:rsid w:val="0032799B"/>
    <w:rsid w:val="00327C29"/>
    <w:rsid w:val="00327CFF"/>
    <w:rsid w:val="00327D16"/>
    <w:rsid w:val="00327FE5"/>
    <w:rsid w:val="00330509"/>
    <w:rsid w:val="003306FB"/>
    <w:rsid w:val="0033075F"/>
    <w:rsid w:val="003309F4"/>
    <w:rsid w:val="00330A55"/>
    <w:rsid w:val="00330AD0"/>
    <w:rsid w:val="003310B6"/>
    <w:rsid w:val="0033117D"/>
    <w:rsid w:val="00331324"/>
    <w:rsid w:val="0033163E"/>
    <w:rsid w:val="0033165D"/>
    <w:rsid w:val="003316BD"/>
    <w:rsid w:val="0033173D"/>
    <w:rsid w:val="00331B1A"/>
    <w:rsid w:val="00331BF7"/>
    <w:rsid w:val="00331D4D"/>
    <w:rsid w:val="00331D60"/>
    <w:rsid w:val="00331EB9"/>
    <w:rsid w:val="00331FAA"/>
    <w:rsid w:val="00332480"/>
    <w:rsid w:val="0033267D"/>
    <w:rsid w:val="003327A5"/>
    <w:rsid w:val="00332B39"/>
    <w:rsid w:val="00332E9C"/>
    <w:rsid w:val="00332F8B"/>
    <w:rsid w:val="00333171"/>
    <w:rsid w:val="0033352B"/>
    <w:rsid w:val="003338E6"/>
    <w:rsid w:val="003338F8"/>
    <w:rsid w:val="00333AF8"/>
    <w:rsid w:val="00333BC8"/>
    <w:rsid w:val="00333CE6"/>
    <w:rsid w:val="0033425A"/>
    <w:rsid w:val="00334285"/>
    <w:rsid w:val="003343E3"/>
    <w:rsid w:val="003345F1"/>
    <w:rsid w:val="0033462A"/>
    <w:rsid w:val="003349D4"/>
    <w:rsid w:val="00334AC7"/>
    <w:rsid w:val="00334CE0"/>
    <w:rsid w:val="00334D60"/>
    <w:rsid w:val="00334D92"/>
    <w:rsid w:val="00335212"/>
    <w:rsid w:val="003353AE"/>
    <w:rsid w:val="00335428"/>
    <w:rsid w:val="00335693"/>
    <w:rsid w:val="0033583D"/>
    <w:rsid w:val="0033585A"/>
    <w:rsid w:val="00335872"/>
    <w:rsid w:val="00335AC2"/>
    <w:rsid w:val="00335D9E"/>
    <w:rsid w:val="003360C9"/>
    <w:rsid w:val="00336254"/>
    <w:rsid w:val="003362E9"/>
    <w:rsid w:val="003363D2"/>
    <w:rsid w:val="003365BB"/>
    <w:rsid w:val="003366F8"/>
    <w:rsid w:val="00336701"/>
    <w:rsid w:val="0033694E"/>
    <w:rsid w:val="00336A7A"/>
    <w:rsid w:val="00336F09"/>
    <w:rsid w:val="003374F6"/>
    <w:rsid w:val="003377B3"/>
    <w:rsid w:val="00337AB3"/>
    <w:rsid w:val="00337F47"/>
    <w:rsid w:val="003401E6"/>
    <w:rsid w:val="003404E4"/>
    <w:rsid w:val="00340521"/>
    <w:rsid w:val="00340588"/>
    <w:rsid w:val="00340819"/>
    <w:rsid w:val="0034084B"/>
    <w:rsid w:val="00340B8A"/>
    <w:rsid w:val="00340D19"/>
    <w:rsid w:val="0034103D"/>
    <w:rsid w:val="00341227"/>
    <w:rsid w:val="00341598"/>
    <w:rsid w:val="003417CC"/>
    <w:rsid w:val="0034193D"/>
    <w:rsid w:val="0034197F"/>
    <w:rsid w:val="00342044"/>
    <w:rsid w:val="003425CF"/>
    <w:rsid w:val="003427E4"/>
    <w:rsid w:val="003429A1"/>
    <w:rsid w:val="003429FF"/>
    <w:rsid w:val="00342AC8"/>
    <w:rsid w:val="00342C4A"/>
    <w:rsid w:val="00342F0B"/>
    <w:rsid w:val="00342F36"/>
    <w:rsid w:val="00342FF6"/>
    <w:rsid w:val="00343277"/>
    <w:rsid w:val="00343390"/>
    <w:rsid w:val="00343499"/>
    <w:rsid w:val="00343D6A"/>
    <w:rsid w:val="00343D8C"/>
    <w:rsid w:val="00343F21"/>
    <w:rsid w:val="003442A3"/>
    <w:rsid w:val="0034436E"/>
    <w:rsid w:val="00344521"/>
    <w:rsid w:val="00344697"/>
    <w:rsid w:val="0034477E"/>
    <w:rsid w:val="00344D08"/>
    <w:rsid w:val="00344DB5"/>
    <w:rsid w:val="00344EFB"/>
    <w:rsid w:val="00344FA3"/>
    <w:rsid w:val="00344FD7"/>
    <w:rsid w:val="003451A3"/>
    <w:rsid w:val="003451A8"/>
    <w:rsid w:val="003458CA"/>
    <w:rsid w:val="00345B0C"/>
    <w:rsid w:val="00345BD3"/>
    <w:rsid w:val="00345F86"/>
    <w:rsid w:val="0034615F"/>
    <w:rsid w:val="003461EB"/>
    <w:rsid w:val="003463E0"/>
    <w:rsid w:val="00346430"/>
    <w:rsid w:val="00346463"/>
    <w:rsid w:val="0034650E"/>
    <w:rsid w:val="003465BF"/>
    <w:rsid w:val="00346631"/>
    <w:rsid w:val="00346B7A"/>
    <w:rsid w:val="00346D35"/>
    <w:rsid w:val="00346EC6"/>
    <w:rsid w:val="003472C5"/>
    <w:rsid w:val="003472D2"/>
    <w:rsid w:val="003473E2"/>
    <w:rsid w:val="00347539"/>
    <w:rsid w:val="003477B4"/>
    <w:rsid w:val="00347925"/>
    <w:rsid w:val="00347B07"/>
    <w:rsid w:val="00347B2C"/>
    <w:rsid w:val="00347D51"/>
    <w:rsid w:val="00347D66"/>
    <w:rsid w:val="00347FCB"/>
    <w:rsid w:val="00347FCF"/>
    <w:rsid w:val="00349809"/>
    <w:rsid w:val="00350090"/>
    <w:rsid w:val="0035011B"/>
    <w:rsid w:val="0035012A"/>
    <w:rsid w:val="00350489"/>
    <w:rsid w:val="0035048F"/>
    <w:rsid w:val="0035054F"/>
    <w:rsid w:val="003508D4"/>
    <w:rsid w:val="00350951"/>
    <w:rsid w:val="00350A07"/>
    <w:rsid w:val="00350A3C"/>
    <w:rsid w:val="00350BA5"/>
    <w:rsid w:val="00350C95"/>
    <w:rsid w:val="00350CDD"/>
    <w:rsid w:val="00350DAA"/>
    <w:rsid w:val="00350E7A"/>
    <w:rsid w:val="00350EEF"/>
    <w:rsid w:val="00350F80"/>
    <w:rsid w:val="003512A7"/>
    <w:rsid w:val="0035160B"/>
    <w:rsid w:val="00351687"/>
    <w:rsid w:val="00351904"/>
    <w:rsid w:val="003519EB"/>
    <w:rsid w:val="00351A6D"/>
    <w:rsid w:val="00351BED"/>
    <w:rsid w:val="00351C1E"/>
    <w:rsid w:val="00351C3A"/>
    <w:rsid w:val="00351D15"/>
    <w:rsid w:val="00351DBB"/>
    <w:rsid w:val="00351E25"/>
    <w:rsid w:val="00351F07"/>
    <w:rsid w:val="003520BE"/>
    <w:rsid w:val="003520DE"/>
    <w:rsid w:val="00352561"/>
    <w:rsid w:val="0035272E"/>
    <w:rsid w:val="003527B3"/>
    <w:rsid w:val="00352804"/>
    <w:rsid w:val="003529E3"/>
    <w:rsid w:val="003534DD"/>
    <w:rsid w:val="003536E4"/>
    <w:rsid w:val="00353A79"/>
    <w:rsid w:val="00353DF0"/>
    <w:rsid w:val="00353EE0"/>
    <w:rsid w:val="00353FBF"/>
    <w:rsid w:val="003542E2"/>
    <w:rsid w:val="00354594"/>
    <w:rsid w:val="003546FB"/>
    <w:rsid w:val="00354997"/>
    <w:rsid w:val="00354A56"/>
    <w:rsid w:val="00354B96"/>
    <w:rsid w:val="00354BD2"/>
    <w:rsid w:val="00354EAA"/>
    <w:rsid w:val="0035513B"/>
    <w:rsid w:val="00355213"/>
    <w:rsid w:val="003553D5"/>
    <w:rsid w:val="00355576"/>
    <w:rsid w:val="0035585A"/>
    <w:rsid w:val="003559E1"/>
    <w:rsid w:val="00355C11"/>
    <w:rsid w:val="00355CA8"/>
    <w:rsid w:val="00355DA7"/>
    <w:rsid w:val="00355E1A"/>
    <w:rsid w:val="0035601C"/>
    <w:rsid w:val="0035623C"/>
    <w:rsid w:val="0035632A"/>
    <w:rsid w:val="00356A17"/>
    <w:rsid w:val="00356BBA"/>
    <w:rsid w:val="00357092"/>
    <w:rsid w:val="003571FA"/>
    <w:rsid w:val="003573A3"/>
    <w:rsid w:val="0035740B"/>
    <w:rsid w:val="003574BB"/>
    <w:rsid w:val="00357598"/>
    <w:rsid w:val="003579F0"/>
    <w:rsid w:val="00357B8A"/>
    <w:rsid w:val="00357F90"/>
    <w:rsid w:val="00357FAD"/>
    <w:rsid w:val="00360196"/>
    <w:rsid w:val="003604BC"/>
    <w:rsid w:val="00360601"/>
    <w:rsid w:val="00360710"/>
    <w:rsid w:val="0036080D"/>
    <w:rsid w:val="00360BFD"/>
    <w:rsid w:val="00360C63"/>
    <w:rsid w:val="00360F3D"/>
    <w:rsid w:val="00361030"/>
    <w:rsid w:val="00361217"/>
    <w:rsid w:val="0036159C"/>
    <w:rsid w:val="0036175E"/>
    <w:rsid w:val="00361770"/>
    <w:rsid w:val="00361839"/>
    <w:rsid w:val="00361A86"/>
    <w:rsid w:val="00361BA5"/>
    <w:rsid w:val="00361E13"/>
    <w:rsid w:val="003621F0"/>
    <w:rsid w:val="0036222F"/>
    <w:rsid w:val="003622CC"/>
    <w:rsid w:val="00362389"/>
    <w:rsid w:val="0036254D"/>
    <w:rsid w:val="0036257E"/>
    <w:rsid w:val="00362B0E"/>
    <w:rsid w:val="00362B18"/>
    <w:rsid w:val="00362B71"/>
    <w:rsid w:val="00362CAE"/>
    <w:rsid w:val="00362F49"/>
    <w:rsid w:val="00363303"/>
    <w:rsid w:val="00363405"/>
    <w:rsid w:val="0036344F"/>
    <w:rsid w:val="00363657"/>
    <w:rsid w:val="00363683"/>
    <w:rsid w:val="00363805"/>
    <w:rsid w:val="00363881"/>
    <w:rsid w:val="003638EA"/>
    <w:rsid w:val="003639C7"/>
    <w:rsid w:val="00363BEF"/>
    <w:rsid w:val="003646D8"/>
    <w:rsid w:val="003647AA"/>
    <w:rsid w:val="00364C80"/>
    <w:rsid w:val="00364D22"/>
    <w:rsid w:val="00364D4B"/>
    <w:rsid w:val="00364DDB"/>
    <w:rsid w:val="00364DE9"/>
    <w:rsid w:val="00364E19"/>
    <w:rsid w:val="00364E80"/>
    <w:rsid w:val="00364F5A"/>
    <w:rsid w:val="00364F6E"/>
    <w:rsid w:val="00364FCC"/>
    <w:rsid w:val="003650E2"/>
    <w:rsid w:val="00365229"/>
    <w:rsid w:val="00365485"/>
    <w:rsid w:val="00365A57"/>
    <w:rsid w:val="00365CCB"/>
    <w:rsid w:val="00366058"/>
    <w:rsid w:val="003663E3"/>
    <w:rsid w:val="003669AA"/>
    <w:rsid w:val="003669B0"/>
    <w:rsid w:val="00366BC0"/>
    <w:rsid w:val="00366CD1"/>
    <w:rsid w:val="00366E9B"/>
    <w:rsid w:val="00367448"/>
    <w:rsid w:val="0036751F"/>
    <w:rsid w:val="00367745"/>
    <w:rsid w:val="00367950"/>
    <w:rsid w:val="00367C9C"/>
    <w:rsid w:val="00370241"/>
    <w:rsid w:val="003707D5"/>
    <w:rsid w:val="003708D2"/>
    <w:rsid w:val="00370AAE"/>
    <w:rsid w:val="00370DD6"/>
    <w:rsid w:val="00370F32"/>
    <w:rsid w:val="0037129B"/>
    <w:rsid w:val="003714CD"/>
    <w:rsid w:val="00371760"/>
    <w:rsid w:val="0037184B"/>
    <w:rsid w:val="003718C8"/>
    <w:rsid w:val="00371943"/>
    <w:rsid w:val="003719FA"/>
    <w:rsid w:val="00371B4B"/>
    <w:rsid w:val="00371CA5"/>
    <w:rsid w:val="00371DF4"/>
    <w:rsid w:val="003721F5"/>
    <w:rsid w:val="0037226E"/>
    <w:rsid w:val="0037247A"/>
    <w:rsid w:val="0037272B"/>
    <w:rsid w:val="0037273D"/>
    <w:rsid w:val="00372B89"/>
    <w:rsid w:val="00372BE7"/>
    <w:rsid w:val="00372C9A"/>
    <w:rsid w:val="00372D2A"/>
    <w:rsid w:val="00372D55"/>
    <w:rsid w:val="00372EF2"/>
    <w:rsid w:val="00372F10"/>
    <w:rsid w:val="00372F90"/>
    <w:rsid w:val="0037316E"/>
    <w:rsid w:val="003731CB"/>
    <w:rsid w:val="00373249"/>
    <w:rsid w:val="003732BF"/>
    <w:rsid w:val="003733AF"/>
    <w:rsid w:val="00373711"/>
    <w:rsid w:val="00373742"/>
    <w:rsid w:val="00373926"/>
    <w:rsid w:val="00373B72"/>
    <w:rsid w:val="00373CFE"/>
    <w:rsid w:val="00374158"/>
    <w:rsid w:val="0037425E"/>
    <w:rsid w:val="003744C0"/>
    <w:rsid w:val="0037456E"/>
    <w:rsid w:val="00374AA7"/>
    <w:rsid w:val="00374B73"/>
    <w:rsid w:val="00374BF2"/>
    <w:rsid w:val="00374E98"/>
    <w:rsid w:val="0037505C"/>
    <w:rsid w:val="003752A3"/>
    <w:rsid w:val="003754CB"/>
    <w:rsid w:val="003758BF"/>
    <w:rsid w:val="0037596E"/>
    <w:rsid w:val="00375B8F"/>
    <w:rsid w:val="0037631F"/>
    <w:rsid w:val="00376333"/>
    <w:rsid w:val="003763E2"/>
    <w:rsid w:val="003764C5"/>
    <w:rsid w:val="003764EF"/>
    <w:rsid w:val="00376620"/>
    <w:rsid w:val="00376643"/>
    <w:rsid w:val="0037690D"/>
    <w:rsid w:val="00376AAE"/>
    <w:rsid w:val="00376B79"/>
    <w:rsid w:val="00376CE1"/>
    <w:rsid w:val="00376D11"/>
    <w:rsid w:val="0037738D"/>
    <w:rsid w:val="0037785D"/>
    <w:rsid w:val="00377888"/>
    <w:rsid w:val="0037795D"/>
    <w:rsid w:val="0038037A"/>
    <w:rsid w:val="0038039C"/>
    <w:rsid w:val="00380468"/>
    <w:rsid w:val="003808E6"/>
    <w:rsid w:val="00380931"/>
    <w:rsid w:val="00380C88"/>
    <w:rsid w:val="00380E2C"/>
    <w:rsid w:val="003810DE"/>
    <w:rsid w:val="00381286"/>
    <w:rsid w:val="003814D7"/>
    <w:rsid w:val="00381529"/>
    <w:rsid w:val="003816D8"/>
    <w:rsid w:val="003818E1"/>
    <w:rsid w:val="00381E51"/>
    <w:rsid w:val="00382276"/>
    <w:rsid w:val="003822C4"/>
    <w:rsid w:val="00382323"/>
    <w:rsid w:val="00382356"/>
    <w:rsid w:val="003823A0"/>
    <w:rsid w:val="0038252B"/>
    <w:rsid w:val="003825DE"/>
    <w:rsid w:val="003826D5"/>
    <w:rsid w:val="003827F7"/>
    <w:rsid w:val="00382856"/>
    <w:rsid w:val="003828B0"/>
    <w:rsid w:val="003829E0"/>
    <w:rsid w:val="00382A4D"/>
    <w:rsid w:val="00382F17"/>
    <w:rsid w:val="00382F68"/>
    <w:rsid w:val="003831C5"/>
    <w:rsid w:val="00383345"/>
    <w:rsid w:val="003833AF"/>
    <w:rsid w:val="00383430"/>
    <w:rsid w:val="0038348A"/>
    <w:rsid w:val="003838D3"/>
    <w:rsid w:val="0038391D"/>
    <w:rsid w:val="003839FC"/>
    <w:rsid w:val="00383D13"/>
    <w:rsid w:val="00383F79"/>
    <w:rsid w:val="00384141"/>
    <w:rsid w:val="003844E5"/>
    <w:rsid w:val="00384770"/>
    <w:rsid w:val="00384A15"/>
    <w:rsid w:val="00384C99"/>
    <w:rsid w:val="00385058"/>
    <w:rsid w:val="00385126"/>
    <w:rsid w:val="00385311"/>
    <w:rsid w:val="00385413"/>
    <w:rsid w:val="003856C2"/>
    <w:rsid w:val="00385707"/>
    <w:rsid w:val="00385789"/>
    <w:rsid w:val="00385AAC"/>
    <w:rsid w:val="00385BF6"/>
    <w:rsid w:val="00385C5C"/>
    <w:rsid w:val="00385ECC"/>
    <w:rsid w:val="003862C5"/>
    <w:rsid w:val="00386687"/>
    <w:rsid w:val="00386AF3"/>
    <w:rsid w:val="00386C62"/>
    <w:rsid w:val="00386CD1"/>
    <w:rsid w:val="00386D00"/>
    <w:rsid w:val="00386F6E"/>
    <w:rsid w:val="003871B8"/>
    <w:rsid w:val="003873A6"/>
    <w:rsid w:val="003874F8"/>
    <w:rsid w:val="00387520"/>
    <w:rsid w:val="00387630"/>
    <w:rsid w:val="003877B0"/>
    <w:rsid w:val="003878E1"/>
    <w:rsid w:val="003879EB"/>
    <w:rsid w:val="00387AB9"/>
    <w:rsid w:val="00387C73"/>
    <w:rsid w:val="00387C95"/>
    <w:rsid w:val="00387CC2"/>
    <w:rsid w:val="003903F6"/>
    <w:rsid w:val="00390555"/>
    <w:rsid w:val="00390561"/>
    <w:rsid w:val="003905EA"/>
    <w:rsid w:val="003906E2"/>
    <w:rsid w:val="00390727"/>
    <w:rsid w:val="00390776"/>
    <w:rsid w:val="00390AA1"/>
    <w:rsid w:val="00390C54"/>
    <w:rsid w:val="00390F13"/>
    <w:rsid w:val="0039135F"/>
    <w:rsid w:val="003913D8"/>
    <w:rsid w:val="003913EB"/>
    <w:rsid w:val="00391701"/>
    <w:rsid w:val="003917C9"/>
    <w:rsid w:val="003918AE"/>
    <w:rsid w:val="003918B9"/>
    <w:rsid w:val="0039190E"/>
    <w:rsid w:val="003923A2"/>
    <w:rsid w:val="00392478"/>
    <w:rsid w:val="00392663"/>
    <w:rsid w:val="0039275F"/>
    <w:rsid w:val="00392C15"/>
    <w:rsid w:val="00392EA9"/>
    <w:rsid w:val="0039331A"/>
    <w:rsid w:val="00393625"/>
    <w:rsid w:val="003936FD"/>
    <w:rsid w:val="00393767"/>
    <w:rsid w:val="00393B76"/>
    <w:rsid w:val="00393C9C"/>
    <w:rsid w:val="00393CDE"/>
    <w:rsid w:val="00393E18"/>
    <w:rsid w:val="00393E8B"/>
    <w:rsid w:val="00393F2A"/>
    <w:rsid w:val="003940A9"/>
    <w:rsid w:val="003942F3"/>
    <w:rsid w:val="0039442F"/>
    <w:rsid w:val="0039459F"/>
    <w:rsid w:val="00394829"/>
    <w:rsid w:val="00394C9C"/>
    <w:rsid w:val="00394D2B"/>
    <w:rsid w:val="00394DD1"/>
    <w:rsid w:val="00395001"/>
    <w:rsid w:val="003951ED"/>
    <w:rsid w:val="0039587E"/>
    <w:rsid w:val="0039595A"/>
    <w:rsid w:val="00395973"/>
    <w:rsid w:val="00395B36"/>
    <w:rsid w:val="00395B78"/>
    <w:rsid w:val="00395C51"/>
    <w:rsid w:val="00395DC0"/>
    <w:rsid w:val="00395E57"/>
    <w:rsid w:val="00395EEE"/>
    <w:rsid w:val="00395EF0"/>
    <w:rsid w:val="00395FB8"/>
    <w:rsid w:val="0039617E"/>
    <w:rsid w:val="0039632B"/>
    <w:rsid w:val="003966DA"/>
    <w:rsid w:val="00396761"/>
    <w:rsid w:val="0039688B"/>
    <w:rsid w:val="0039696E"/>
    <w:rsid w:val="00396B34"/>
    <w:rsid w:val="00396BC2"/>
    <w:rsid w:val="00396CBC"/>
    <w:rsid w:val="00396DFA"/>
    <w:rsid w:val="00397065"/>
    <w:rsid w:val="0039714F"/>
    <w:rsid w:val="003973A7"/>
    <w:rsid w:val="0039750F"/>
    <w:rsid w:val="00397836"/>
    <w:rsid w:val="003978BB"/>
    <w:rsid w:val="00397C97"/>
    <w:rsid w:val="00397F42"/>
    <w:rsid w:val="00397F6F"/>
    <w:rsid w:val="003A029A"/>
    <w:rsid w:val="003A0498"/>
    <w:rsid w:val="003A06D0"/>
    <w:rsid w:val="003A075E"/>
    <w:rsid w:val="003A0839"/>
    <w:rsid w:val="003A0C00"/>
    <w:rsid w:val="003A0CC7"/>
    <w:rsid w:val="003A0DD7"/>
    <w:rsid w:val="003A0DDC"/>
    <w:rsid w:val="003A11BF"/>
    <w:rsid w:val="003A1511"/>
    <w:rsid w:val="003A1911"/>
    <w:rsid w:val="003A1A0C"/>
    <w:rsid w:val="003A1A7B"/>
    <w:rsid w:val="003A1C00"/>
    <w:rsid w:val="003A1DA1"/>
    <w:rsid w:val="003A1EAF"/>
    <w:rsid w:val="003A27C4"/>
    <w:rsid w:val="003A2ACE"/>
    <w:rsid w:val="003A2F3C"/>
    <w:rsid w:val="003A3371"/>
    <w:rsid w:val="003A3559"/>
    <w:rsid w:val="003A3A0A"/>
    <w:rsid w:val="003A3BF4"/>
    <w:rsid w:val="003A3DCF"/>
    <w:rsid w:val="003A3E24"/>
    <w:rsid w:val="003A3FB2"/>
    <w:rsid w:val="003A4108"/>
    <w:rsid w:val="003A416B"/>
    <w:rsid w:val="003A43F5"/>
    <w:rsid w:val="003A448E"/>
    <w:rsid w:val="003A456B"/>
    <w:rsid w:val="003A45B3"/>
    <w:rsid w:val="003A46BB"/>
    <w:rsid w:val="003A48EC"/>
    <w:rsid w:val="003A4987"/>
    <w:rsid w:val="003A4D35"/>
    <w:rsid w:val="003A4DA7"/>
    <w:rsid w:val="003A503C"/>
    <w:rsid w:val="003A51B4"/>
    <w:rsid w:val="003A52A4"/>
    <w:rsid w:val="003A53D5"/>
    <w:rsid w:val="003A56A5"/>
    <w:rsid w:val="003A574D"/>
    <w:rsid w:val="003A57EE"/>
    <w:rsid w:val="003A599B"/>
    <w:rsid w:val="003A5A08"/>
    <w:rsid w:val="003A5E62"/>
    <w:rsid w:val="003A6197"/>
    <w:rsid w:val="003A649C"/>
    <w:rsid w:val="003A65E4"/>
    <w:rsid w:val="003A664F"/>
    <w:rsid w:val="003A69BB"/>
    <w:rsid w:val="003A6A2D"/>
    <w:rsid w:val="003A6CCA"/>
    <w:rsid w:val="003A6E48"/>
    <w:rsid w:val="003A711D"/>
    <w:rsid w:val="003A72F7"/>
    <w:rsid w:val="003A74A9"/>
    <w:rsid w:val="003A75CA"/>
    <w:rsid w:val="003A7798"/>
    <w:rsid w:val="003A780C"/>
    <w:rsid w:val="003A7BE1"/>
    <w:rsid w:val="003A7DC2"/>
    <w:rsid w:val="003A7E84"/>
    <w:rsid w:val="003A7FE9"/>
    <w:rsid w:val="003B00A1"/>
    <w:rsid w:val="003B0162"/>
    <w:rsid w:val="003B0193"/>
    <w:rsid w:val="003B01FB"/>
    <w:rsid w:val="003B037E"/>
    <w:rsid w:val="003B05A2"/>
    <w:rsid w:val="003B0680"/>
    <w:rsid w:val="003B099B"/>
    <w:rsid w:val="003B0C78"/>
    <w:rsid w:val="003B1493"/>
    <w:rsid w:val="003B14AF"/>
    <w:rsid w:val="003B18D3"/>
    <w:rsid w:val="003B1D69"/>
    <w:rsid w:val="003B1E07"/>
    <w:rsid w:val="003B1F22"/>
    <w:rsid w:val="003B1F52"/>
    <w:rsid w:val="003B2133"/>
    <w:rsid w:val="003B2154"/>
    <w:rsid w:val="003B228E"/>
    <w:rsid w:val="003B2345"/>
    <w:rsid w:val="003B25DE"/>
    <w:rsid w:val="003B2C3C"/>
    <w:rsid w:val="003B2F30"/>
    <w:rsid w:val="003B2FA7"/>
    <w:rsid w:val="003B2FF7"/>
    <w:rsid w:val="003B3085"/>
    <w:rsid w:val="003B332E"/>
    <w:rsid w:val="003B3870"/>
    <w:rsid w:val="003B393D"/>
    <w:rsid w:val="003B3AE4"/>
    <w:rsid w:val="003B3BEC"/>
    <w:rsid w:val="003B4048"/>
    <w:rsid w:val="003B4153"/>
    <w:rsid w:val="003B41A5"/>
    <w:rsid w:val="003B4225"/>
    <w:rsid w:val="003B4227"/>
    <w:rsid w:val="003B42DC"/>
    <w:rsid w:val="003B4454"/>
    <w:rsid w:val="003B4777"/>
    <w:rsid w:val="003B4A6F"/>
    <w:rsid w:val="003B4D60"/>
    <w:rsid w:val="003B5074"/>
    <w:rsid w:val="003B5085"/>
    <w:rsid w:val="003B5167"/>
    <w:rsid w:val="003B524C"/>
    <w:rsid w:val="003B530D"/>
    <w:rsid w:val="003B55A3"/>
    <w:rsid w:val="003B5727"/>
    <w:rsid w:val="003B5989"/>
    <w:rsid w:val="003B59D9"/>
    <w:rsid w:val="003B5AB3"/>
    <w:rsid w:val="003B5AEC"/>
    <w:rsid w:val="003B5D8F"/>
    <w:rsid w:val="003B5F0D"/>
    <w:rsid w:val="003B60A9"/>
    <w:rsid w:val="003B635F"/>
    <w:rsid w:val="003B6794"/>
    <w:rsid w:val="003B67F7"/>
    <w:rsid w:val="003B6CEB"/>
    <w:rsid w:val="003B7241"/>
    <w:rsid w:val="003B73EB"/>
    <w:rsid w:val="003B7550"/>
    <w:rsid w:val="003B75E2"/>
    <w:rsid w:val="003B7791"/>
    <w:rsid w:val="003B78D3"/>
    <w:rsid w:val="003B7F05"/>
    <w:rsid w:val="003B7F87"/>
    <w:rsid w:val="003C0161"/>
    <w:rsid w:val="003C0345"/>
    <w:rsid w:val="003C03B6"/>
    <w:rsid w:val="003C0408"/>
    <w:rsid w:val="003C04AA"/>
    <w:rsid w:val="003C0630"/>
    <w:rsid w:val="003C06B3"/>
    <w:rsid w:val="003C072A"/>
    <w:rsid w:val="003C0846"/>
    <w:rsid w:val="003C136C"/>
    <w:rsid w:val="003C16F9"/>
    <w:rsid w:val="003C1889"/>
    <w:rsid w:val="003C194C"/>
    <w:rsid w:val="003C1981"/>
    <w:rsid w:val="003C1BA2"/>
    <w:rsid w:val="003C1D88"/>
    <w:rsid w:val="003C1F20"/>
    <w:rsid w:val="003C1F81"/>
    <w:rsid w:val="003C1FCF"/>
    <w:rsid w:val="003C21C8"/>
    <w:rsid w:val="003C2204"/>
    <w:rsid w:val="003C23B2"/>
    <w:rsid w:val="003C2408"/>
    <w:rsid w:val="003C2485"/>
    <w:rsid w:val="003C2ABB"/>
    <w:rsid w:val="003C2B02"/>
    <w:rsid w:val="003C2B93"/>
    <w:rsid w:val="003C2C61"/>
    <w:rsid w:val="003C2D12"/>
    <w:rsid w:val="003C2D80"/>
    <w:rsid w:val="003C2E94"/>
    <w:rsid w:val="003C2FE4"/>
    <w:rsid w:val="003C33C7"/>
    <w:rsid w:val="003C3B86"/>
    <w:rsid w:val="003C3C5D"/>
    <w:rsid w:val="003C3CF2"/>
    <w:rsid w:val="003C3EDB"/>
    <w:rsid w:val="003C4085"/>
    <w:rsid w:val="003C4319"/>
    <w:rsid w:val="003C4717"/>
    <w:rsid w:val="003C4930"/>
    <w:rsid w:val="003C4C4F"/>
    <w:rsid w:val="003C4D2E"/>
    <w:rsid w:val="003C4D74"/>
    <w:rsid w:val="003C50D6"/>
    <w:rsid w:val="003C50F0"/>
    <w:rsid w:val="003C5160"/>
    <w:rsid w:val="003C51A3"/>
    <w:rsid w:val="003C51A6"/>
    <w:rsid w:val="003C5334"/>
    <w:rsid w:val="003C5565"/>
    <w:rsid w:val="003C5959"/>
    <w:rsid w:val="003C59A4"/>
    <w:rsid w:val="003C59A6"/>
    <w:rsid w:val="003C5B65"/>
    <w:rsid w:val="003C5CA0"/>
    <w:rsid w:val="003C5E62"/>
    <w:rsid w:val="003C6062"/>
    <w:rsid w:val="003C61E1"/>
    <w:rsid w:val="003C6284"/>
    <w:rsid w:val="003C6311"/>
    <w:rsid w:val="003C6601"/>
    <w:rsid w:val="003C676A"/>
    <w:rsid w:val="003C67B7"/>
    <w:rsid w:val="003C6820"/>
    <w:rsid w:val="003C6B3C"/>
    <w:rsid w:val="003C6CCD"/>
    <w:rsid w:val="003C6E8D"/>
    <w:rsid w:val="003C6E9A"/>
    <w:rsid w:val="003C6F55"/>
    <w:rsid w:val="003C7951"/>
    <w:rsid w:val="003C7A1B"/>
    <w:rsid w:val="003C7A9B"/>
    <w:rsid w:val="003C7AD2"/>
    <w:rsid w:val="003C7B7F"/>
    <w:rsid w:val="003C7D54"/>
    <w:rsid w:val="003C7ED8"/>
    <w:rsid w:val="003C7EF4"/>
    <w:rsid w:val="003D0345"/>
    <w:rsid w:val="003D0679"/>
    <w:rsid w:val="003D0979"/>
    <w:rsid w:val="003D0ABA"/>
    <w:rsid w:val="003D0E5B"/>
    <w:rsid w:val="003D0E75"/>
    <w:rsid w:val="003D0EA7"/>
    <w:rsid w:val="003D0EEC"/>
    <w:rsid w:val="003D126F"/>
    <w:rsid w:val="003D1578"/>
    <w:rsid w:val="003D1797"/>
    <w:rsid w:val="003D1AEE"/>
    <w:rsid w:val="003D1DFE"/>
    <w:rsid w:val="003D1E4C"/>
    <w:rsid w:val="003D1ECA"/>
    <w:rsid w:val="003D1F82"/>
    <w:rsid w:val="003D21E5"/>
    <w:rsid w:val="003D228B"/>
    <w:rsid w:val="003D2451"/>
    <w:rsid w:val="003D24B8"/>
    <w:rsid w:val="003D26E4"/>
    <w:rsid w:val="003D29EE"/>
    <w:rsid w:val="003D2BA4"/>
    <w:rsid w:val="003D2C90"/>
    <w:rsid w:val="003D2E1F"/>
    <w:rsid w:val="003D347B"/>
    <w:rsid w:val="003D34D7"/>
    <w:rsid w:val="003D37C0"/>
    <w:rsid w:val="003D3837"/>
    <w:rsid w:val="003D388F"/>
    <w:rsid w:val="003D3B1C"/>
    <w:rsid w:val="003D3B56"/>
    <w:rsid w:val="003D3CEB"/>
    <w:rsid w:val="003D4479"/>
    <w:rsid w:val="003D46D2"/>
    <w:rsid w:val="003D479F"/>
    <w:rsid w:val="003D4813"/>
    <w:rsid w:val="003D497E"/>
    <w:rsid w:val="003D49A0"/>
    <w:rsid w:val="003D4BE8"/>
    <w:rsid w:val="003D4E44"/>
    <w:rsid w:val="003D4E72"/>
    <w:rsid w:val="003D4EAB"/>
    <w:rsid w:val="003D4FF4"/>
    <w:rsid w:val="003D500A"/>
    <w:rsid w:val="003D50FF"/>
    <w:rsid w:val="003D5266"/>
    <w:rsid w:val="003D5471"/>
    <w:rsid w:val="003D54C7"/>
    <w:rsid w:val="003D55C9"/>
    <w:rsid w:val="003D56D4"/>
    <w:rsid w:val="003D5CF7"/>
    <w:rsid w:val="003D5D08"/>
    <w:rsid w:val="003D6050"/>
    <w:rsid w:val="003D609D"/>
    <w:rsid w:val="003D6298"/>
    <w:rsid w:val="003D6A53"/>
    <w:rsid w:val="003D71F1"/>
    <w:rsid w:val="003D726C"/>
    <w:rsid w:val="003D778F"/>
    <w:rsid w:val="003D781F"/>
    <w:rsid w:val="003D78C5"/>
    <w:rsid w:val="003D78FA"/>
    <w:rsid w:val="003D7ABC"/>
    <w:rsid w:val="003D7C3D"/>
    <w:rsid w:val="003D7D34"/>
    <w:rsid w:val="003D7D43"/>
    <w:rsid w:val="003D7D59"/>
    <w:rsid w:val="003D7E0B"/>
    <w:rsid w:val="003D7F72"/>
    <w:rsid w:val="003E01EE"/>
    <w:rsid w:val="003E027A"/>
    <w:rsid w:val="003E0384"/>
    <w:rsid w:val="003E0411"/>
    <w:rsid w:val="003E0830"/>
    <w:rsid w:val="003E0B59"/>
    <w:rsid w:val="003E0B94"/>
    <w:rsid w:val="003E0EBE"/>
    <w:rsid w:val="003E0F19"/>
    <w:rsid w:val="003E1060"/>
    <w:rsid w:val="003E135A"/>
    <w:rsid w:val="003E1D39"/>
    <w:rsid w:val="003E1DC3"/>
    <w:rsid w:val="003E1E03"/>
    <w:rsid w:val="003E1F48"/>
    <w:rsid w:val="003E224A"/>
    <w:rsid w:val="003E26AC"/>
    <w:rsid w:val="003E272D"/>
    <w:rsid w:val="003E28C7"/>
    <w:rsid w:val="003E2AB3"/>
    <w:rsid w:val="003E2C7C"/>
    <w:rsid w:val="003E2F5A"/>
    <w:rsid w:val="003E2F8F"/>
    <w:rsid w:val="003E318C"/>
    <w:rsid w:val="003E31BB"/>
    <w:rsid w:val="003E35C1"/>
    <w:rsid w:val="003E36EC"/>
    <w:rsid w:val="003E3A3D"/>
    <w:rsid w:val="003E3A7C"/>
    <w:rsid w:val="003E3A9B"/>
    <w:rsid w:val="003E3B22"/>
    <w:rsid w:val="003E3B3E"/>
    <w:rsid w:val="003E41D3"/>
    <w:rsid w:val="003E42C4"/>
    <w:rsid w:val="003E4433"/>
    <w:rsid w:val="003E444D"/>
    <w:rsid w:val="003E4481"/>
    <w:rsid w:val="003E45BF"/>
    <w:rsid w:val="003E467D"/>
    <w:rsid w:val="003E4692"/>
    <w:rsid w:val="003E4716"/>
    <w:rsid w:val="003E498B"/>
    <w:rsid w:val="003E50C9"/>
    <w:rsid w:val="003E50E9"/>
    <w:rsid w:val="003E536B"/>
    <w:rsid w:val="003E5525"/>
    <w:rsid w:val="003E56B2"/>
    <w:rsid w:val="003E570D"/>
    <w:rsid w:val="003E578D"/>
    <w:rsid w:val="003E5D6A"/>
    <w:rsid w:val="003E5DD5"/>
    <w:rsid w:val="003E5E00"/>
    <w:rsid w:val="003E5F49"/>
    <w:rsid w:val="003E63AF"/>
    <w:rsid w:val="003E63F2"/>
    <w:rsid w:val="003E6605"/>
    <w:rsid w:val="003E6607"/>
    <w:rsid w:val="003E6623"/>
    <w:rsid w:val="003E665D"/>
    <w:rsid w:val="003E67C6"/>
    <w:rsid w:val="003E6807"/>
    <w:rsid w:val="003E685C"/>
    <w:rsid w:val="003E6B99"/>
    <w:rsid w:val="003E6CE5"/>
    <w:rsid w:val="003E6E63"/>
    <w:rsid w:val="003E7287"/>
    <w:rsid w:val="003E75A9"/>
    <w:rsid w:val="003E7614"/>
    <w:rsid w:val="003E7780"/>
    <w:rsid w:val="003E77F8"/>
    <w:rsid w:val="003E7829"/>
    <w:rsid w:val="003E7A90"/>
    <w:rsid w:val="003E7DDC"/>
    <w:rsid w:val="003E7EB5"/>
    <w:rsid w:val="003F003C"/>
    <w:rsid w:val="003F020C"/>
    <w:rsid w:val="003F0300"/>
    <w:rsid w:val="003F03C3"/>
    <w:rsid w:val="003F0557"/>
    <w:rsid w:val="003F05BF"/>
    <w:rsid w:val="003F0624"/>
    <w:rsid w:val="003F06CA"/>
    <w:rsid w:val="003F0851"/>
    <w:rsid w:val="003F0934"/>
    <w:rsid w:val="003F0BB1"/>
    <w:rsid w:val="003F0C0E"/>
    <w:rsid w:val="003F0C11"/>
    <w:rsid w:val="003F0C9F"/>
    <w:rsid w:val="003F0D9B"/>
    <w:rsid w:val="003F0EB9"/>
    <w:rsid w:val="003F0FD6"/>
    <w:rsid w:val="003F1261"/>
    <w:rsid w:val="003F14A3"/>
    <w:rsid w:val="003F164B"/>
    <w:rsid w:val="003F197B"/>
    <w:rsid w:val="003F1987"/>
    <w:rsid w:val="003F1A6A"/>
    <w:rsid w:val="003F1BF4"/>
    <w:rsid w:val="003F1D25"/>
    <w:rsid w:val="003F1D71"/>
    <w:rsid w:val="003F1EB1"/>
    <w:rsid w:val="003F204A"/>
    <w:rsid w:val="003F24A5"/>
    <w:rsid w:val="003F2AEC"/>
    <w:rsid w:val="003F2D56"/>
    <w:rsid w:val="003F2DE0"/>
    <w:rsid w:val="003F3082"/>
    <w:rsid w:val="003F318A"/>
    <w:rsid w:val="003F353E"/>
    <w:rsid w:val="003F3652"/>
    <w:rsid w:val="003F3664"/>
    <w:rsid w:val="003F36A9"/>
    <w:rsid w:val="003F36DA"/>
    <w:rsid w:val="003F3B8D"/>
    <w:rsid w:val="003F3FC9"/>
    <w:rsid w:val="003F461A"/>
    <w:rsid w:val="003F4A31"/>
    <w:rsid w:val="003F4C8F"/>
    <w:rsid w:val="003F4CCF"/>
    <w:rsid w:val="003F5384"/>
    <w:rsid w:val="003F54FA"/>
    <w:rsid w:val="003F57F7"/>
    <w:rsid w:val="003F5900"/>
    <w:rsid w:val="003F5929"/>
    <w:rsid w:val="003F5A17"/>
    <w:rsid w:val="003F5A4C"/>
    <w:rsid w:val="003F5AC3"/>
    <w:rsid w:val="003F5BAB"/>
    <w:rsid w:val="003F5FB0"/>
    <w:rsid w:val="003F607F"/>
    <w:rsid w:val="003F6123"/>
    <w:rsid w:val="003F616A"/>
    <w:rsid w:val="003F63A0"/>
    <w:rsid w:val="003F6522"/>
    <w:rsid w:val="003F678D"/>
    <w:rsid w:val="003F6848"/>
    <w:rsid w:val="003F6CA2"/>
    <w:rsid w:val="003F709A"/>
    <w:rsid w:val="003F726A"/>
    <w:rsid w:val="003F733D"/>
    <w:rsid w:val="003F74E6"/>
    <w:rsid w:val="003F7579"/>
    <w:rsid w:val="003F7785"/>
    <w:rsid w:val="003F783D"/>
    <w:rsid w:val="003F787E"/>
    <w:rsid w:val="003F78DF"/>
    <w:rsid w:val="003F7A28"/>
    <w:rsid w:val="003F7D63"/>
    <w:rsid w:val="003F7E4E"/>
    <w:rsid w:val="004006AD"/>
    <w:rsid w:val="00400760"/>
    <w:rsid w:val="004007EC"/>
    <w:rsid w:val="0040094E"/>
    <w:rsid w:val="00400B7C"/>
    <w:rsid w:val="00400C9B"/>
    <w:rsid w:val="00400D22"/>
    <w:rsid w:val="00400E82"/>
    <w:rsid w:val="00400EA2"/>
    <w:rsid w:val="0040108F"/>
    <w:rsid w:val="00401136"/>
    <w:rsid w:val="004013A1"/>
    <w:rsid w:val="004014AA"/>
    <w:rsid w:val="0040160B"/>
    <w:rsid w:val="004018B4"/>
    <w:rsid w:val="00401A80"/>
    <w:rsid w:val="00401B79"/>
    <w:rsid w:val="00401CB6"/>
    <w:rsid w:val="00401CC1"/>
    <w:rsid w:val="00401DBE"/>
    <w:rsid w:val="0040238C"/>
    <w:rsid w:val="0040264C"/>
    <w:rsid w:val="004028FD"/>
    <w:rsid w:val="004029A2"/>
    <w:rsid w:val="00402C49"/>
    <w:rsid w:val="00402DC1"/>
    <w:rsid w:val="00402E86"/>
    <w:rsid w:val="00402F0B"/>
    <w:rsid w:val="0040302B"/>
    <w:rsid w:val="00403290"/>
    <w:rsid w:val="0040379E"/>
    <w:rsid w:val="004038F0"/>
    <w:rsid w:val="004040BA"/>
    <w:rsid w:val="0040414D"/>
    <w:rsid w:val="00404199"/>
    <w:rsid w:val="00404386"/>
    <w:rsid w:val="00404558"/>
    <w:rsid w:val="004045CA"/>
    <w:rsid w:val="0040480D"/>
    <w:rsid w:val="00404825"/>
    <w:rsid w:val="004049BD"/>
    <w:rsid w:val="00405051"/>
    <w:rsid w:val="00405127"/>
    <w:rsid w:val="00405209"/>
    <w:rsid w:val="0040534A"/>
    <w:rsid w:val="004055B2"/>
    <w:rsid w:val="00405726"/>
    <w:rsid w:val="00405E39"/>
    <w:rsid w:val="00405E65"/>
    <w:rsid w:val="00405EF7"/>
    <w:rsid w:val="0040616E"/>
    <w:rsid w:val="00406230"/>
    <w:rsid w:val="00406239"/>
    <w:rsid w:val="004063D8"/>
    <w:rsid w:val="00406714"/>
    <w:rsid w:val="004067BE"/>
    <w:rsid w:val="0040699C"/>
    <w:rsid w:val="00406E72"/>
    <w:rsid w:val="00406F07"/>
    <w:rsid w:val="0040733A"/>
    <w:rsid w:val="004076B7"/>
    <w:rsid w:val="00407737"/>
    <w:rsid w:val="00407817"/>
    <w:rsid w:val="00407843"/>
    <w:rsid w:val="00407C39"/>
    <w:rsid w:val="00407E29"/>
    <w:rsid w:val="00410077"/>
    <w:rsid w:val="00410128"/>
    <w:rsid w:val="004101A6"/>
    <w:rsid w:val="004101DB"/>
    <w:rsid w:val="0041021D"/>
    <w:rsid w:val="00410690"/>
    <w:rsid w:val="00411169"/>
    <w:rsid w:val="004115E1"/>
    <w:rsid w:val="00411723"/>
    <w:rsid w:val="004120C6"/>
    <w:rsid w:val="0041228F"/>
    <w:rsid w:val="004122F1"/>
    <w:rsid w:val="004123F6"/>
    <w:rsid w:val="00412613"/>
    <w:rsid w:val="00412786"/>
    <w:rsid w:val="0041298C"/>
    <w:rsid w:val="004129DB"/>
    <w:rsid w:val="00412C80"/>
    <w:rsid w:val="00412DB0"/>
    <w:rsid w:val="00412F40"/>
    <w:rsid w:val="00413107"/>
    <w:rsid w:val="004133BE"/>
    <w:rsid w:val="004133C9"/>
    <w:rsid w:val="00413A7C"/>
    <w:rsid w:val="00413B56"/>
    <w:rsid w:val="00413C1C"/>
    <w:rsid w:val="00414193"/>
    <w:rsid w:val="00414287"/>
    <w:rsid w:val="004143EB"/>
    <w:rsid w:val="0041445F"/>
    <w:rsid w:val="004144C1"/>
    <w:rsid w:val="00414665"/>
    <w:rsid w:val="00414BE9"/>
    <w:rsid w:val="00414FE6"/>
    <w:rsid w:val="004150A8"/>
    <w:rsid w:val="004150EA"/>
    <w:rsid w:val="004151BB"/>
    <w:rsid w:val="004156DD"/>
    <w:rsid w:val="004157FE"/>
    <w:rsid w:val="00415881"/>
    <w:rsid w:val="004159A3"/>
    <w:rsid w:val="00415AF4"/>
    <w:rsid w:val="00415DA3"/>
    <w:rsid w:val="00415F08"/>
    <w:rsid w:val="004163B6"/>
    <w:rsid w:val="0041674D"/>
    <w:rsid w:val="00416A01"/>
    <w:rsid w:val="00416A45"/>
    <w:rsid w:val="0041747E"/>
    <w:rsid w:val="0041753B"/>
    <w:rsid w:val="004177BD"/>
    <w:rsid w:val="00417A4A"/>
    <w:rsid w:val="00417AC5"/>
    <w:rsid w:val="00417F32"/>
    <w:rsid w:val="0042007A"/>
    <w:rsid w:val="00420147"/>
    <w:rsid w:val="00420189"/>
    <w:rsid w:val="00420214"/>
    <w:rsid w:val="00420477"/>
    <w:rsid w:val="0042054F"/>
    <w:rsid w:val="004205B0"/>
    <w:rsid w:val="004206E0"/>
    <w:rsid w:val="00420BCC"/>
    <w:rsid w:val="00420C99"/>
    <w:rsid w:val="00420CE0"/>
    <w:rsid w:val="00420D60"/>
    <w:rsid w:val="00420EBD"/>
    <w:rsid w:val="00420F6D"/>
    <w:rsid w:val="00421500"/>
    <w:rsid w:val="0042151E"/>
    <w:rsid w:val="00421750"/>
    <w:rsid w:val="00421768"/>
    <w:rsid w:val="00421860"/>
    <w:rsid w:val="00421A10"/>
    <w:rsid w:val="00421B92"/>
    <w:rsid w:val="00421CF2"/>
    <w:rsid w:val="00421D21"/>
    <w:rsid w:val="00421D56"/>
    <w:rsid w:val="00421D68"/>
    <w:rsid w:val="00421D6C"/>
    <w:rsid w:val="00421E68"/>
    <w:rsid w:val="00421EA9"/>
    <w:rsid w:val="0042215F"/>
    <w:rsid w:val="004227BF"/>
    <w:rsid w:val="0042295C"/>
    <w:rsid w:val="004229A2"/>
    <w:rsid w:val="00422A66"/>
    <w:rsid w:val="00423178"/>
    <w:rsid w:val="0042345E"/>
    <w:rsid w:val="00423553"/>
    <w:rsid w:val="004235ED"/>
    <w:rsid w:val="004236FC"/>
    <w:rsid w:val="0042370B"/>
    <w:rsid w:val="00423761"/>
    <w:rsid w:val="004237BD"/>
    <w:rsid w:val="004238C5"/>
    <w:rsid w:val="00423D28"/>
    <w:rsid w:val="0042407F"/>
    <w:rsid w:val="00424099"/>
    <w:rsid w:val="00424190"/>
    <w:rsid w:val="0042433A"/>
    <w:rsid w:val="004246E5"/>
    <w:rsid w:val="004246ED"/>
    <w:rsid w:val="004247A7"/>
    <w:rsid w:val="00424A30"/>
    <w:rsid w:val="00424B53"/>
    <w:rsid w:val="00424C39"/>
    <w:rsid w:val="00424EC5"/>
    <w:rsid w:val="00424F4E"/>
    <w:rsid w:val="00425588"/>
    <w:rsid w:val="004258C1"/>
    <w:rsid w:val="00425B34"/>
    <w:rsid w:val="00425CED"/>
    <w:rsid w:val="00425D7F"/>
    <w:rsid w:val="00425ED5"/>
    <w:rsid w:val="00425FA1"/>
    <w:rsid w:val="004260EE"/>
    <w:rsid w:val="00426400"/>
    <w:rsid w:val="0042650A"/>
    <w:rsid w:val="004266E2"/>
    <w:rsid w:val="00426726"/>
    <w:rsid w:val="004267D9"/>
    <w:rsid w:val="00426969"/>
    <w:rsid w:val="00426A10"/>
    <w:rsid w:val="00426AB7"/>
    <w:rsid w:val="00426F72"/>
    <w:rsid w:val="00427147"/>
    <w:rsid w:val="00427203"/>
    <w:rsid w:val="00427232"/>
    <w:rsid w:val="004274C3"/>
    <w:rsid w:val="004275EA"/>
    <w:rsid w:val="004276C0"/>
    <w:rsid w:val="0042794C"/>
    <w:rsid w:val="00427C31"/>
    <w:rsid w:val="0043007D"/>
    <w:rsid w:val="004300BA"/>
    <w:rsid w:val="004301CD"/>
    <w:rsid w:val="00430414"/>
    <w:rsid w:val="0043041F"/>
    <w:rsid w:val="004304AE"/>
    <w:rsid w:val="004305EC"/>
    <w:rsid w:val="004306EF"/>
    <w:rsid w:val="004307AB"/>
    <w:rsid w:val="00430C78"/>
    <w:rsid w:val="00430D63"/>
    <w:rsid w:val="00430F2F"/>
    <w:rsid w:val="00431073"/>
    <w:rsid w:val="0043108F"/>
    <w:rsid w:val="00431176"/>
    <w:rsid w:val="004311BE"/>
    <w:rsid w:val="004311F3"/>
    <w:rsid w:val="004316EE"/>
    <w:rsid w:val="00431743"/>
    <w:rsid w:val="00431769"/>
    <w:rsid w:val="004317E7"/>
    <w:rsid w:val="004318E4"/>
    <w:rsid w:val="00431A06"/>
    <w:rsid w:val="00431A14"/>
    <w:rsid w:val="00431D38"/>
    <w:rsid w:val="00431E0D"/>
    <w:rsid w:val="00431E10"/>
    <w:rsid w:val="00431E1C"/>
    <w:rsid w:val="00431E67"/>
    <w:rsid w:val="0043209A"/>
    <w:rsid w:val="00432554"/>
    <w:rsid w:val="004325B3"/>
    <w:rsid w:val="004328B4"/>
    <w:rsid w:val="004329A6"/>
    <w:rsid w:val="00432B00"/>
    <w:rsid w:val="00432C84"/>
    <w:rsid w:val="00432DDC"/>
    <w:rsid w:val="00433030"/>
    <w:rsid w:val="0043340D"/>
    <w:rsid w:val="00433517"/>
    <w:rsid w:val="00433547"/>
    <w:rsid w:val="0043360E"/>
    <w:rsid w:val="00433701"/>
    <w:rsid w:val="0043398C"/>
    <w:rsid w:val="00433EE2"/>
    <w:rsid w:val="00434397"/>
    <w:rsid w:val="00434550"/>
    <w:rsid w:val="004346FA"/>
    <w:rsid w:val="00434888"/>
    <w:rsid w:val="00434A65"/>
    <w:rsid w:val="00434A94"/>
    <w:rsid w:val="00434D5D"/>
    <w:rsid w:val="00434DE9"/>
    <w:rsid w:val="0043518C"/>
    <w:rsid w:val="00435196"/>
    <w:rsid w:val="004355B6"/>
    <w:rsid w:val="004355F9"/>
    <w:rsid w:val="00435AA3"/>
    <w:rsid w:val="00435DE4"/>
    <w:rsid w:val="0043603E"/>
    <w:rsid w:val="004361BE"/>
    <w:rsid w:val="004364FC"/>
    <w:rsid w:val="004367A6"/>
    <w:rsid w:val="004367CD"/>
    <w:rsid w:val="004367DA"/>
    <w:rsid w:val="004369E9"/>
    <w:rsid w:val="0043701B"/>
    <w:rsid w:val="004371DF"/>
    <w:rsid w:val="004377EA"/>
    <w:rsid w:val="00437919"/>
    <w:rsid w:val="00437A16"/>
    <w:rsid w:val="00437BEE"/>
    <w:rsid w:val="00437E00"/>
    <w:rsid w:val="00437E16"/>
    <w:rsid w:val="00437EF8"/>
    <w:rsid w:val="00437F40"/>
    <w:rsid w:val="004401DF"/>
    <w:rsid w:val="00440247"/>
    <w:rsid w:val="004403D6"/>
    <w:rsid w:val="0044040E"/>
    <w:rsid w:val="004408DF"/>
    <w:rsid w:val="0044093A"/>
    <w:rsid w:val="00440DB6"/>
    <w:rsid w:val="00440E40"/>
    <w:rsid w:val="00441065"/>
    <w:rsid w:val="0044128C"/>
    <w:rsid w:val="00441464"/>
    <w:rsid w:val="0044176F"/>
    <w:rsid w:val="004418B2"/>
    <w:rsid w:val="0044195E"/>
    <w:rsid w:val="00441ACA"/>
    <w:rsid w:val="00441E3C"/>
    <w:rsid w:val="0044202A"/>
    <w:rsid w:val="004420B1"/>
    <w:rsid w:val="00442175"/>
    <w:rsid w:val="004421E0"/>
    <w:rsid w:val="0044223D"/>
    <w:rsid w:val="00442280"/>
    <w:rsid w:val="0044282A"/>
    <w:rsid w:val="004428DC"/>
    <w:rsid w:val="0044290A"/>
    <w:rsid w:val="00442A6B"/>
    <w:rsid w:val="00442B29"/>
    <w:rsid w:val="00442BA4"/>
    <w:rsid w:val="00443043"/>
    <w:rsid w:val="00443330"/>
    <w:rsid w:val="004433A1"/>
    <w:rsid w:val="00443412"/>
    <w:rsid w:val="00443795"/>
    <w:rsid w:val="00443ACA"/>
    <w:rsid w:val="00443DEE"/>
    <w:rsid w:val="004440F6"/>
    <w:rsid w:val="00444268"/>
    <w:rsid w:val="004445B8"/>
    <w:rsid w:val="004445D9"/>
    <w:rsid w:val="00444AD5"/>
    <w:rsid w:val="00444E47"/>
    <w:rsid w:val="00445192"/>
    <w:rsid w:val="004451FA"/>
    <w:rsid w:val="0044526F"/>
    <w:rsid w:val="0044584C"/>
    <w:rsid w:val="00445DAB"/>
    <w:rsid w:val="00445E10"/>
    <w:rsid w:val="00445FEA"/>
    <w:rsid w:val="004463A5"/>
    <w:rsid w:val="004465C5"/>
    <w:rsid w:val="004465DC"/>
    <w:rsid w:val="00446636"/>
    <w:rsid w:val="004468DF"/>
    <w:rsid w:val="004469A6"/>
    <w:rsid w:val="00446F1A"/>
    <w:rsid w:val="00446F59"/>
    <w:rsid w:val="00446F8B"/>
    <w:rsid w:val="00447346"/>
    <w:rsid w:val="0044780C"/>
    <w:rsid w:val="00447929"/>
    <w:rsid w:val="00447956"/>
    <w:rsid w:val="00447B5B"/>
    <w:rsid w:val="00447CEB"/>
    <w:rsid w:val="00447CF0"/>
    <w:rsid w:val="00447E79"/>
    <w:rsid w:val="00447EB1"/>
    <w:rsid w:val="00447EED"/>
    <w:rsid w:val="00447F2F"/>
    <w:rsid w:val="0045004F"/>
    <w:rsid w:val="00450074"/>
    <w:rsid w:val="00450476"/>
    <w:rsid w:val="00450496"/>
    <w:rsid w:val="0045052A"/>
    <w:rsid w:val="00450577"/>
    <w:rsid w:val="004505C3"/>
    <w:rsid w:val="00450697"/>
    <w:rsid w:val="004506A5"/>
    <w:rsid w:val="0045079F"/>
    <w:rsid w:val="004507EA"/>
    <w:rsid w:val="004509C1"/>
    <w:rsid w:val="00450B44"/>
    <w:rsid w:val="00450CA9"/>
    <w:rsid w:val="00450CC0"/>
    <w:rsid w:val="00450D16"/>
    <w:rsid w:val="00450D78"/>
    <w:rsid w:val="00450FA5"/>
    <w:rsid w:val="00450FA9"/>
    <w:rsid w:val="004510AE"/>
    <w:rsid w:val="004513D0"/>
    <w:rsid w:val="0045155D"/>
    <w:rsid w:val="004518A2"/>
    <w:rsid w:val="00451A85"/>
    <w:rsid w:val="00451B84"/>
    <w:rsid w:val="00451D29"/>
    <w:rsid w:val="00451D7E"/>
    <w:rsid w:val="00451E05"/>
    <w:rsid w:val="00451E6B"/>
    <w:rsid w:val="00451F69"/>
    <w:rsid w:val="00451FEF"/>
    <w:rsid w:val="0045223D"/>
    <w:rsid w:val="004526D6"/>
    <w:rsid w:val="004529F4"/>
    <w:rsid w:val="00452AB4"/>
    <w:rsid w:val="00452D89"/>
    <w:rsid w:val="0045336C"/>
    <w:rsid w:val="004533CF"/>
    <w:rsid w:val="004533F1"/>
    <w:rsid w:val="0045364C"/>
    <w:rsid w:val="00453B29"/>
    <w:rsid w:val="00453D0F"/>
    <w:rsid w:val="00453DAD"/>
    <w:rsid w:val="004543D3"/>
    <w:rsid w:val="004545E8"/>
    <w:rsid w:val="004546A2"/>
    <w:rsid w:val="004546EA"/>
    <w:rsid w:val="00454A40"/>
    <w:rsid w:val="00454B4C"/>
    <w:rsid w:val="0045515C"/>
    <w:rsid w:val="004552B1"/>
    <w:rsid w:val="004555CE"/>
    <w:rsid w:val="004556C0"/>
    <w:rsid w:val="004559B2"/>
    <w:rsid w:val="00455DE5"/>
    <w:rsid w:val="00455E0B"/>
    <w:rsid w:val="00455E1D"/>
    <w:rsid w:val="00456174"/>
    <w:rsid w:val="00456294"/>
    <w:rsid w:val="00456357"/>
    <w:rsid w:val="0045648D"/>
    <w:rsid w:val="0045652D"/>
    <w:rsid w:val="004565C7"/>
    <w:rsid w:val="00456C95"/>
    <w:rsid w:val="00456FD7"/>
    <w:rsid w:val="004570EA"/>
    <w:rsid w:val="0045732C"/>
    <w:rsid w:val="0045740F"/>
    <w:rsid w:val="00457443"/>
    <w:rsid w:val="0045763E"/>
    <w:rsid w:val="00457723"/>
    <w:rsid w:val="00457BD3"/>
    <w:rsid w:val="00457C07"/>
    <w:rsid w:val="00457CC3"/>
    <w:rsid w:val="00460330"/>
    <w:rsid w:val="0046036E"/>
    <w:rsid w:val="004605F6"/>
    <w:rsid w:val="00460875"/>
    <w:rsid w:val="004608E3"/>
    <w:rsid w:val="00460916"/>
    <w:rsid w:val="00460917"/>
    <w:rsid w:val="00460AB9"/>
    <w:rsid w:val="00460DB1"/>
    <w:rsid w:val="00460DF5"/>
    <w:rsid w:val="00461329"/>
    <w:rsid w:val="004613A5"/>
    <w:rsid w:val="004614F7"/>
    <w:rsid w:val="0046158E"/>
    <w:rsid w:val="00461782"/>
    <w:rsid w:val="00461AA6"/>
    <w:rsid w:val="00461E73"/>
    <w:rsid w:val="004621C9"/>
    <w:rsid w:val="00462354"/>
    <w:rsid w:val="004625AD"/>
    <w:rsid w:val="00462718"/>
    <w:rsid w:val="004627CC"/>
    <w:rsid w:val="00462AD9"/>
    <w:rsid w:val="00462BE9"/>
    <w:rsid w:val="00462DAB"/>
    <w:rsid w:val="00462E42"/>
    <w:rsid w:val="0046349D"/>
    <w:rsid w:val="004635A0"/>
    <w:rsid w:val="004636F5"/>
    <w:rsid w:val="00463A4F"/>
    <w:rsid w:val="00463A8F"/>
    <w:rsid w:val="00463C27"/>
    <w:rsid w:val="004643EC"/>
    <w:rsid w:val="00464467"/>
    <w:rsid w:val="0046492A"/>
    <w:rsid w:val="00464C79"/>
    <w:rsid w:val="00464EE4"/>
    <w:rsid w:val="00464F95"/>
    <w:rsid w:val="00464FEC"/>
    <w:rsid w:val="0046502B"/>
    <w:rsid w:val="004651DD"/>
    <w:rsid w:val="004654CF"/>
    <w:rsid w:val="00465738"/>
    <w:rsid w:val="0046580D"/>
    <w:rsid w:val="004658FC"/>
    <w:rsid w:val="00465950"/>
    <w:rsid w:val="00465C84"/>
    <w:rsid w:val="00466122"/>
    <w:rsid w:val="00466289"/>
    <w:rsid w:val="004662D1"/>
    <w:rsid w:val="004665CC"/>
    <w:rsid w:val="0046661C"/>
    <w:rsid w:val="004666A6"/>
    <w:rsid w:val="0046683C"/>
    <w:rsid w:val="004669A1"/>
    <w:rsid w:val="00466A13"/>
    <w:rsid w:val="00466BF8"/>
    <w:rsid w:val="00466D6D"/>
    <w:rsid w:val="00466D8C"/>
    <w:rsid w:val="004673B8"/>
    <w:rsid w:val="004673ED"/>
    <w:rsid w:val="00467413"/>
    <w:rsid w:val="00467796"/>
    <w:rsid w:val="00467960"/>
    <w:rsid w:val="00467E04"/>
    <w:rsid w:val="00467E99"/>
    <w:rsid w:val="00470362"/>
    <w:rsid w:val="0047074C"/>
    <w:rsid w:val="00470A1E"/>
    <w:rsid w:val="00470A8F"/>
    <w:rsid w:val="00470B27"/>
    <w:rsid w:val="00470B9D"/>
    <w:rsid w:val="00470F7A"/>
    <w:rsid w:val="004710C7"/>
    <w:rsid w:val="00471231"/>
    <w:rsid w:val="00471356"/>
    <w:rsid w:val="004713CD"/>
    <w:rsid w:val="00471401"/>
    <w:rsid w:val="0047144D"/>
    <w:rsid w:val="00471458"/>
    <w:rsid w:val="004714A7"/>
    <w:rsid w:val="00471708"/>
    <w:rsid w:val="004719D0"/>
    <w:rsid w:val="00471B28"/>
    <w:rsid w:val="00471B45"/>
    <w:rsid w:val="00471DC2"/>
    <w:rsid w:val="00471E32"/>
    <w:rsid w:val="00471FFD"/>
    <w:rsid w:val="00472084"/>
    <w:rsid w:val="00472181"/>
    <w:rsid w:val="004722C9"/>
    <w:rsid w:val="0047240B"/>
    <w:rsid w:val="0047262A"/>
    <w:rsid w:val="0047270E"/>
    <w:rsid w:val="004728D8"/>
    <w:rsid w:val="00472A9B"/>
    <w:rsid w:val="00472CEF"/>
    <w:rsid w:val="00472F62"/>
    <w:rsid w:val="0047309F"/>
    <w:rsid w:val="00473196"/>
    <w:rsid w:val="00473230"/>
    <w:rsid w:val="00473520"/>
    <w:rsid w:val="00473538"/>
    <w:rsid w:val="00473A43"/>
    <w:rsid w:val="00473B08"/>
    <w:rsid w:val="00473B26"/>
    <w:rsid w:val="00473B4F"/>
    <w:rsid w:val="00473F3E"/>
    <w:rsid w:val="0047409B"/>
    <w:rsid w:val="004740A8"/>
    <w:rsid w:val="00474128"/>
    <w:rsid w:val="0047418F"/>
    <w:rsid w:val="004741D5"/>
    <w:rsid w:val="0047422D"/>
    <w:rsid w:val="00474322"/>
    <w:rsid w:val="004743D7"/>
    <w:rsid w:val="0047444E"/>
    <w:rsid w:val="004744E8"/>
    <w:rsid w:val="00474505"/>
    <w:rsid w:val="00474686"/>
    <w:rsid w:val="00474799"/>
    <w:rsid w:val="004748B7"/>
    <w:rsid w:val="00474AED"/>
    <w:rsid w:val="00475126"/>
    <w:rsid w:val="00475262"/>
    <w:rsid w:val="00475291"/>
    <w:rsid w:val="0047550E"/>
    <w:rsid w:val="0047554F"/>
    <w:rsid w:val="00475853"/>
    <w:rsid w:val="00475996"/>
    <w:rsid w:val="004759AA"/>
    <w:rsid w:val="00475A1E"/>
    <w:rsid w:val="00475A6E"/>
    <w:rsid w:val="00475AF4"/>
    <w:rsid w:val="00475B15"/>
    <w:rsid w:val="00475BBA"/>
    <w:rsid w:val="00475BFF"/>
    <w:rsid w:val="00475CA4"/>
    <w:rsid w:val="00475DA4"/>
    <w:rsid w:val="004761A7"/>
    <w:rsid w:val="0047659F"/>
    <w:rsid w:val="00476A03"/>
    <w:rsid w:val="00476B4A"/>
    <w:rsid w:val="00476DC5"/>
    <w:rsid w:val="00476E9A"/>
    <w:rsid w:val="00476EA7"/>
    <w:rsid w:val="0047703A"/>
    <w:rsid w:val="004771D5"/>
    <w:rsid w:val="004773CE"/>
    <w:rsid w:val="004774B8"/>
    <w:rsid w:val="004774D5"/>
    <w:rsid w:val="00477674"/>
    <w:rsid w:val="004776B3"/>
    <w:rsid w:val="0047778B"/>
    <w:rsid w:val="0047794A"/>
    <w:rsid w:val="00477970"/>
    <w:rsid w:val="00477BC5"/>
    <w:rsid w:val="00477CA4"/>
    <w:rsid w:val="00477F26"/>
    <w:rsid w:val="00477F58"/>
    <w:rsid w:val="00477F61"/>
    <w:rsid w:val="004802BC"/>
    <w:rsid w:val="0048034C"/>
    <w:rsid w:val="00480989"/>
    <w:rsid w:val="00480B54"/>
    <w:rsid w:val="00480ECF"/>
    <w:rsid w:val="004812C0"/>
    <w:rsid w:val="004814BE"/>
    <w:rsid w:val="004814C5"/>
    <w:rsid w:val="0048157F"/>
    <w:rsid w:val="00481820"/>
    <w:rsid w:val="0048199B"/>
    <w:rsid w:val="004819CA"/>
    <w:rsid w:val="00481CD9"/>
    <w:rsid w:val="0048204C"/>
    <w:rsid w:val="0048221E"/>
    <w:rsid w:val="00482332"/>
    <w:rsid w:val="004825E9"/>
    <w:rsid w:val="00482B33"/>
    <w:rsid w:val="00482CEC"/>
    <w:rsid w:val="00482E27"/>
    <w:rsid w:val="00483294"/>
    <w:rsid w:val="004834F0"/>
    <w:rsid w:val="004835C1"/>
    <w:rsid w:val="00483668"/>
    <w:rsid w:val="0048376D"/>
    <w:rsid w:val="004837FA"/>
    <w:rsid w:val="004839A7"/>
    <w:rsid w:val="00483ACB"/>
    <w:rsid w:val="00483BC0"/>
    <w:rsid w:val="00483D4C"/>
    <w:rsid w:val="00483F6E"/>
    <w:rsid w:val="00483F9E"/>
    <w:rsid w:val="00484002"/>
    <w:rsid w:val="00484228"/>
    <w:rsid w:val="0048433C"/>
    <w:rsid w:val="00484AEA"/>
    <w:rsid w:val="00484B2B"/>
    <w:rsid w:val="00484D2F"/>
    <w:rsid w:val="00484D3A"/>
    <w:rsid w:val="0048523F"/>
    <w:rsid w:val="0048527A"/>
    <w:rsid w:val="00485312"/>
    <w:rsid w:val="00485330"/>
    <w:rsid w:val="0048543D"/>
    <w:rsid w:val="00485446"/>
    <w:rsid w:val="004854DB"/>
    <w:rsid w:val="00485589"/>
    <w:rsid w:val="0048563C"/>
    <w:rsid w:val="00485B74"/>
    <w:rsid w:val="00485B87"/>
    <w:rsid w:val="00485D4F"/>
    <w:rsid w:val="00485DE6"/>
    <w:rsid w:val="00485E93"/>
    <w:rsid w:val="00485EDF"/>
    <w:rsid w:val="00485F1C"/>
    <w:rsid w:val="0048653D"/>
    <w:rsid w:val="0048668B"/>
    <w:rsid w:val="00486B97"/>
    <w:rsid w:val="00486D4E"/>
    <w:rsid w:val="004871C8"/>
    <w:rsid w:val="004872A0"/>
    <w:rsid w:val="004879B5"/>
    <w:rsid w:val="004879D4"/>
    <w:rsid w:val="00487C6F"/>
    <w:rsid w:val="00487C74"/>
    <w:rsid w:val="00487C7D"/>
    <w:rsid w:val="00487DB7"/>
    <w:rsid w:val="00487EDA"/>
    <w:rsid w:val="00487F03"/>
    <w:rsid w:val="004900E7"/>
    <w:rsid w:val="004901C0"/>
    <w:rsid w:val="0049049D"/>
    <w:rsid w:val="004904CB"/>
    <w:rsid w:val="004905D9"/>
    <w:rsid w:val="004906AB"/>
    <w:rsid w:val="004907D3"/>
    <w:rsid w:val="004909E1"/>
    <w:rsid w:val="00490C04"/>
    <w:rsid w:val="00490EFE"/>
    <w:rsid w:val="0049108F"/>
    <w:rsid w:val="0049114E"/>
    <w:rsid w:val="004912C3"/>
    <w:rsid w:val="004913A1"/>
    <w:rsid w:val="004913B9"/>
    <w:rsid w:val="004913EE"/>
    <w:rsid w:val="004916BE"/>
    <w:rsid w:val="004919CD"/>
    <w:rsid w:val="00491A39"/>
    <w:rsid w:val="00491A4E"/>
    <w:rsid w:val="00491A6A"/>
    <w:rsid w:val="00491B9A"/>
    <w:rsid w:val="00491C0A"/>
    <w:rsid w:val="0049247D"/>
    <w:rsid w:val="004924B2"/>
    <w:rsid w:val="004924B7"/>
    <w:rsid w:val="00492682"/>
    <w:rsid w:val="004927DE"/>
    <w:rsid w:val="00492843"/>
    <w:rsid w:val="00492930"/>
    <w:rsid w:val="00492B56"/>
    <w:rsid w:val="00492C29"/>
    <w:rsid w:val="00492DD3"/>
    <w:rsid w:val="00492EC0"/>
    <w:rsid w:val="00492F30"/>
    <w:rsid w:val="00492FE2"/>
    <w:rsid w:val="0049316A"/>
    <w:rsid w:val="0049330E"/>
    <w:rsid w:val="00493380"/>
    <w:rsid w:val="0049345D"/>
    <w:rsid w:val="00493B4B"/>
    <w:rsid w:val="00493DB7"/>
    <w:rsid w:val="00493F73"/>
    <w:rsid w:val="004941B4"/>
    <w:rsid w:val="004942AA"/>
    <w:rsid w:val="004942DB"/>
    <w:rsid w:val="004945EB"/>
    <w:rsid w:val="00494668"/>
    <w:rsid w:val="00494AB9"/>
    <w:rsid w:val="00494B3D"/>
    <w:rsid w:val="00494C8A"/>
    <w:rsid w:val="00494D1A"/>
    <w:rsid w:val="00494D2F"/>
    <w:rsid w:val="00494D6B"/>
    <w:rsid w:val="0049533A"/>
    <w:rsid w:val="00495408"/>
    <w:rsid w:val="00495429"/>
    <w:rsid w:val="00495910"/>
    <w:rsid w:val="00495A53"/>
    <w:rsid w:val="00495C45"/>
    <w:rsid w:val="00495D67"/>
    <w:rsid w:val="00495F18"/>
    <w:rsid w:val="00495FF9"/>
    <w:rsid w:val="00496025"/>
    <w:rsid w:val="00496551"/>
    <w:rsid w:val="00496AF6"/>
    <w:rsid w:val="00496B5B"/>
    <w:rsid w:val="004973CA"/>
    <w:rsid w:val="004973E7"/>
    <w:rsid w:val="00497457"/>
    <w:rsid w:val="0049762A"/>
    <w:rsid w:val="004976E3"/>
    <w:rsid w:val="00497822"/>
    <w:rsid w:val="0049782F"/>
    <w:rsid w:val="004978C9"/>
    <w:rsid w:val="00497AC9"/>
    <w:rsid w:val="00497CAE"/>
    <w:rsid w:val="00497CB7"/>
    <w:rsid w:val="00497DB3"/>
    <w:rsid w:val="00497E78"/>
    <w:rsid w:val="004A007B"/>
    <w:rsid w:val="004A0451"/>
    <w:rsid w:val="004A0629"/>
    <w:rsid w:val="004A0783"/>
    <w:rsid w:val="004A07B2"/>
    <w:rsid w:val="004A08A9"/>
    <w:rsid w:val="004A09FC"/>
    <w:rsid w:val="004A0AFB"/>
    <w:rsid w:val="004A11A4"/>
    <w:rsid w:val="004A1513"/>
    <w:rsid w:val="004A177F"/>
    <w:rsid w:val="004A18F0"/>
    <w:rsid w:val="004A19DC"/>
    <w:rsid w:val="004A1BE8"/>
    <w:rsid w:val="004A20A3"/>
    <w:rsid w:val="004A23A3"/>
    <w:rsid w:val="004A23BA"/>
    <w:rsid w:val="004A25D5"/>
    <w:rsid w:val="004A2896"/>
    <w:rsid w:val="004A28B1"/>
    <w:rsid w:val="004A29AE"/>
    <w:rsid w:val="004A2A67"/>
    <w:rsid w:val="004A2C88"/>
    <w:rsid w:val="004A2F8B"/>
    <w:rsid w:val="004A33B8"/>
    <w:rsid w:val="004A3401"/>
    <w:rsid w:val="004A36B7"/>
    <w:rsid w:val="004A36E5"/>
    <w:rsid w:val="004A39F0"/>
    <w:rsid w:val="004A3ACC"/>
    <w:rsid w:val="004A3D27"/>
    <w:rsid w:val="004A3E51"/>
    <w:rsid w:val="004A41F1"/>
    <w:rsid w:val="004A4203"/>
    <w:rsid w:val="004A429C"/>
    <w:rsid w:val="004A4362"/>
    <w:rsid w:val="004A43A2"/>
    <w:rsid w:val="004A44F9"/>
    <w:rsid w:val="004A45BA"/>
    <w:rsid w:val="004A4659"/>
    <w:rsid w:val="004A4700"/>
    <w:rsid w:val="004A4A39"/>
    <w:rsid w:val="004A4DE6"/>
    <w:rsid w:val="004A4E42"/>
    <w:rsid w:val="004A4EB6"/>
    <w:rsid w:val="004A50A6"/>
    <w:rsid w:val="004A5101"/>
    <w:rsid w:val="004A5113"/>
    <w:rsid w:val="004A53EC"/>
    <w:rsid w:val="004A5584"/>
    <w:rsid w:val="004A5659"/>
    <w:rsid w:val="004A5913"/>
    <w:rsid w:val="004A5AD7"/>
    <w:rsid w:val="004A61B5"/>
    <w:rsid w:val="004A6396"/>
    <w:rsid w:val="004A6539"/>
    <w:rsid w:val="004A6586"/>
    <w:rsid w:val="004A6835"/>
    <w:rsid w:val="004A6AB3"/>
    <w:rsid w:val="004A6AD9"/>
    <w:rsid w:val="004A6BF2"/>
    <w:rsid w:val="004A6C34"/>
    <w:rsid w:val="004A6F62"/>
    <w:rsid w:val="004A6FB8"/>
    <w:rsid w:val="004A70DC"/>
    <w:rsid w:val="004A71A4"/>
    <w:rsid w:val="004A7270"/>
    <w:rsid w:val="004A7676"/>
    <w:rsid w:val="004A7B05"/>
    <w:rsid w:val="004A7C0D"/>
    <w:rsid w:val="004B001E"/>
    <w:rsid w:val="004B004C"/>
    <w:rsid w:val="004B01D5"/>
    <w:rsid w:val="004B02F9"/>
    <w:rsid w:val="004B04F7"/>
    <w:rsid w:val="004B0511"/>
    <w:rsid w:val="004B05AC"/>
    <w:rsid w:val="004B0711"/>
    <w:rsid w:val="004B075E"/>
    <w:rsid w:val="004B08B4"/>
    <w:rsid w:val="004B09ED"/>
    <w:rsid w:val="004B0A08"/>
    <w:rsid w:val="004B0B8B"/>
    <w:rsid w:val="004B0F24"/>
    <w:rsid w:val="004B10EC"/>
    <w:rsid w:val="004B125B"/>
    <w:rsid w:val="004B1398"/>
    <w:rsid w:val="004B1756"/>
    <w:rsid w:val="004B188D"/>
    <w:rsid w:val="004B1CBA"/>
    <w:rsid w:val="004B1CE9"/>
    <w:rsid w:val="004B1E31"/>
    <w:rsid w:val="004B1E71"/>
    <w:rsid w:val="004B202C"/>
    <w:rsid w:val="004B20A1"/>
    <w:rsid w:val="004B2189"/>
    <w:rsid w:val="004B2210"/>
    <w:rsid w:val="004B2361"/>
    <w:rsid w:val="004B23EE"/>
    <w:rsid w:val="004B2592"/>
    <w:rsid w:val="004B25D4"/>
    <w:rsid w:val="004B2602"/>
    <w:rsid w:val="004B262D"/>
    <w:rsid w:val="004B29E8"/>
    <w:rsid w:val="004B2B9F"/>
    <w:rsid w:val="004B2C6D"/>
    <w:rsid w:val="004B2CEF"/>
    <w:rsid w:val="004B2F32"/>
    <w:rsid w:val="004B3038"/>
    <w:rsid w:val="004B35B2"/>
    <w:rsid w:val="004B3628"/>
    <w:rsid w:val="004B3713"/>
    <w:rsid w:val="004B383D"/>
    <w:rsid w:val="004B3B9F"/>
    <w:rsid w:val="004B3CA2"/>
    <w:rsid w:val="004B3FEE"/>
    <w:rsid w:val="004B4022"/>
    <w:rsid w:val="004B417C"/>
    <w:rsid w:val="004B41CD"/>
    <w:rsid w:val="004B44DC"/>
    <w:rsid w:val="004B4590"/>
    <w:rsid w:val="004B47FA"/>
    <w:rsid w:val="004B49F8"/>
    <w:rsid w:val="004B4B4A"/>
    <w:rsid w:val="004B4D1F"/>
    <w:rsid w:val="004B4EFA"/>
    <w:rsid w:val="004B4F92"/>
    <w:rsid w:val="004B5024"/>
    <w:rsid w:val="004B5548"/>
    <w:rsid w:val="004B5963"/>
    <w:rsid w:val="004B5FB3"/>
    <w:rsid w:val="004B6214"/>
    <w:rsid w:val="004B63AE"/>
    <w:rsid w:val="004B6670"/>
    <w:rsid w:val="004B692D"/>
    <w:rsid w:val="004B6CB9"/>
    <w:rsid w:val="004B6D36"/>
    <w:rsid w:val="004B6D38"/>
    <w:rsid w:val="004B6E01"/>
    <w:rsid w:val="004B6EEC"/>
    <w:rsid w:val="004B6FDE"/>
    <w:rsid w:val="004B70B3"/>
    <w:rsid w:val="004B70D3"/>
    <w:rsid w:val="004B740F"/>
    <w:rsid w:val="004B7697"/>
    <w:rsid w:val="004B7B1A"/>
    <w:rsid w:val="004B7CD0"/>
    <w:rsid w:val="004B7E45"/>
    <w:rsid w:val="004B7FF5"/>
    <w:rsid w:val="004C013D"/>
    <w:rsid w:val="004C0148"/>
    <w:rsid w:val="004C0187"/>
    <w:rsid w:val="004C02A6"/>
    <w:rsid w:val="004C0579"/>
    <w:rsid w:val="004C0671"/>
    <w:rsid w:val="004C08F6"/>
    <w:rsid w:val="004C0B11"/>
    <w:rsid w:val="004C109B"/>
    <w:rsid w:val="004C1598"/>
    <w:rsid w:val="004C15BA"/>
    <w:rsid w:val="004C15E1"/>
    <w:rsid w:val="004C174F"/>
    <w:rsid w:val="004C1908"/>
    <w:rsid w:val="004C195D"/>
    <w:rsid w:val="004C1B07"/>
    <w:rsid w:val="004C1B52"/>
    <w:rsid w:val="004C22D7"/>
    <w:rsid w:val="004C275E"/>
    <w:rsid w:val="004C27E3"/>
    <w:rsid w:val="004C2B6B"/>
    <w:rsid w:val="004C2DB0"/>
    <w:rsid w:val="004C3224"/>
    <w:rsid w:val="004C3409"/>
    <w:rsid w:val="004C37BC"/>
    <w:rsid w:val="004C3ABE"/>
    <w:rsid w:val="004C3BA0"/>
    <w:rsid w:val="004C4267"/>
    <w:rsid w:val="004C42A8"/>
    <w:rsid w:val="004C4320"/>
    <w:rsid w:val="004C441F"/>
    <w:rsid w:val="004C46ED"/>
    <w:rsid w:val="004C4710"/>
    <w:rsid w:val="004C4827"/>
    <w:rsid w:val="004C4A0F"/>
    <w:rsid w:val="004C4B70"/>
    <w:rsid w:val="004C4EBB"/>
    <w:rsid w:val="004C519D"/>
    <w:rsid w:val="004C5385"/>
    <w:rsid w:val="004C54F3"/>
    <w:rsid w:val="004C568C"/>
    <w:rsid w:val="004C5797"/>
    <w:rsid w:val="004C59B1"/>
    <w:rsid w:val="004C5D87"/>
    <w:rsid w:val="004C5E31"/>
    <w:rsid w:val="004C60D9"/>
    <w:rsid w:val="004C617D"/>
    <w:rsid w:val="004C62FE"/>
    <w:rsid w:val="004C6582"/>
    <w:rsid w:val="004C660F"/>
    <w:rsid w:val="004C669B"/>
    <w:rsid w:val="004C671A"/>
    <w:rsid w:val="004C675A"/>
    <w:rsid w:val="004C6860"/>
    <w:rsid w:val="004C6865"/>
    <w:rsid w:val="004C6AE9"/>
    <w:rsid w:val="004C6CBC"/>
    <w:rsid w:val="004C6D01"/>
    <w:rsid w:val="004C6E7F"/>
    <w:rsid w:val="004C71A7"/>
    <w:rsid w:val="004C72BD"/>
    <w:rsid w:val="004C72DB"/>
    <w:rsid w:val="004C73BE"/>
    <w:rsid w:val="004C73DE"/>
    <w:rsid w:val="004C77D8"/>
    <w:rsid w:val="004C7865"/>
    <w:rsid w:val="004C7CCA"/>
    <w:rsid w:val="004C7CD4"/>
    <w:rsid w:val="004C7DB1"/>
    <w:rsid w:val="004C7DB5"/>
    <w:rsid w:val="004C7ECD"/>
    <w:rsid w:val="004D001C"/>
    <w:rsid w:val="004D02A2"/>
    <w:rsid w:val="004D02AA"/>
    <w:rsid w:val="004D0438"/>
    <w:rsid w:val="004D0472"/>
    <w:rsid w:val="004D097F"/>
    <w:rsid w:val="004D0ABF"/>
    <w:rsid w:val="004D0B1E"/>
    <w:rsid w:val="004D0BA4"/>
    <w:rsid w:val="004D0BB5"/>
    <w:rsid w:val="004D0BCE"/>
    <w:rsid w:val="004D0CDC"/>
    <w:rsid w:val="004D0E2B"/>
    <w:rsid w:val="004D0EB7"/>
    <w:rsid w:val="004D1375"/>
    <w:rsid w:val="004D14C3"/>
    <w:rsid w:val="004D1559"/>
    <w:rsid w:val="004D1723"/>
    <w:rsid w:val="004D17A1"/>
    <w:rsid w:val="004D1AD5"/>
    <w:rsid w:val="004D1D07"/>
    <w:rsid w:val="004D2108"/>
    <w:rsid w:val="004D213A"/>
    <w:rsid w:val="004D22ED"/>
    <w:rsid w:val="004D2440"/>
    <w:rsid w:val="004D26B9"/>
    <w:rsid w:val="004D26EC"/>
    <w:rsid w:val="004D2778"/>
    <w:rsid w:val="004D27AF"/>
    <w:rsid w:val="004D2D9B"/>
    <w:rsid w:val="004D2E25"/>
    <w:rsid w:val="004D2E95"/>
    <w:rsid w:val="004D2EE6"/>
    <w:rsid w:val="004D30CC"/>
    <w:rsid w:val="004D3141"/>
    <w:rsid w:val="004D33B2"/>
    <w:rsid w:val="004D34BC"/>
    <w:rsid w:val="004D362D"/>
    <w:rsid w:val="004D381E"/>
    <w:rsid w:val="004D383A"/>
    <w:rsid w:val="004D3D9A"/>
    <w:rsid w:val="004D3F01"/>
    <w:rsid w:val="004D3F75"/>
    <w:rsid w:val="004D40DF"/>
    <w:rsid w:val="004D4160"/>
    <w:rsid w:val="004D46C4"/>
    <w:rsid w:val="004D473C"/>
    <w:rsid w:val="004D4814"/>
    <w:rsid w:val="004D49B7"/>
    <w:rsid w:val="004D49FA"/>
    <w:rsid w:val="004D4E52"/>
    <w:rsid w:val="004D5063"/>
    <w:rsid w:val="004D5071"/>
    <w:rsid w:val="004D536F"/>
    <w:rsid w:val="004D53E9"/>
    <w:rsid w:val="004D5784"/>
    <w:rsid w:val="004D57DE"/>
    <w:rsid w:val="004D58C9"/>
    <w:rsid w:val="004D5C37"/>
    <w:rsid w:val="004D5C6B"/>
    <w:rsid w:val="004D5F1C"/>
    <w:rsid w:val="004D63AD"/>
    <w:rsid w:val="004D64EE"/>
    <w:rsid w:val="004D6A49"/>
    <w:rsid w:val="004D6D55"/>
    <w:rsid w:val="004D72CE"/>
    <w:rsid w:val="004D732A"/>
    <w:rsid w:val="004D758B"/>
    <w:rsid w:val="004D768E"/>
    <w:rsid w:val="004D7923"/>
    <w:rsid w:val="004D7B74"/>
    <w:rsid w:val="004D7BAB"/>
    <w:rsid w:val="004D7CD5"/>
    <w:rsid w:val="004D7D08"/>
    <w:rsid w:val="004E0030"/>
    <w:rsid w:val="004E0186"/>
    <w:rsid w:val="004E027A"/>
    <w:rsid w:val="004E04A2"/>
    <w:rsid w:val="004E0631"/>
    <w:rsid w:val="004E0676"/>
    <w:rsid w:val="004E0694"/>
    <w:rsid w:val="004E088B"/>
    <w:rsid w:val="004E1202"/>
    <w:rsid w:val="004E13C8"/>
    <w:rsid w:val="004E16BA"/>
    <w:rsid w:val="004E1729"/>
    <w:rsid w:val="004E17E1"/>
    <w:rsid w:val="004E184B"/>
    <w:rsid w:val="004E18D5"/>
    <w:rsid w:val="004E1AFC"/>
    <w:rsid w:val="004E1F9B"/>
    <w:rsid w:val="004E2048"/>
    <w:rsid w:val="004E2077"/>
    <w:rsid w:val="004E208B"/>
    <w:rsid w:val="004E2428"/>
    <w:rsid w:val="004E2497"/>
    <w:rsid w:val="004E26BD"/>
    <w:rsid w:val="004E28F2"/>
    <w:rsid w:val="004E2B21"/>
    <w:rsid w:val="004E2D05"/>
    <w:rsid w:val="004E2D37"/>
    <w:rsid w:val="004E2E84"/>
    <w:rsid w:val="004E2E8C"/>
    <w:rsid w:val="004E2F1A"/>
    <w:rsid w:val="004E3616"/>
    <w:rsid w:val="004E39E6"/>
    <w:rsid w:val="004E3AF7"/>
    <w:rsid w:val="004E3C12"/>
    <w:rsid w:val="004E3D26"/>
    <w:rsid w:val="004E3F2A"/>
    <w:rsid w:val="004E4362"/>
    <w:rsid w:val="004E46C0"/>
    <w:rsid w:val="004E4787"/>
    <w:rsid w:val="004E4884"/>
    <w:rsid w:val="004E4D48"/>
    <w:rsid w:val="004E4DF2"/>
    <w:rsid w:val="004E51DB"/>
    <w:rsid w:val="004E523E"/>
    <w:rsid w:val="004E5360"/>
    <w:rsid w:val="004E53C4"/>
    <w:rsid w:val="004E5542"/>
    <w:rsid w:val="004E5618"/>
    <w:rsid w:val="004E5726"/>
    <w:rsid w:val="004E5A74"/>
    <w:rsid w:val="004E5C6B"/>
    <w:rsid w:val="004E5EA0"/>
    <w:rsid w:val="004E5F2C"/>
    <w:rsid w:val="004E5FE1"/>
    <w:rsid w:val="004E6059"/>
    <w:rsid w:val="004E61F5"/>
    <w:rsid w:val="004E62B3"/>
    <w:rsid w:val="004E647B"/>
    <w:rsid w:val="004E6611"/>
    <w:rsid w:val="004E68CF"/>
    <w:rsid w:val="004E6CFB"/>
    <w:rsid w:val="004E6F3A"/>
    <w:rsid w:val="004E6FE3"/>
    <w:rsid w:val="004E700D"/>
    <w:rsid w:val="004E7039"/>
    <w:rsid w:val="004E73D0"/>
    <w:rsid w:val="004E74E4"/>
    <w:rsid w:val="004E7551"/>
    <w:rsid w:val="004E7A08"/>
    <w:rsid w:val="004E7BFC"/>
    <w:rsid w:val="004F0274"/>
    <w:rsid w:val="004F0276"/>
    <w:rsid w:val="004F02D7"/>
    <w:rsid w:val="004F03F9"/>
    <w:rsid w:val="004F05BD"/>
    <w:rsid w:val="004F095D"/>
    <w:rsid w:val="004F0A3E"/>
    <w:rsid w:val="004F0AB9"/>
    <w:rsid w:val="004F0BBB"/>
    <w:rsid w:val="004F0C33"/>
    <w:rsid w:val="004F0FA1"/>
    <w:rsid w:val="004F1024"/>
    <w:rsid w:val="004F11A0"/>
    <w:rsid w:val="004F120E"/>
    <w:rsid w:val="004F15B0"/>
    <w:rsid w:val="004F16BE"/>
    <w:rsid w:val="004F1804"/>
    <w:rsid w:val="004F1971"/>
    <w:rsid w:val="004F1BC0"/>
    <w:rsid w:val="004F215C"/>
    <w:rsid w:val="004F21DB"/>
    <w:rsid w:val="004F24A4"/>
    <w:rsid w:val="004F2575"/>
    <w:rsid w:val="004F258E"/>
    <w:rsid w:val="004F25AA"/>
    <w:rsid w:val="004F266B"/>
    <w:rsid w:val="004F27CD"/>
    <w:rsid w:val="004F2A88"/>
    <w:rsid w:val="004F2B1E"/>
    <w:rsid w:val="004F2C4F"/>
    <w:rsid w:val="004F302F"/>
    <w:rsid w:val="004F32DC"/>
    <w:rsid w:val="004F35D8"/>
    <w:rsid w:val="004F3667"/>
    <w:rsid w:val="004F383E"/>
    <w:rsid w:val="004F3C5F"/>
    <w:rsid w:val="004F3C9D"/>
    <w:rsid w:val="004F3D0B"/>
    <w:rsid w:val="004F3FFA"/>
    <w:rsid w:val="004F43C5"/>
    <w:rsid w:val="004F44C6"/>
    <w:rsid w:val="004F44F6"/>
    <w:rsid w:val="004F451B"/>
    <w:rsid w:val="004F458C"/>
    <w:rsid w:val="004F49B8"/>
    <w:rsid w:val="004F4D39"/>
    <w:rsid w:val="004F4ED4"/>
    <w:rsid w:val="004F503E"/>
    <w:rsid w:val="004F50CB"/>
    <w:rsid w:val="004F50FD"/>
    <w:rsid w:val="004F5425"/>
    <w:rsid w:val="004F5753"/>
    <w:rsid w:val="004F595D"/>
    <w:rsid w:val="004F5A9E"/>
    <w:rsid w:val="004F5C0C"/>
    <w:rsid w:val="004F5CE6"/>
    <w:rsid w:val="004F5FA4"/>
    <w:rsid w:val="004F62D9"/>
    <w:rsid w:val="004F6420"/>
    <w:rsid w:val="004F64C1"/>
    <w:rsid w:val="004F66B6"/>
    <w:rsid w:val="004F6882"/>
    <w:rsid w:val="004F69AC"/>
    <w:rsid w:val="004F69F1"/>
    <w:rsid w:val="004F6B14"/>
    <w:rsid w:val="004F6C1F"/>
    <w:rsid w:val="004F6F10"/>
    <w:rsid w:val="004F709C"/>
    <w:rsid w:val="004F7393"/>
    <w:rsid w:val="004F73EE"/>
    <w:rsid w:val="004F7457"/>
    <w:rsid w:val="004F7563"/>
    <w:rsid w:val="004F7648"/>
    <w:rsid w:val="004F766D"/>
    <w:rsid w:val="004F78AB"/>
    <w:rsid w:val="004F7A63"/>
    <w:rsid w:val="004F7C0C"/>
    <w:rsid w:val="004F7C6A"/>
    <w:rsid w:val="004F7C6F"/>
    <w:rsid w:val="004F7E68"/>
    <w:rsid w:val="004F7EA0"/>
    <w:rsid w:val="004F7F25"/>
    <w:rsid w:val="004F7FBA"/>
    <w:rsid w:val="0050032E"/>
    <w:rsid w:val="0050038A"/>
    <w:rsid w:val="00500484"/>
    <w:rsid w:val="0050053D"/>
    <w:rsid w:val="005005D3"/>
    <w:rsid w:val="005008A9"/>
    <w:rsid w:val="00500973"/>
    <w:rsid w:val="0050098F"/>
    <w:rsid w:val="00500B62"/>
    <w:rsid w:val="00500C17"/>
    <w:rsid w:val="00500FD0"/>
    <w:rsid w:val="0050101C"/>
    <w:rsid w:val="00501060"/>
    <w:rsid w:val="0050117F"/>
    <w:rsid w:val="00501217"/>
    <w:rsid w:val="0050142A"/>
    <w:rsid w:val="00501AB0"/>
    <w:rsid w:val="00501C66"/>
    <w:rsid w:val="00501C97"/>
    <w:rsid w:val="0050211F"/>
    <w:rsid w:val="00502142"/>
    <w:rsid w:val="00502214"/>
    <w:rsid w:val="005023D2"/>
    <w:rsid w:val="005023FF"/>
    <w:rsid w:val="00502472"/>
    <w:rsid w:val="005025A9"/>
    <w:rsid w:val="005027B4"/>
    <w:rsid w:val="00502A50"/>
    <w:rsid w:val="00502A81"/>
    <w:rsid w:val="00502AD0"/>
    <w:rsid w:val="00502F14"/>
    <w:rsid w:val="00503178"/>
    <w:rsid w:val="00503299"/>
    <w:rsid w:val="0050339B"/>
    <w:rsid w:val="00503541"/>
    <w:rsid w:val="00503656"/>
    <w:rsid w:val="00503BFA"/>
    <w:rsid w:val="005041F8"/>
    <w:rsid w:val="00504391"/>
    <w:rsid w:val="00504506"/>
    <w:rsid w:val="00504611"/>
    <w:rsid w:val="00504779"/>
    <w:rsid w:val="005049D5"/>
    <w:rsid w:val="005049E3"/>
    <w:rsid w:val="00504B22"/>
    <w:rsid w:val="00504B61"/>
    <w:rsid w:val="00504BB6"/>
    <w:rsid w:val="00504D2A"/>
    <w:rsid w:val="00504DDC"/>
    <w:rsid w:val="0050513B"/>
    <w:rsid w:val="00505673"/>
    <w:rsid w:val="00505769"/>
    <w:rsid w:val="005059CA"/>
    <w:rsid w:val="00505A5E"/>
    <w:rsid w:val="00505AA7"/>
    <w:rsid w:val="00505DEC"/>
    <w:rsid w:val="00505F53"/>
    <w:rsid w:val="00505FDD"/>
    <w:rsid w:val="0050611F"/>
    <w:rsid w:val="005061E6"/>
    <w:rsid w:val="0050665A"/>
    <w:rsid w:val="005069D0"/>
    <w:rsid w:val="00506B68"/>
    <w:rsid w:val="00506C8F"/>
    <w:rsid w:val="00506CC4"/>
    <w:rsid w:val="00506CE6"/>
    <w:rsid w:val="00506F59"/>
    <w:rsid w:val="00507184"/>
    <w:rsid w:val="0050723A"/>
    <w:rsid w:val="005074B2"/>
    <w:rsid w:val="005074BD"/>
    <w:rsid w:val="0050766D"/>
    <w:rsid w:val="00507908"/>
    <w:rsid w:val="00507BA2"/>
    <w:rsid w:val="00507D57"/>
    <w:rsid w:val="00507D79"/>
    <w:rsid w:val="00507DAC"/>
    <w:rsid w:val="005100CC"/>
    <w:rsid w:val="005101C3"/>
    <w:rsid w:val="0051025B"/>
    <w:rsid w:val="00510362"/>
    <w:rsid w:val="00510644"/>
    <w:rsid w:val="0051066C"/>
    <w:rsid w:val="0051077F"/>
    <w:rsid w:val="00510852"/>
    <w:rsid w:val="0051091D"/>
    <w:rsid w:val="00510B01"/>
    <w:rsid w:val="00510B2E"/>
    <w:rsid w:val="00510CC2"/>
    <w:rsid w:val="00510CE2"/>
    <w:rsid w:val="005110BF"/>
    <w:rsid w:val="005112AF"/>
    <w:rsid w:val="005112BA"/>
    <w:rsid w:val="0051132E"/>
    <w:rsid w:val="00511528"/>
    <w:rsid w:val="0051160F"/>
    <w:rsid w:val="0051169C"/>
    <w:rsid w:val="0051173C"/>
    <w:rsid w:val="0051180C"/>
    <w:rsid w:val="0051195F"/>
    <w:rsid w:val="0051198F"/>
    <w:rsid w:val="00511C1A"/>
    <w:rsid w:val="00511F88"/>
    <w:rsid w:val="00511FC8"/>
    <w:rsid w:val="005120C1"/>
    <w:rsid w:val="005121B3"/>
    <w:rsid w:val="0051290A"/>
    <w:rsid w:val="0051296A"/>
    <w:rsid w:val="00512AB1"/>
    <w:rsid w:val="00512B29"/>
    <w:rsid w:val="00512C1F"/>
    <w:rsid w:val="00512CD0"/>
    <w:rsid w:val="00512D57"/>
    <w:rsid w:val="00513455"/>
    <w:rsid w:val="00513566"/>
    <w:rsid w:val="005136C9"/>
    <w:rsid w:val="0051385F"/>
    <w:rsid w:val="005138A4"/>
    <w:rsid w:val="00513A79"/>
    <w:rsid w:val="00513C9D"/>
    <w:rsid w:val="00513CBF"/>
    <w:rsid w:val="00513E62"/>
    <w:rsid w:val="00513EDB"/>
    <w:rsid w:val="005141C4"/>
    <w:rsid w:val="00514270"/>
    <w:rsid w:val="0051432E"/>
    <w:rsid w:val="00514491"/>
    <w:rsid w:val="00514570"/>
    <w:rsid w:val="0051460A"/>
    <w:rsid w:val="00514657"/>
    <w:rsid w:val="00514946"/>
    <w:rsid w:val="00514985"/>
    <w:rsid w:val="00514B17"/>
    <w:rsid w:val="00514BA4"/>
    <w:rsid w:val="00514C4B"/>
    <w:rsid w:val="00514D0B"/>
    <w:rsid w:val="00514EC1"/>
    <w:rsid w:val="00515009"/>
    <w:rsid w:val="00515014"/>
    <w:rsid w:val="0051507B"/>
    <w:rsid w:val="00515093"/>
    <w:rsid w:val="005150D8"/>
    <w:rsid w:val="00515210"/>
    <w:rsid w:val="0051574A"/>
    <w:rsid w:val="005157C2"/>
    <w:rsid w:val="005157FC"/>
    <w:rsid w:val="00515982"/>
    <w:rsid w:val="00515B10"/>
    <w:rsid w:val="00515E5F"/>
    <w:rsid w:val="00515F9C"/>
    <w:rsid w:val="00516056"/>
    <w:rsid w:val="00516171"/>
    <w:rsid w:val="00516256"/>
    <w:rsid w:val="005162D0"/>
    <w:rsid w:val="005163AD"/>
    <w:rsid w:val="005164CE"/>
    <w:rsid w:val="005166AA"/>
    <w:rsid w:val="0051685A"/>
    <w:rsid w:val="005168AF"/>
    <w:rsid w:val="00516C13"/>
    <w:rsid w:val="00516D9C"/>
    <w:rsid w:val="00516F3C"/>
    <w:rsid w:val="0051714E"/>
    <w:rsid w:val="005171CD"/>
    <w:rsid w:val="005171E1"/>
    <w:rsid w:val="005173A3"/>
    <w:rsid w:val="00517702"/>
    <w:rsid w:val="00517EFE"/>
    <w:rsid w:val="00517F74"/>
    <w:rsid w:val="0052028B"/>
    <w:rsid w:val="005203E7"/>
    <w:rsid w:val="0052050B"/>
    <w:rsid w:val="0052068A"/>
    <w:rsid w:val="0052069F"/>
    <w:rsid w:val="005209BF"/>
    <w:rsid w:val="00520BBA"/>
    <w:rsid w:val="00520FA2"/>
    <w:rsid w:val="0052111E"/>
    <w:rsid w:val="005212F6"/>
    <w:rsid w:val="005214D2"/>
    <w:rsid w:val="005215C1"/>
    <w:rsid w:val="005216AE"/>
    <w:rsid w:val="0052177A"/>
    <w:rsid w:val="005217D4"/>
    <w:rsid w:val="00521973"/>
    <w:rsid w:val="00521A5A"/>
    <w:rsid w:val="00521AFC"/>
    <w:rsid w:val="00521CBD"/>
    <w:rsid w:val="00521CF6"/>
    <w:rsid w:val="00522126"/>
    <w:rsid w:val="005221F0"/>
    <w:rsid w:val="00522272"/>
    <w:rsid w:val="005226BC"/>
    <w:rsid w:val="00522866"/>
    <w:rsid w:val="00522896"/>
    <w:rsid w:val="00522A23"/>
    <w:rsid w:val="00522B2F"/>
    <w:rsid w:val="00522D6D"/>
    <w:rsid w:val="00522D98"/>
    <w:rsid w:val="00522DA1"/>
    <w:rsid w:val="00522DC9"/>
    <w:rsid w:val="00523067"/>
    <w:rsid w:val="0052333F"/>
    <w:rsid w:val="00523385"/>
    <w:rsid w:val="00523633"/>
    <w:rsid w:val="005238AF"/>
    <w:rsid w:val="00524046"/>
    <w:rsid w:val="00524143"/>
    <w:rsid w:val="0052414D"/>
    <w:rsid w:val="005241BB"/>
    <w:rsid w:val="005243D2"/>
    <w:rsid w:val="00524723"/>
    <w:rsid w:val="005249DC"/>
    <w:rsid w:val="00524AF4"/>
    <w:rsid w:val="00524BC1"/>
    <w:rsid w:val="00524F4E"/>
    <w:rsid w:val="005251FB"/>
    <w:rsid w:val="0052547F"/>
    <w:rsid w:val="00525484"/>
    <w:rsid w:val="005254AE"/>
    <w:rsid w:val="00525990"/>
    <w:rsid w:val="00525A37"/>
    <w:rsid w:val="00525C34"/>
    <w:rsid w:val="00525D4A"/>
    <w:rsid w:val="00525DD1"/>
    <w:rsid w:val="0052601C"/>
    <w:rsid w:val="005260DE"/>
    <w:rsid w:val="0052674B"/>
    <w:rsid w:val="00526837"/>
    <w:rsid w:val="005269C7"/>
    <w:rsid w:val="00526B88"/>
    <w:rsid w:val="00526C45"/>
    <w:rsid w:val="005270FA"/>
    <w:rsid w:val="0052738D"/>
    <w:rsid w:val="00527589"/>
    <w:rsid w:val="005275FC"/>
    <w:rsid w:val="005277E7"/>
    <w:rsid w:val="00527D9D"/>
    <w:rsid w:val="00527FBA"/>
    <w:rsid w:val="0053002D"/>
    <w:rsid w:val="00530296"/>
    <w:rsid w:val="00530306"/>
    <w:rsid w:val="00530453"/>
    <w:rsid w:val="0053049F"/>
    <w:rsid w:val="00530976"/>
    <w:rsid w:val="00530B75"/>
    <w:rsid w:val="00530B94"/>
    <w:rsid w:val="00530C0E"/>
    <w:rsid w:val="00530C7F"/>
    <w:rsid w:val="00530CCA"/>
    <w:rsid w:val="00530D21"/>
    <w:rsid w:val="00530D91"/>
    <w:rsid w:val="00531372"/>
    <w:rsid w:val="005315C9"/>
    <w:rsid w:val="00531629"/>
    <w:rsid w:val="00531678"/>
    <w:rsid w:val="0053172A"/>
    <w:rsid w:val="00531B34"/>
    <w:rsid w:val="00531B59"/>
    <w:rsid w:val="00531D47"/>
    <w:rsid w:val="00531F32"/>
    <w:rsid w:val="00531F71"/>
    <w:rsid w:val="0053216D"/>
    <w:rsid w:val="005322A5"/>
    <w:rsid w:val="005324F1"/>
    <w:rsid w:val="00532627"/>
    <w:rsid w:val="00532630"/>
    <w:rsid w:val="00532654"/>
    <w:rsid w:val="0053276D"/>
    <w:rsid w:val="00532A14"/>
    <w:rsid w:val="00532AE8"/>
    <w:rsid w:val="00532C75"/>
    <w:rsid w:val="00532D6F"/>
    <w:rsid w:val="00533015"/>
    <w:rsid w:val="005330DF"/>
    <w:rsid w:val="005331ED"/>
    <w:rsid w:val="005332BA"/>
    <w:rsid w:val="0053366D"/>
    <w:rsid w:val="00533889"/>
    <w:rsid w:val="00533C05"/>
    <w:rsid w:val="00533DE7"/>
    <w:rsid w:val="00533F75"/>
    <w:rsid w:val="0053402D"/>
    <w:rsid w:val="00534107"/>
    <w:rsid w:val="005341CE"/>
    <w:rsid w:val="00534210"/>
    <w:rsid w:val="005343AC"/>
    <w:rsid w:val="005345DA"/>
    <w:rsid w:val="0053462B"/>
    <w:rsid w:val="005348E5"/>
    <w:rsid w:val="00534A22"/>
    <w:rsid w:val="00534A88"/>
    <w:rsid w:val="00534CAB"/>
    <w:rsid w:val="00534E65"/>
    <w:rsid w:val="00534E9B"/>
    <w:rsid w:val="00535227"/>
    <w:rsid w:val="005354C6"/>
    <w:rsid w:val="00535544"/>
    <w:rsid w:val="005356D1"/>
    <w:rsid w:val="00535746"/>
    <w:rsid w:val="00535B05"/>
    <w:rsid w:val="00535CCE"/>
    <w:rsid w:val="00535ECA"/>
    <w:rsid w:val="005360AE"/>
    <w:rsid w:val="00536195"/>
    <w:rsid w:val="0053619E"/>
    <w:rsid w:val="005361C4"/>
    <w:rsid w:val="005361FB"/>
    <w:rsid w:val="005363D9"/>
    <w:rsid w:val="00536448"/>
    <w:rsid w:val="00536496"/>
    <w:rsid w:val="005367F2"/>
    <w:rsid w:val="00536D13"/>
    <w:rsid w:val="00536D73"/>
    <w:rsid w:val="00536EF3"/>
    <w:rsid w:val="00536F1D"/>
    <w:rsid w:val="00536FC7"/>
    <w:rsid w:val="00537224"/>
    <w:rsid w:val="00537391"/>
    <w:rsid w:val="005373B2"/>
    <w:rsid w:val="005377C8"/>
    <w:rsid w:val="00537A62"/>
    <w:rsid w:val="00537B7D"/>
    <w:rsid w:val="00537B8A"/>
    <w:rsid w:val="00537C8B"/>
    <w:rsid w:val="00537F05"/>
    <w:rsid w:val="00537FF8"/>
    <w:rsid w:val="00540206"/>
    <w:rsid w:val="0054051D"/>
    <w:rsid w:val="00540CBB"/>
    <w:rsid w:val="00540F64"/>
    <w:rsid w:val="00540FBD"/>
    <w:rsid w:val="0054114F"/>
    <w:rsid w:val="005413FB"/>
    <w:rsid w:val="00541421"/>
    <w:rsid w:val="0054155A"/>
    <w:rsid w:val="005418BC"/>
    <w:rsid w:val="00541BFB"/>
    <w:rsid w:val="00541C0C"/>
    <w:rsid w:val="00541C32"/>
    <w:rsid w:val="0054228D"/>
    <w:rsid w:val="005422EC"/>
    <w:rsid w:val="005423B1"/>
    <w:rsid w:val="005425B6"/>
    <w:rsid w:val="00542928"/>
    <w:rsid w:val="0054296A"/>
    <w:rsid w:val="00542B41"/>
    <w:rsid w:val="00542BA7"/>
    <w:rsid w:val="00542F4C"/>
    <w:rsid w:val="0054351A"/>
    <w:rsid w:val="0054371A"/>
    <w:rsid w:val="00543D39"/>
    <w:rsid w:val="00543F12"/>
    <w:rsid w:val="005440EB"/>
    <w:rsid w:val="0054439B"/>
    <w:rsid w:val="00544410"/>
    <w:rsid w:val="005444AE"/>
    <w:rsid w:val="0054488E"/>
    <w:rsid w:val="00544972"/>
    <w:rsid w:val="00544A21"/>
    <w:rsid w:val="00544B79"/>
    <w:rsid w:val="00544B8A"/>
    <w:rsid w:val="00544C93"/>
    <w:rsid w:val="00544E2C"/>
    <w:rsid w:val="0054504F"/>
    <w:rsid w:val="0054571E"/>
    <w:rsid w:val="00545BAE"/>
    <w:rsid w:val="00545BCD"/>
    <w:rsid w:val="00545C1B"/>
    <w:rsid w:val="00545CB9"/>
    <w:rsid w:val="00545D5A"/>
    <w:rsid w:val="00545EFD"/>
    <w:rsid w:val="0054608D"/>
    <w:rsid w:val="00546554"/>
    <w:rsid w:val="005465B4"/>
    <w:rsid w:val="005467DA"/>
    <w:rsid w:val="005467EE"/>
    <w:rsid w:val="0054693A"/>
    <w:rsid w:val="0054697E"/>
    <w:rsid w:val="005469A6"/>
    <w:rsid w:val="00546A85"/>
    <w:rsid w:val="00546CC5"/>
    <w:rsid w:val="00546F26"/>
    <w:rsid w:val="0054701C"/>
    <w:rsid w:val="005474D6"/>
    <w:rsid w:val="00547803"/>
    <w:rsid w:val="00547A23"/>
    <w:rsid w:val="00547F3C"/>
    <w:rsid w:val="005501DD"/>
    <w:rsid w:val="005503E5"/>
    <w:rsid w:val="00550B5B"/>
    <w:rsid w:val="00550EAE"/>
    <w:rsid w:val="00550F1A"/>
    <w:rsid w:val="00550FCE"/>
    <w:rsid w:val="005511E0"/>
    <w:rsid w:val="0055175C"/>
    <w:rsid w:val="00551AB7"/>
    <w:rsid w:val="00551E25"/>
    <w:rsid w:val="005521EA"/>
    <w:rsid w:val="0055231B"/>
    <w:rsid w:val="00552351"/>
    <w:rsid w:val="00552471"/>
    <w:rsid w:val="005524EB"/>
    <w:rsid w:val="0055280D"/>
    <w:rsid w:val="00552850"/>
    <w:rsid w:val="005529BD"/>
    <w:rsid w:val="005529DC"/>
    <w:rsid w:val="00552C32"/>
    <w:rsid w:val="00552D2A"/>
    <w:rsid w:val="00553297"/>
    <w:rsid w:val="0055336D"/>
    <w:rsid w:val="00553590"/>
    <w:rsid w:val="00553711"/>
    <w:rsid w:val="005537BB"/>
    <w:rsid w:val="00553A00"/>
    <w:rsid w:val="00553B1A"/>
    <w:rsid w:val="00553DA3"/>
    <w:rsid w:val="00553EDC"/>
    <w:rsid w:val="00553EE1"/>
    <w:rsid w:val="00554011"/>
    <w:rsid w:val="00554124"/>
    <w:rsid w:val="00554590"/>
    <w:rsid w:val="0055459F"/>
    <w:rsid w:val="00554C0E"/>
    <w:rsid w:val="00554CD1"/>
    <w:rsid w:val="00554ED4"/>
    <w:rsid w:val="00555133"/>
    <w:rsid w:val="0055536A"/>
    <w:rsid w:val="00555591"/>
    <w:rsid w:val="005555AF"/>
    <w:rsid w:val="00555623"/>
    <w:rsid w:val="00555655"/>
    <w:rsid w:val="005556F0"/>
    <w:rsid w:val="00555804"/>
    <w:rsid w:val="00555852"/>
    <w:rsid w:val="005558EE"/>
    <w:rsid w:val="00555936"/>
    <w:rsid w:val="00555A75"/>
    <w:rsid w:val="00555E72"/>
    <w:rsid w:val="00556140"/>
    <w:rsid w:val="00556246"/>
    <w:rsid w:val="0055628E"/>
    <w:rsid w:val="00556403"/>
    <w:rsid w:val="005564F7"/>
    <w:rsid w:val="00556B56"/>
    <w:rsid w:val="00556BDB"/>
    <w:rsid w:val="00556CC6"/>
    <w:rsid w:val="00556DD8"/>
    <w:rsid w:val="00556E5F"/>
    <w:rsid w:val="005570B2"/>
    <w:rsid w:val="005570D4"/>
    <w:rsid w:val="005570EE"/>
    <w:rsid w:val="00557203"/>
    <w:rsid w:val="00557207"/>
    <w:rsid w:val="005572AD"/>
    <w:rsid w:val="0055732A"/>
    <w:rsid w:val="00557452"/>
    <w:rsid w:val="00557549"/>
    <w:rsid w:val="005576D5"/>
    <w:rsid w:val="00557762"/>
    <w:rsid w:val="005577F4"/>
    <w:rsid w:val="00557992"/>
    <w:rsid w:val="00557A21"/>
    <w:rsid w:val="00557BF7"/>
    <w:rsid w:val="00557E8F"/>
    <w:rsid w:val="005600E6"/>
    <w:rsid w:val="0056013B"/>
    <w:rsid w:val="0056032C"/>
    <w:rsid w:val="005603EC"/>
    <w:rsid w:val="0056046C"/>
    <w:rsid w:val="00560487"/>
    <w:rsid w:val="0056066E"/>
    <w:rsid w:val="00560682"/>
    <w:rsid w:val="005606B3"/>
    <w:rsid w:val="0056075F"/>
    <w:rsid w:val="00560866"/>
    <w:rsid w:val="00560A1E"/>
    <w:rsid w:val="00560B02"/>
    <w:rsid w:val="00560D6F"/>
    <w:rsid w:val="00560DAE"/>
    <w:rsid w:val="00560EE8"/>
    <w:rsid w:val="00561223"/>
    <w:rsid w:val="005612E4"/>
    <w:rsid w:val="005614D6"/>
    <w:rsid w:val="005614EE"/>
    <w:rsid w:val="0056159A"/>
    <w:rsid w:val="0056173F"/>
    <w:rsid w:val="0056174C"/>
    <w:rsid w:val="00561C3A"/>
    <w:rsid w:val="00561CCD"/>
    <w:rsid w:val="00561D3B"/>
    <w:rsid w:val="00561DA8"/>
    <w:rsid w:val="00561EBB"/>
    <w:rsid w:val="00561EF0"/>
    <w:rsid w:val="00561F8E"/>
    <w:rsid w:val="00561FD5"/>
    <w:rsid w:val="005620F2"/>
    <w:rsid w:val="005621BE"/>
    <w:rsid w:val="00562367"/>
    <w:rsid w:val="005624C7"/>
    <w:rsid w:val="0056275F"/>
    <w:rsid w:val="00562923"/>
    <w:rsid w:val="00562931"/>
    <w:rsid w:val="00562A16"/>
    <w:rsid w:val="00562E21"/>
    <w:rsid w:val="00562E9A"/>
    <w:rsid w:val="00562F50"/>
    <w:rsid w:val="00562FD5"/>
    <w:rsid w:val="00563164"/>
    <w:rsid w:val="005631BA"/>
    <w:rsid w:val="005634BD"/>
    <w:rsid w:val="00563647"/>
    <w:rsid w:val="005636CB"/>
    <w:rsid w:val="00563843"/>
    <w:rsid w:val="00563C34"/>
    <w:rsid w:val="00563EFA"/>
    <w:rsid w:val="005640A6"/>
    <w:rsid w:val="005640E3"/>
    <w:rsid w:val="005642A5"/>
    <w:rsid w:val="00564353"/>
    <w:rsid w:val="00564639"/>
    <w:rsid w:val="0056469E"/>
    <w:rsid w:val="00564709"/>
    <w:rsid w:val="00564B41"/>
    <w:rsid w:val="00564CA4"/>
    <w:rsid w:val="00564E47"/>
    <w:rsid w:val="00565290"/>
    <w:rsid w:val="0056535B"/>
    <w:rsid w:val="0056544E"/>
    <w:rsid w:val="005654A7"/>
    <w:rsid w:val="00565527"/>
    <w:rsid w:val="005655BB"/>
    <w:rsid w:val="005655F8"/>
    <w:rsid w:val="00565775"/>
    <w:rsid w:val="005657A2"/>
    <w:rsid w:val="0056598A"/>
    <w:rsid w:val="00565F36"/>
    <w:rsid w:val="00565F5D"/>
    <w:rsid w:val="005662DF"/>
    <w:rsid w:val="0056653E"/>
    <w:rsid w:val="0056663A"/>
    <w:rsid w:val="005669A6"/>
    <w:rsid w:val="00566BCC"/>
    <w:rsid w:val="00566C04"/>
    <w:rsid w:val="00566C60"/>
    <w:rsid w:val="00566C9E"/>
    <w:rsid w:val="00567044"/>
    <w:rsid w:val="00567234"/>
    <w:rsid w:val="00567269"/>
    <w:rsid w:val="00567286"/>
    <w:rsid w:val="005672EE"/>
    <w:rsid w:val="0056750A"/>
    <w:rsid w:val="00567523"/>
    <w:rsid w:val="00567785"/>
    <w:rsid w:val="005678E5"/>
    <w:rsid w:val="00567AFA"/>
    <w:rsid w:val="00567B75"/>
    <w:rsid w:val="00567C4F"/>
    <w:rsid w:val="005707D4"/>
    <w:rsid w:val="00570A85"/>
    <w:rsid w:val="00570DF3"/>
    <w:rsid w:val="00571082"/>
    <w:rsid w:val="0057154F"/>
    <w:rsid w:val="00571750"/>
    <w:rsid w:val="005718E6"/>
    <w:rsid w:val="005718FB"/>
    <w:rsid w:val="00571B5C"/>
    <w:rsid w:val="00571C4E"/>
    <w:rsid w:val="00571DB2"/>
    <w:rsid w:val="00571E69"/>
    <w:rsid w:val="00571F18"/>
    <w:rsid w:val="00572047"/>
    <w:rsid w:val="005724A9"/>
    <w:rsid w:val="005724E5"/>
    <w:rsid w:val="00572688"/>
    <w:rsid w:val="0057272D"/>
    <w:rsid w:val="0057275D"/>
    <w:rsid w:val="00572779"/>
    <w:rsid w:val="00572836"/>
    <w:rsid w:val="00572B5E"/>
    <w:rsid w:val="00572CDB"/>
    <w:rsid w:val="005730E4"/>
    <w:rsid w:val="005732ED"/>
    <w:rsid w:val="00573348"/>
    <w:rsid w:val="00573368"/>
    <w:rsid w:val="0057340C"/>
    <w:rsid w:val="0057361C"/>
    <w:rsid w:val="00573A33"/>
    <w:rsid w:val="00573A46"/>
    <w:rsid w:val="00573BF6"/>
    <w:rsid w:val="00573D39"/>
    <w:rsid w:val="00573E0A"/>
    <w:rsid w:val="00573E90"/>
    <w:rsid w:val="00573FAC"/>
    <w:rsid w:val="00574194"/>
    <w:rsid w:val="005742C0"/>
    <w:rsid w:val="005743FA"/>
    <w:rsid w:val="005749A2"/>
    <w:rsid w:val="005749E0"/>
    <w:rsid w:val="00574ADC"/>
    <w:rsid w:val="00574EFF"/>
    <w:rsid w:val="00574FE6"/>
    <w:rsid w:val="005755A6"/>
    <w:rsid w:val="005755F3"/>
    <w:rsid w:val="005756D0"/>
    <w:rsid w:val="00575880"/>
    <w:rsid w:val="005759CF"/>
    <w:rsid w:val="00575A5D"/>
    <w:rsid w:val="00575D90"/>
    <w:rsid w:val="005762D4"/>
    <w:rsid w:val="00576D14"/>
    <w:rsid w:val="00576D5C"/>
    <w:rsid w:val="00576DF5"/>
    <w:rsid w:val="00576F0B"/>
    <w:rsid w:val="00576FAD"/>
    <w:rsid w:val="00576FC4"/>
    <w:rsid w:val="005770F9"/>
    <w:rsid w:val="005773CB"/>
    <w:rsid w:val="005774E9"/>
    <w:rsid w:val="00577520"/>
    <w:rsid w:val="00577575"/>
    <w:rsid w:val="00577FB7"/>
    <w:rsid w:val="00577FD9"/>
    <w:rsid w:val="00580037"/>
    <w:rsid w:val="005800C8"/>
    <w:rsid w:val="005801FB"/>
    <w:rsid w:val="00580716"/>
    <w:rsid w:val="00580851"/>
    <w:rsid w:val="00580AB2"/>
    <w:rsid w:val="00580ADA"/>
    <w:rsid w:val="00580C7C"/>
    <w:rsid w:val="00580CBC"/>
    <w:rsid w:val="00580EAF"/>
    <w:rsid w:val="00580F87"/>
    <w:rsid w:val="00581155"/>
    <w:rsid w:val="0058122C"/>
    <w:rsid w:val="00581242"/>
    <w:rsid w:val="005814C1"/>
    <w:rsid w:val="00581603"/>
    <w:rsid w:val="00581641"/>
    <w:rsid w:val="0058168D"/>
    <w:rsid w:val="005817EC"/>
    <w:rsid w:val="00581E31"/>
    <w:rsid w:val="005822F8"/>
    <w:rsid w:val="005824E0"/>
    <w:rsid w:val="005824FD"/>
    <w:rsid w:val="0058261F"/>
    <w:rsid w:val="00582894"/>
    <w:rsid w:val="00582DE7"/>
    <w:rsid w:val="00582E13"/>
    <w:rsid w:val="00582E53"/>
    <w:rsid w:val="00582FD2"/>
    <w:rsid w:val="005831E5"/>
    <w:rsid w:val="0058360E"/>
    <w:rsid w:val="0058369B"/>
    <w:rsid w:val="005837AC"/>
    <w:rsid w:val="005837C6"/>
    <w:rsid w:val="005837F3"/>
    <w:rsid w:val="00583A23"/>
    <w:rsid w:val="00583A5E"/>
    <w:rsid w:val="00583B3D"/>
    <w:rsid w:val="00583C48"/>
    <w:rsid w:val="00583D51"/>
    <w:rsid w:val="0058410E"/>
    <w:rsid w:val="0058418A"/>
    <w:rsid w:val="0058430F"/>
    <w:rsid w:val="00584603"/>
    <w:rsid w:val="00584622"/>
    <w:rsid w:val="0058467E"/>
    <w:rsid w:val="005848D0"/>
    <w:rsid w:val="0058499C"/>
    <w:rsid w:val="00584C62"/>
    <w:rsid w:val="00584F6D"/>
    <w:rsid w:val="00585132"/>
    <w:rsid w:val="00585294"/>
    <w:rsid w:val="0058547F"/>
    <w:rsid w:val="005856E7"/>
    <w:rsid w:val="0058573B"/>
    <w:rsid w:val="005858B2"/>
    <w:rsid w:val="00585978"/>
    <w:rsid w:val="005859E3"/>
    <w:rsid w:val="00585E8D"/>
    <w:rsid w:val="00585F93"/>
    <w:rsid w:val="00586013"/>
    <w:rsid w:val="005867FE"/>
    <w:rsid w:val="00586843"/>
    <w:rsid w:val="005868A6"/>
    <w:rsid w:val="00586A55"/>
    <w:rsid w:val="00586A86"/>
    <w:rsid w:val="00586DBF"/>
    <w:rsid w:val="005870D4"/>
    <w:rsid w:val="005872F8"/>
    <w:rsid w:val="00587461"/>
    <w:rsid w:val="005874E8"/>
    <w:rsid w:val="005875AA"/>
    <w:rsid w:val="005875CF"/>
    <w:rsid w:val="005876AE"/>
    <w:rsid w:val="005877BC"/>
    <w:rsid w:val="00587928"/>
    <w:rsid w:val="005879D9"/>
    <w:rsid w:val="00587D08"/>
    <w:rsid w:val="00587DE6"/>
    <w:rsid w:val="00590449"/>
    <w:rsid w:val="005904E3"/>
    <w:rsid w:val="005907F9"/>
    <w:rsid w:val="00590AEC"/>
    <w:rsid w:val="00590FEB"/>
    <w:rsid w:val="005912BE"/>
    <w:rsid w:val="00591517"/>
    <w:rsid w:val="005915EA"/>
    <w:rsid w:val="00591AFF"/>
    <w:rsid w:val="00591D73"/>
    <w:rsid w:val="00591DD9"/>
    <w:rsid w:val="00592234"/>
    <w:rsid w:val="005922FC"/>
    <w:rsid w:val="00592519"/>
    <w:rsid w:val="005928B4"/>
    <w:rsid w:val="00592B70"/>
    <w:rsid w:val="00592F4E"/>
    <w:rsid w:val="005930E8"/>
    <w:rsid w:val="005931D8"/>
    <w:rsid w:val="005933C0"/>
    <w:rsid w:val="0059346C"/>
    <w:rsid w:val="005934B7"/>
    <w:rsid w:val="00593692"/>
    <w:rsid w:val="00593896"/>
    <w:rsid w:val="005938C2"/>
    <w:rsid w:val="00593A28"/>
    <w:rsid w:val="00593E76"/>
    <w:rsid w:val="00593EF4"/>
    <w:rsid w:val="00593FAB"/>
    <w:rsid w:val="0059427C"/>
    <w:rsid w:val="0059452F"/>
    <w:rsid w:val="0059470A"/>
    <w:rsid w:val="0059492F"/>
    <w:rsid w:val="00594952"/>
    <w:rsid w:val="005949B6"/>
    <w:rsid w:val="00594B1E"/>
    <w:rsid w:val="00594BE5"/>
    <w:rsid w:val="00594D20"/>
    <w:rsid w:val="00595108"/>
    <w:rsid w:val="0059519B"/>
    <w:rsid w:val="00595375"/>
    <w:rsid w:val="00595486"/>
    <w:rsid w:val="005955D5"/>
    <w:rsid w:val="00595686"/>
    <w:rsid w:val="00595A35"/>
    <w:rsid w:val="00595A6E"/>
    <w:rsid w:val="00595D1C"/>
    <w:rsid w:val="005962E8"/>
    <w:rsid w:val="005965DD"/>
    <w:rsid w:val="0059660D"/>
    <w:rsid w:val="005967BC"/>
    <w:rsid w:val="00596864"/>
    <w:rsid w:val="00596866"/>
    <w:rsid w:val="00596930"/>
    <w:rsid w:val="00596950"/>
    <w:rsid w:val="00596BBD"/>
    <w:rsid w:val="00596C73"/>
    <w:rsid w:val="00596E51"/>
    <w:rsid w:val="00596ECA"/>
    <w:rsid w:val="00596F20"/>
    <w:rsid w:val="0059706A"/>
    <w:rsid w:val="00597432"/>
    <w:rsid w:val="0059753E"/>
    <w:rsid w:val="005977A5"/>
    <w:rsid w:val="00597914"/>
    <w:rsid w:val="00597A76"/>
    <w:rsid w:val="00597BDF"/>
    <w:rsid w:val="00597C0B"/>
    <w:rsid w:val="00597C5A"/>
    <w:rsid w:val="00597CEA"/>
    <w:rsid w:val="00597D1E"/>
    <w:rsid w:val="005A0628"/>
    <w:rsid w:val="005A07A3"/>
    <w:rsid w:val="005A09A0"/>
    <w:rsid w:val="005A0A4C"/>
    <w:rsid w:val="005A0CAD"/>
    <w:rsid w:val="005A0CEE"/>
    <w:rsid w:val="005A0D01"/>
    <w:rsid w:val="005A0F83"/>
    <w:rsid w:val="005A100E"/>
    <w:rsid w:val="005A10E3"/>
    <w:rsid w:val="005A13DF"/>
    <w:rsid w:val="005A1484"/>
    <w:rsid w:val="005A1513"/>
    <w:rsid w:val="005A1598"/>
    <w:rsid w:val="005A160B"/>
    <w:rsid w:val="005A1972"/>
    <w:rsid w:val="005A240A"/>
    <w:rsid w:val="005A258A"/>
    <w:rsid w:val="005A25C9"/>
    <w:rsid w:val="005A274D"/>
    <w:rsid w:val="005A2853"/>
    <w:rsid w:val="005A2A48"/>
    <w:rsid w:val="005A2AF7"/>
    <w:rsid w:val="005A2CAA"/>
    <w:rsid w:val="005A2CCF"/>
    <w:rsid w:val="005A30FA"/>
    <w:rsid w:val="005A33F4"/>
    <w:rsid w:val="005A3587"/>
    <w:rsid w:val="005A36FA"/>
    <w:rsid w:val="005A3A13"/>
    <w:rsid w:val="005A3D33"/>
    <w:rsid w:val="005A3DF8"/>
    <w:rsid w:val="005A4243"/>
    <w:rsid w:val="005A4245"/>
    <w:rsid w:val="005A43BD"/>
    <w:rsid w:val="005A4681"/>
    <w:rsid w:val="005A4711"/>
    <w:rsid w:val="005A482D"/>
    <w:rsid w:val="005A4C06"/>
    <w:rsid w:val="005A4E17"/>
    <w:rsid w:val="005A526A"/>
    <w:rsid w:val="005A572C"/>
    <w:rsid w:val="005A5862"/>
    <w:rsid w:val="005A5B21"/>
    <w:rsid w:val="005A5DAA"/>
    <w:rsid w:val="005A5EAE"/>
    <w:rsid w:val="005A62CB"/>
    <w:rsid w:val="005A65E6"/>
    <w:rsid w:val="005A6855"/>
    <w:rsid w:val="005A6D36"/>
    <w:rsid w:val="005A6DB3"/>
    <w:rsid w:val="005A6FCD"/>
    <w:rsid w:val="005A7447"/>
    <w:rsid w:val="005A77AA"/>
    <w:rsid w:val="005B0076"/>
    <w:rsid w:val="005B00B1"/>
    <w:rsid w:val="005B00E9"/>
    <w:rsid w:val="005B029E"/>
    <w:rsid w:val="005B0322"/>
    <w:rsid w:val="005B0A02"/>
    <w:rsid w:val="005B0AEF"/>
    <w:rsid w:val="005B0B50"/>
    <w:rsid w:val="005B0F8D"/>
    <w:rsid w:val="005B0FEC"/>
    <w:rsid w:val="005B12FE"/>
    <w:rsid w:val="005B1373"/>
    <w:rsid w:val="005B16B2"/>
    <w:rsid w:val="005B16F8"/>
    <w:rsid w:val="005B17BB"/>
    <w:rsid w:val="005B1894"/>
    <w:rsid w:val="005B1943"/>
    <w:rsid w:val="005B1B41"/>
    <w:rsid w:val="005B2312"/>
    <w:rsid w:val="005B2D2D"/>
    <w:rsid w:val="005B2D8F"/>
    <w:rsid w:val="005B300B"/>
    <w:rsid w:val="005B3292"/>
    <w:rsid w:val="005B338A"/>
    <w:rsid w:val="005B3602"/>
    <w:rsid w:val="005B377E"/>
    <w:rsid w:val="005B37B8"/>
    <w:rsid w:val="005B38F8"/>
    <w:rsid w:val="005B392E"/>
    <w:rsid w:val="005B3998"/>
    <w:rsid w:val="005B3AEB"/>
    <w:rsid w:val="005B45F3"/>
    <w:rsid w:val="005B46F5"/>
    <w:rsid w:val="005B4729"/>
    <w:rsid w:val="005B4A91"/>
    <w:rsid w:val="005B4B0C"/>
    <w:rsid w:val="005B4BCB"/>
    <w:rsid w:val="005B4CE0"/>
    <w:rsid w:val="005B4D82"/>
    <w:rsid w:val="005B4DE3"/>
    <w:rsid w:val="005B4DF2"/>
    <w:rsid w:val="005B5113"/>
    <w:rsid w:val="005B5664"/>
    <w:rsid w:val="005B59F6"/>
    <w:rsid w:val="005B5AD4"/>
    <w:rsid w:val="005B5BF7"/>
    <w:rsid w:val="005B6323"/>
    <w:rsid w:val="005B63BC"/>
    <w:rsid w:val="005B63E9"/>
    <w:rsid w:val="005B6554"/>
    <w:rsid w:val="005B665A"/>
    <w:rsid w:val="005B668F"/>
    <w:rsid w:val="005B6945"/>
    <w:rsid w:val="005B6B81"/>
    <w:rsid w:val="005B6D04"/>
    <w:rsid w:val="005B7033"/>
    <w:rsid w:val="005B7212"/>
    <w:rsid w:val="005B7263"/>
    <w:rsid w:val="005B7370"/>
    <w:rsid w:val="005B7496"/>
    <w:rsid w:val="005B75E8"/>
    <w:rsid w:val="005B778C"/>
    <w:rsid w:val="005B779D"/>
    <w:rsid w:val="005B7968"/>
    <w:rsid w:val="005B79E7"/>
    <w:rsid w:val="005C003B"/>
    <w:rsid w:val="005C0097"/>
    <w:rsid w:val="005C00F7"/>
    <w:rsid w:val="005C03ED"/>
    <w:rsid w:val="005C042A"/>
    <w:rsid w:val="005C04EF"/>
    <w:rsid w:val="005C0738"/>
    <w:rsid w:val="005C0CB2"/>
    <w:rsid w:val="005C0CFA"/>
    <w:rsid w:val="005C0DE1"/>
    <w:rsid w:val="005C0E93"/>
    <w:rsid w:val="005C1344"/>
    <w:rsid w:val="005C137E"/>
    <w:rsid w:val="005C16DD"/>
    <w:rsid w:val="005C18C5"/>
    <w:rsid w:val="005C19EB"/>
    <w:rsid w:val="005C1A74"/>
    <w:rsid w:val="005C1F6F"/>
    <w:rsid w:val="005C2065"/>
    <w:rsid w:val="005C215A"/>
    <w:rsid w:val="005C2A1C"/>
    <w:rsid w:val="005C2BD1"/>
    <w:rsid w:val="005C2C3F"/>
    <w:rsid w:val="005C2C45"/>
    <w:rsid w:val="005C2D20"/>
    <w:rsid w:val="005C2E0A"/>
    <w:rsid w:val="005C2E75"/>
    <w:rsid w:val="005C2EA4"/>
    <w:rsid w:val="005C3228"/>
    <w:rsid w:val="005C32FF"/>
    <w:rsid w:val="005C334B"/>
    <w:rsid w:val="005C33D8"/>
    <w:rsid w:val="005C3D8E"/>
    <w:rsid w:val="005C3DEB"/>
    <w:rsid w:val="005C3F41"/>
    <w:rsid w:val="005C40C3"/>
    <w:rsid w:val="005C44B1"/>
    <w:rsid w:val="005C4754"/>
    <w:rsid w:val="005C4A2D"/>
    <w:rsid w:val="005C4CA6"/>
    <w:rsid w:val="005C4F58"/>
    <w:rsid w:val="005C4FD6"/>
    <w:rsid w:val="005C5186"/>
    <w:rsid w:val="005C5669"/>
    <w:rsid w:val="005C5693"/>
    <w:rsid w:val="005C5812"/>
    <w:rsid w:val="005C5B8C"/>
    <w:rsid w:val="005C5BE6"/>
    <w:rsid w:val="005C5CFC"/>
    <w:rsid w:val="005C5D05"/>
    <w:rsid w:val="005C5F77"/>
    <w:rsid w:val="005C61F7"/>
    <w:rsid w:val="005C62D0"/>
    <w:rsid w:val="005C64E7"/>
    <w:rsid w:val="005C667A"/>
    <w:rsid w:val="005C6771"/>
    <w:rsid w:val="005C68C7"/>
    <w:rsid w:val="005C6A90"/>
    <w:rsid w:val="005C700F"/>
    <w:rsid w:val="005C72C3"/>
    <w:rsid w:val="005C746A"/>
    <w:rsid w:val="005C7685"/>
    <w:rsid w:val="005C7C79"/>
    <w:rsid w:val="005C7CDA"/>
    <w:rsid w:val="005D0065"/>
    <w:rsid w:val="005D01E3"/>
    <w:rsid w:val="005D022C"/>
    <w:rsid w:val="005D045F"/>
    <w:rsid w:val="005D0590"/>
    <w:rsid w:val="005D06A2"/>
    <w:rsid w:val="005D07D9"/>
    <w:rsid w:val="005D07DE"/>
    <w:rsid w:val="005D09E7"/>
    <w:rsid w:val="005D09EE"/>
    <w:rsid w:val="005D0A27"/>
    <w:rsid w:val="005D0BC0"/>
    <w:rsid w:val="005D0BEA"/>
    <w:rsid w:val="005D0CDF"/>
    <w:rsid w:val="005D0D54"/>
    <w:rsid w:val="005D0F2A"/>
    <w:rsid w:val="005D13B5"/>
    <w:rsid w:val="005D1741"/>
    <w:rsid w:val="005D1887"/>
    <w:rsid w:val="005D19BD"/>
    <w:rsid w:val="005D1BCA"/>
    <w:rsid w:val="005D1C5F"/>
    <w:rsid w:val="005D1E2F"/>
    <w:rsid w:val="005D1F8B"/>
    <w:rsid w:val="005D201D"/>
    <w:rsid w:val="005D2116"/>
    <w:rsid w:val="005D217A"/>
    <w:rsid w:val="005D23FC"/>
    <w:rsid w:val="005D24B9"/>
    <w:rsid w:val="005D255E"/>
    <w:rsid w:val="005D25A6"/>
    <w:rsid w:val="005D26E6"/>
    <w:rsid w:val="005D2D80"/>
    <w:rsid w:val="005D32D3"/>
    <w:rsid w:val="005D333A"/>
    <w:rsid w:val="005D34B4"/>
    <w:rsid w:val="005D361B"/>
    <w:rsid w:val="005D36FD"/>
    <w:rsid w:val="005D37DC"/>
    <w:rsid w:val="005D38CC"/>
    <w:rsid w:val="005D3923"/>
    <w:rsid w:val="005D3991"/>
    <w:rsid w:val="005D3ABD"/>
    <w:rsid w:val="005D3ADE"/>
    <w:rsid w:val="005D3C35"/>
    <w:rsid w:val="005D3C39"/>
    <w:rsid w:val="005D4115"/>
    <w:rsid w:val="005D41CA"/>
    <w:rsid w:val="005D4377"/>
    <w:rsid w:val="005D4385"/>
    <w:rsid w:val="005D43E6"/>
    <w:rsid w:val="005D45A9"/>
    <w:rsid w:val="005D45C7"/>
    <w:rsid w:val="005D469F"/>
    <w:rsid w:val="005D4AFB"/>
    <w:rsid w:val="005D4DAF"/>
    <w:rsid w:val="005D4FE2"/>
    <w:rsid w:val="005D4FEB"/>
    <w:rsid w:val="005D5192"/>
    <w:rsid w:val="005D520C"/>
    <w:rsid w:val="005D5290"/>
    <w:rsid w:val="005D531A"/>
    <w:rsid w:val="005D5842"/>
    <w:rsid w:val="005D59EA"/>
    <w:rsid w:val="005D5BF2"/>
    <w:rsid w:val="005D5DD3"/>
    <w:rsid w:val="005D5F45"/>
    <w:rsid w:val="005D6148"/>
    <w:rsid w:val="005D61BE"/>
    <w:rsid w:val="005D61E1"/>
    <w:rsid w:val="005D651C"/>
    <w:rsid w:val="005D6907"/>
    <w:rsid w:val="005D6C6A"/>
    <w:rsid w:val="005D6C91"/>
    <w:rsid w:val="005D6D60"/>
    <w:rsid w:val="005D71F5"/>
    <w:rsid w:val="005D7291"/>
    <w:rsid w:val="005D7339"/>
    <w:rsid w:val="005D7436"/>
    <w:rsid w:val="005D74CD"/>
    <w:rsid w:val="005D7587"/>
    <w:rsid w:val="005D769B"/>
    <w:rsid w:val="005D7972"/>
    <w:rsid w:val="005D79B8"/>
    <w:rsid w:val="005D7B83"/>
    <w:rsid w:val="005E0125"/>
    <w:rsid w:val="005E02F5"/>
    <w:rsid w:val="005E0399"/>
    <w:rsid w:val="005E04A1"/>
    <w:rsid w:val="005E06FD"/>
    <w:rsid w:val="005E0766"/>
    <w:rsid w:val="005E0862"/>
    <w:rsid w:val="005E0A1D"/>
    <w:rsid w:val="005E0BF7"/>
    <w:rsid w:val="005E0E4E"/>
    <w:rsid w:val="005E0EAF"/>
    <w:rsid w:val="005E10BB"/>
    <w:rsid w:val="005E110C"/>
    <w:rsid w:val="005E1205"/>
    <w:rsid w:val="005E12D9"/>
    <w:rsid w:val="005E137E"/>
    <w:rsid w:val="005E13B4"/>
    <w:rsid w:val="005E1BA0"/>
    <w:rsid w:val="005E1BD5"/>
    <w:rsid w:val="005E1BF4"/>
    <w:rsid w:val="005E1F2F"/>
    <w:rsid w:val="005E1F81"/>
    <w:rsid w:val="005E2073"/>
    <w:rsid w:val="005E22FD"/>
    <w:rsid w:val="005E252B"/>
    <w:rsid w:val="005E27E3"/>
    <w:rsid w:val="005E28FB"/>
    <w:rsid w:val="005E2C69"/>
    <w:rsid w:val="005E2CAC"/>
    <w:rsid w:val="005E2DB7"/>
    <w:rsid w:val="005E2F5C"/>
    <w:rsid w:val="005E31C9"/>
    <w:rsid w:val="005E3228"/>
    <w:rsid w:val="005E341C"/>
    <w:rsid w:val="005E342F"/>
    <w:rsid w:val="005E3447"/>
    <w:rsid w:val="005E35F8"/>
    <w:rsid w:val="005E3623"/>
    <w:rsid w:val="005E365C"/>
    <w:rsid w:val="005E3BA6"/>
    <w:rsid w:val="005E3C10"/>
    <w:rsid w:val="005E3FF6"/>
    <w:rsid w:val="005E410F"/>
    <w:rsid w:val="005E464C"/>
    <w:rsid w:val="005E469F"/>
    <w:rsid w:val="005E46DE"/>
    <w:rsid w:val="005E4BB7"/>
    <w:rsid w:val="005E4DAB"/>
    <w:rsid w:val="005E5082"/>
    <w:rsid w:val="005E5285"/>
    <w:rsid w:val="005E52CB"/>
    <w:rsid w:val="005E538B"/>
    <w:rsid w:val="005E5504"/>
    <w:rsid w:val="005E569E"/>
    <w:rsid w:val="005E5BD5"/>
    <w:rsid w:val="005E5BE9"/>
    <w:rsid w:val="005E5E12"/>
    <w:rsid w:val="005E6039"/>
    <w:rsid w:val="005E6176"/>
    <w:rsid w:val="005E6302"/>
    <w:rsid w:val="005E650D"/>
    <w:rsid w:val="005E6601"/>
    <w:rsid w:val="005E6607"/>
    <w:rsid w:val="005E6680"/>
    <w:rsid w:val="005E66F5"/>
    <w:rsid w:val="005E6997"/>
    <w:rsid w:val="005E6D23"/>
    <w:rsid w:val="005E7032"/>
    <w:rsid w:val="005E7092"/>
    <w:rsid w:val="005E71B7"/>
    <w:rsid w:val="005E733E"/>
    <w:rsid w:val="005E7583"/>
    <w:rsid w:val="005E7856"/>
    <w:rsid w:val="005E7E79"/>
    <w:rsid w:val="005E7F38"/>
    <w:rsid w:val="005E7FE0"/>
    <w:rsid w:val="005F04AD"/>
    <w:rsid w:val="005F04D1"/>
    <w:rsid w:val="005F058C"/>
    <w:rsid w:val="005F07E8"/>
    <w:rsid w:val="005F081F"/>
    <w:rsid w:val="005F0B4C"/>
    <w:rsid w:val="005F0C33"/>
    <w:rsid w:val="005F1038"/>
    <w:rsid w:val="005F10B2"/>
    <w:rsid w:val="005F125F"/>
    <w:rsid w:val="005F1287"/>
    <w:rsid w:val="005F134D"/>
    <w:rsid w:val="005F13DE"/>
    <w:rsid w:val="005F18DB"/>
    <w:rsid w:val="005F198D"/>
    <w:rsid w:val="005F1B48"/>
    <w:rsid w:val="005F1C44"/>
    <w:rsid w:val="005F1DF8"/>
    <w:rsid w:val="005F1F5C"/>
    <w:rsid w:val="005F1F60"/>
    <w:rsid w:val="005F1FB0"/>
    <w:rsid w:val="005F22BC"/>
    <w:rsid w:val="005F237C"/>
    <w:rsid w:val="005F2BA6"/>
    <w:rsid w:val="005F2DB5"/>
    <w:rsid w:val="005F2DCD"/>
    <w:rsid w:val="005F3101"/>
    <w:rsid w:val="005F33F3"/>
    <w:rsid w:val="005F342B"/>
    <w:rsid w:val="005F3709"/>
    <w:rsid w:val="005F3826"/>
    <w:rsid w:val="005F3861"/>
    <w:rsid w:val="005F3904"/>
    <w:rsid w:val="005F3BAD"/>
    <w:rsid w:val="005F3E81"/>
    <w:rsid w:val="005F3EC7"/>
    <w:rsid w:val="005F3F29"/>
    <w:rsid w:val="005F431B"/>
    <w:rsid w:val="005F4384"/>
    <w:rsid w:val="005F496B"/>
    <w:rsid w:val="005F4AD9"/>
    <w:rsid w:val="005F4C65"/>
    <w:rsid w:val="005F4C68"/>
    <w:rsid w:val="005F4F6A"/>
    <w:rsid w:val="005F507E"/>
    <w:rsid w:val="005F50AB"/>
    <w:rsid w:val="005F5395"/>
    <w:rsid w:val="005F55FA"/>
    <w:rsid w:val="005F5A26"/>
    <w:rsid w:val="005F5C6A"/>
    <w:rsid w:val="005F5E2D"/>
    <w:rsid w:val="005F5E91"/>
    <w:rsid w:val="005F5EC6"/>
    <w:rsid w:val="005F5F41"/>
    <w:rsid w:val="005F6139"/>
    <w:rsid w:val="005F657B"/>
    <w:rsid w:val="005F6631"/>
    <w:rsid w:val="005F6851"/>
    <w:rsid w:val="005F6987"/>
    <w:rsid w:val="005F6AC5"/>
    <w:rsid w:val="005F6B03"/>
    <w:rsid w:val="005F6BA2"/>
    <w:rsid w:val="005F6EE0"/>
    <w:rsid w:val="005F7041"/>
    <w:rsid w:val="005F728E"/>
    <w:rsid w:val="005F73DC"/>
    <w:rsid w:val="005F7541"/>
    <w:rsid w:val="005F78BD"/>
    <w:rsid w:val="005F79FA"/>
    <w:rsid w:val="005F7CF1"/>
    <w:rsid w:val="005F7E1A"/>
    <w:rsid w:val="005F7E30"/>
    <w:rsid w:val="00600120"/>
    <w:rsid w:val="00600199"/>
    <w:rsid w:val="006005B4"/>
    <w:rsid w:val="00600A69"/>
    <w:rsid w:val="00600A8B"/>
    <w:rsid w:val="00600BC7"/>
    <w:rsid w:val="00601095"/>
    <w:rsid w:val="0060129F"/>
    <w:rsid w:val="006015A3"/>
    <w:rsid w:val="006018AA"/>
    <w:rsid w:val="00601A67"/>
    <w:rsid w:val="00601B53"/>
    <w:rsid w:val="00601C78"/>
    <w:rsid w:val="00601C83"/>
    <w:rsid w:val="00601D80"/>
    <w:rsid w:val="00602129"/>
    <w:rsid w:val="00602398"/>
    <w:rsid w:val="006023C9"/>
    <w:rsid w:val="006024F3"/>
    <w:rsid w:val="00602693"/>
    <w:rsid w:val="00602853"/>
    <w:rsid w:val="00602928"/>
    <w:rsid w:val="00602C57"/>
    <w:rsid w:val="00602C79"/>
    <w:rsid w:val="00602D8B"/>
    <w:rsid w:val="00603052"/>
    <w:rsid w:val="006031CC"/>
    <w:rsid w:val="00603229"/>
    <w:rsid w:val="006032EE"/>
    <w:rsid w:val="00603377"/>
    <w:rsid w:val="00603385"/>
    <w:rsid w:val="006034E5"/>
    <w:rsid w:val="00603688"/>
    <w:rsid w:val="00603886"/>
    <w:rsid w:val="00603EFD"/>
    <w:rsid w:val="006041F5"/>
    <w:rsid w:val="0060424F"/>
    <w:rsid w:val="00604304"/>
    <w:rsid w:val="006043F2"/>
    <w:rsid w:val="00604438"/>
    <w:rsid w:val="00604788"/>
    <w:rsid w:val="0060479F"/>
    <w:rsid w:val="0060483C"/>
    <w:rsid w:val="00604B1A"/>
    <w:rsid w:val="00604BDB"/>
    <w:rsid w:val="00604E11"/>
    <w:rsid w:val="00604ED5"/>
    <w:rsid w:val="00604F39"/>
    <w:rsid w:val="006051E4"/>
    <w:rsid w:val="00605422"/>
    <w:rsid w:val="0060560E"/>
    <w:rsid w:val="0060576D"/>
    <w:rsid w:val="006057EF"/>
    <w:rsid w:val="00605D0F"/>
    <w:rsid w:val="006060C2"/>
    <w:rsid w:val="00606108"/>
    <w:rsid w:val="006061FD"/>
    <w:rsid w:val="00606432"/>
    <w:rsid w:val="0060652C"/>
    <w:rsid w:val="0060687D"/>
    <w:rsid w:val="00606906"/>
    <w:rsid w:val="006069B5"/>
    <w:rsid w:val="00606D2D"/>
    <w:rsid w:val="00606F4D"/>
    <w:rsid w:val="00606FA3"/>
    <w:rsid w:val="0060709F"/>
    <w:rsid w:val="006072F3"/>
    <w:rsid w:val="006074B6"/>
    <w:rsid w:val="006075A6"/>
    <w:rsid w:val="0060793A"/>
    <w:rsid w:val="00607996"/>
    <w:rsid w:val="00607F89"/>
    <w:rsid w:val="00607FF0"/>
    <w:rsid w:val="0061000E"/>
    <w:rsid w:val="0061013C"/>
    <w:rsid w:val="00610188"/>
    <w:rsid w:val="0061084A"/>
    <w:rsid w:val="00610B84"/>
    <w:rsid w:val="00610BA3"/>
    <w:rsid w:val="00610BDD"/>
    <w:rsid w:val="00610DC3"/>
    <w:rsid w:val="00610F82"/>
    <w:rsid w:val="0061162E"/>
    <w:rsid w:val="00611B80"/>
    <w:rsid w:val="00611C1C"/>
    <w:rsid w:val="00611C2F"/>
    <w:rsid w:val="00611DC5"/>
    <w:rsid w:val="00612227"/>
    <w:rsid w:val="00612267"/>
    <w:rsid w:val="00612298"/>
    <w:rsid w:val="0061232E"/>
    <w:rsid w:val="0061236C"/>
    <w:rsid w:val="006123E9"/>
    <w:rsid w:val="0061248A"/>
    <w:rsid w:val="00612539"/>
    <w:rsid w:val="00612A98"/>
    <w:rsid w:val="00612ABB"/>
    <w:rsid w:val="00612B1D"/>
    <w:rsid w:val="006130FD"/>
    <w:rsid w:val="00613146"/>
    <w:rsid w:val="006131E1"/>
    <w:rsid w:val="006132C9"/>
    <w:rsid w:val="006133C2"/>
    <w:rsid w:val="006137A7"/>
    <w:rsid w:val="00613C02"/>
    <w:rsid w:val="00614107"/>
    <w:rsid w:val="00614199"/>
    <w:rsid w:val="006141EC"/>
    <w:rsid w:val="0061439B"/>
    <w:rsid w:val="006144A0"/>
    <w:rsid w:val="006146CE"/>
    <w:rsid w:val="00614813"/>
    <w:rsid w:val="00614A1E"/>
    <w:rsid w:val="00614D0A"/>
    <w:rsid w:val="00614D91"/>
    <w:rsid w:val="00614E20"/>
    <w:rsid w:val="006151B4"/>
    <w:rsid w:val="0061583E"/>
    <w:rsid w:val="0061590A"/>
    <w:rsid w:val="006159E5"/>
    <w:rsid w:val="00615BB2"/>
    <w:rsid w:val="00615C36"/>
    <w:rsid w:val="00615D4E"/>
    <w:rsid w:val="00615F63"/>
    <w:rsid w:val="00616231"/>
    <w:rsid w:val="0061628C"/>
    <w:rsid w:val="006163EC"/>
    <w:rsid w:val="006169A8"/>
    <w:rsid w:val="00616C44"/>
    <w:rsid w:val="00616CDD"/>
    <w:rsid w:val="00616F41"/>
    <w:rsid w:val="0061701C"/>
    <w:rsid w:val="00617161"/>
    <w:rsid w:val="0061721D"/>
    <w:rsid w:val="0061739C"/>
    <w:rsid w:val="00617511"/>
    <w:rsid w:val="00617530"/>
    <w:rsid w:val="006175B6"/>
    <w:rsid w:val="006175CF"/>
    <w:rsid w:val="006176D6"/>
    <w:rsid w:val="00617A9D"/>
    <w:rsid w:val="00617C91"/>
    <w:rsid w:val="00617D2C"/>
    <w:rsid w:val="00620086"/>
    <w:rsid w:val="0062012E"/>
    <w:rsid w:val="00620240"/>
    <w:rsid w:val="00620278"/>
    <w:rsid w:val="0062040B"/>
    <w:rsid w:val="006206D7"/>
    <w:rsid w:val="006209F8"/>
    <w:rsid w:val="00620C4B"/>
    <w:rsid w:val="00620EA2"/>
    <w:rsid w:val="00620F04"/>
    <w:rsid w:val="00620F68"/>
    <w:rsid w:val="00620FA1"/>
    <w:rsid w:val="0062104F"/>
    <w:rsid w:val="006211DA"/>
    <w:rsid w:val="00621307"/>
    <w:rsid w:val="00621406"/>
    <w:rsid w:val="0062144E"/>
    <w:rsid w:val="006217E4"/>
    <w:rsid w:val="00621856"/>
    <w:rsid w:val="006218A1"/>
    <w:rsid w:val="00621C12"/>
    <w:rsid w:val="00622349"/>
    <w:rsid w:val="00622464"/>
    <w:rsid w:val="0062251F"/>
    <w:rsid w:val="00622799"/>
    <w:rsid w:val="00622964"/>
    <w:rsid w:val="00622BFC"/>
    <w:rsid w:val="00622D83"/>
    <w:rsid w:val="00622E37"/>
    <w:rsid w:val="00622E9C"/>
    <w:rsid w:val="00622F74"/>
    <w:rsid w:val="00623186"/>
    <w:rsid w:val="006239CD"/>
    <w:rsid w:val="006240CF"/>
    <w:rsid w:val="006240E1"/>
    <w:rsid w:val="00624221"/>
    <w:rsid w:val="006243CA"/>
    <w:rsid w:val="00624903"/>
    <w:rsid w:val="006249A8"/>
    <w:rsid w:val="006249F6"/>
    <w:rsid w:val="00624C85"/>
    <w:rsid w:val="00624E09"/>
    <w:rsid w:val="00625070"/>
    <w:rsid w:val="00625120"/>
    <w:rsid w:val="00625227"/>
    <w:rsid w:val="00625342"/>
    <w:rsid w:val="00625370"/>
    <w:rsid w:val="006253B3"/>
    <w:rsid w:val="0062564C"/>
    <w:rsid w:val="006257E1"/>
    <w:rsid w:val="0062584A"/>
    <w:rsid w:val="0062597B"/>
    <w:rsid w:val="00625A6D"/>
    <w:rsid w:val="00625A6F"/>
    <w:rsid w:val="00625B1D"/>
    <w:rsid w:val="00625B21"/>
    <w:rsid w:val="00625ED5"/>
    <w:rsid w:val="00626213"/>
    <w:rsid w:val="0062625F"/>
    <w:rsid w:val="006266B7"/>
    <w:rsid w:val="0062691F"/>
    <w:rsid w:val="0062695D"/>
    <w:rsid w:val="00626B07"/>
    <w:rsid w:val="00626B27"/>
    <w:rsid w:val="00626DE9"/>
    <w:rsid w:val="00626FCC"/>
    <w:rsid w:val="00627077"/>
    <w:rsid w:val="006270CD"/>
    <w:rsid w:val="006272B7"/>
    <w:rsid w:val="006274A2"/>
    <w:rsid w:val="00627611"/>
    <w:rsid w:val="0062769C"/>
    <w:rsid w:val="00627750"/>
    <w:rsid w:val="006277F4"/>
    <w:rsid w:val="0062782E"/>
    <w:rsid w:val="006279A5"/>
    <w:rsid w:val="006279C5"/>
    <w:rsid w:val="006301F9"/>
    <w:rsid w:val="006302F2"/>
    <w:rsid w:val="0063056E"/>
    <w:rsid w:val="0063073A"/>
    <w:rsid w:val="00630A7B"/>
    <w:rsid w:val="00631011"/>
    <w:rsid w:val="006312A5"/>
    <w:rsid w:val="0063137A"/>
    <w:rsid w:val="006313F5"/>
    <w:rsid w:val="00631470"/>
    <w:rsid w:val="00631569"/>
    <w:rsid w:val="00631573"/>
    <w:rsid w:val="006316B6"/>
    <w:rsid w:val="0063175C"/>
    <w:rsid w:val="006317A3"/>
    <w:rsid w:val="006318C7"/>
    <w:rsid w:val="00631B95"/>
    <w:rsid w:val="00631ED7"/>
    <w:rsid w:val="00631F6E"/>
    <w:rsid w:val="00632093"/>
    <w:rsid w:val="006321F9"/>
    <w:rsid w:val="0063258F"/>
    <w:rsid w:val="00632660"/>
    <w:rsid w:val="00632672"/>
    <w:rsid w:val="006327EC"/>
    <w:rsid w:val="00632957"/>
    <w:rsid w:val="00632A61"/>
    <w:rsid w:val="00632C01"/>
    <w:rsid w:val="00632C9B"/>
    <w:rsid w:val="00632EDE"/>
    <w:rsid w:val="0063312E"/>
    <w:rsid w:val="006337E1"/>
    <w:rsid w:val="00633B65"/>
    <w:rsid w:val="00633C4D"/>
    <w:rsid w:val="00633D2E"/>
    <w:rsid w:val="00633E06"/>
    <w:rsid w:val="00633EFB"/>
    <w:rsid w:val="006340AA"/>
    <w:rsid w:val="00634313"/>
    <w:rsid w:val="006344BE"/>
    <w:rsid w:val="006347BB"/>
    <w:rsid w:val="006348AC"/>
    <w:rsid w:val="006348E7"/>
    <w:rsid w:val="006349B9"/>
    <w:rsid w:val="006349D0"/>
    <w:rsid w:val="00634B7C"/>
    <w:rsid w:val="00634B95"/>
    <w:rsid w:val="00634BC3"/>
    <w:rsid w:val="00634CE5"/>
    <w:rsid w:val="00634D09"/>
    <w:rsid w:val="00634F99"/>
    <w:rsid w:val="0063508C"/>
    <w:rsid w:val="006351C0"/>
    <w:rsid w:val="006351CF"/>
    <w:rsid w:val="006355CD"/>
    <w:rsid w:val="00635692"/>
    <w:rsid w:val="0063596C"/>
    <w:rsid w:val="006359E5"/>
    <w:rsid w:val="00635D81"/>
    <w:rsid w:val="00635F63"/>
    <w:rsid w:val="006365EB"/>
    <w:rsid w:val="006366BD"/>
    <w:rsid w:val="006366D4"/>
    <w:rsid w:val="00636712"/>
    <w:rsid w:val="00636DA1"/>
    <w:rsid w:val="00636EE6"/>
    <w:rsid w:val="00636F55"/>
    <w:rsid w:val="00636F9B"/>
    <w:rsid w:val="00637351"/>
    <w:rsid w:val="00637569"/>
    <w:rsid w:val="006375CB"/>
    <w:rsid w:val="00637777"/>
    <w:rsid w:val="00637840"/>
    <w:rsid w:val="00637B09"/>
    <w:rsid w:val="00637CCD"/>
    <w:rsid w:val="00637E49"/>
    <w:rsid w:val="00637EF3"/>
    <w:rsid w:val="00640154"/>
    <w:rsid w:val="00640156"/>
    <w:rsid w:val="006401B6"/>
    <w:rsid w:val="006406E1"/>
    <w:rsid w:val="00640D89"/>
    <w:rsid w:val="00640EBA"/>
    <w:rsid w:val="00641097"/>
    <w:rsid w:val="0064126D"/>
    <w:rsid w:val="0064145A"/>
    <w:rsid w:val="00641472"/>
    <w:rsid w:val="0064148B"/>
    <w:rsid w:val="00641954"/>
    <w:rsid w:val="00641A0D"/>
    <w:rsid w:val="00641A8C"/>
    <w:rsid w:val="00641BFF"/>
    <w:rsid w:val="00641C0F"/>
    <w:rsid w:val="00641C76"/>
    <w:rsid w:val="00641DCC"/>
    <w:rsid w:val="00641E1C"/>
    <w:rsid w:val="00642142"/>
    <w:rsid w:val="00642390"/>
    <w:rsid w:val="006426FD"/>
    <w:rsid w:val="00642856"/>
    <w:rsid w:val="00642AC3"/>
    <w:rsid w:val="00642B7C"/>
    <w:rsid w:val="0064326A"/>
    <w:rsid w:val="0064332B"/>
    <w:rsid w:val="006435C7"/>
    <w:rsid w:val="00643614"/>
    <w:rsid w:val="00643B2D"/>
    <w:rsid w:val="00643E68"/>
    <w:rsid w:val="00643EED"/>
    <w:rsid w:val="00643F76"/>
    <w:rsid w:val="00644210"/>
    <w:rsid w:val="006443B3"/>
    <w:rsid w:val="00644530"/>
    <w:rsid w:val="00644531"/>
    <w:rsid w:val="00644806"/>
    <w:rsid w:val="00644A4C"/>
    <w:rsid w:val="00644AAE"/>
    <w:rsid w:val="00644DFE"/>
    <w:rsid w:val="00644EB3"/>
    <w:rsid w:val="0064508F"/>
    <w:rsid w:val="006451A6"/>
    <w:rsid w:val="00645209"/>
    <w:rsid w:val="006452A5"/>
    <w:rsid w:val="006452F1"/>
    <w:rsid w:val="006455B1"/>
    <w:rsid w:val="006456FF"/>
    <w:rsid w:val="00645A32"/>
    <w:rsid w:val="00645B0E"/>
    <w:rsid w:val="00645B9B"/>
    <w:rsid w:val="00645D23"/>
    <w:rsid w:val="00645E15"/>
    <w:rsid w:val="00645F6E"/>
    <w:rsid w:val="00645F8B"/>
    <w:rsid w:val="006461AC"/>
    <w:rsid w:val="006464B7"/>
    <w:rsid w:val="006465FF"/>
    <w:rsid w:val="006467CF"/>
    <w:rsid w:val="0064680B"/>
    <w:rsid w:val="00646957"/>
    <w:rsid w:val="00646B5A"/>
    <w:rsid w:val="00646C15"/>
    <w:rsid w:val="00646DCA"/>
    <w:rsid w:val="00646E3F"/>
    <w:rsid w:val="00646EFC"/>
    <w:rsid w:val="006470DA"/>
    <w:rsid w:val="006470FF"/>
    <w:rsid w:val="0064726F"/>
    <w:rsid w:val="00647BA5"/>
    <w:rsid w:val="00647ECB"/>
    <w:rsid w:val="00647F1B"/>
    <w:rsid w:val="00647F8D"/>
    <w:rsid w:val="00647FB5"/>
    <w:rsid w:val="0065009D"/>
    <w:rsid w:val="006508F9"/>
    <w:rsid w:val="0065091B"/>
    <w:rsid w:val="00650C4F"/>
    <w:rsid w:val="00650CB8"/>
    <w:rsid w:val="00650D56"/>
    <w:rsid w:val="00650E99"/>
    <w:rsid w:val="006510DF"/>
    <w:rsid w:val="00651231"/>
    <w:rsid w:val="006512D8"/>
    <w:rsid w:val="006512FF"/>
    <w:rsid w:val="006513DB"/>
    <w:rsid w:val="00651672"/>
    <w:rsid w:val="00651F5A"/>
    <w:rsid w:val="0065233E"/>
    <w:rsid w:val="006526C4"/>
    <w:rsid w:val="00652772"/>
    <w:rsid w:val="00652882"/>
    <w:rsid w:val="006528F8"/>
    <w:rsid w:val="00652B21"/>
    <w:rsid w:val="00652B3E"/>
    <w:rsid w:val="00652DA5"/>
    <w:rsid w:val="00652E19"/>
    <w:rsid w:val="0065394E"/>
    <w:rsid w:val="00653A15"/>
    <w:rsid w:val="00653A37"/>
    <w:rsid w:val="00653A73"/>
    <w:rsid w:val="00653CEC"/>
    <w:rsid w:val="00653DF4"/>
    <w:rsid w:val="00653DF6"/>
    <w:rsid w:val="00653ECE"/>
    <w:rsid w:val="0065406C"/>
    <w:rsid w:val="00654122"/>
    <w:rsid w:val="0065422F"/>
    <w:rsid w:val="006543DC"/>
    <w:rsid w:val="006544C2"/>
    <w:rsid w:val="00654676"/>
    <w:rsid w:val="0065480F"/>
    <w:rsid w:val="00654A36"/>
    <w:rsid w:val="00654A9A"/>
    <w:rsid w:val="00654AE2"/>
    <w:rsid w:val="00654B90"/>
    <w:rsid w:val="00654C67"/>
    <w:rsid w:val="006550A1"/>
    <w:rsid w:val="00655254"/>
    <w:rsid w:val="00655364"/>
    <w:rsid w:val="006553EF"/>
    <w:rsid w:val="0065560D"/>
    <w:rsid w:val="0065589D"/>
    <w:rsid w:val="006562D4"/>
    <w:rsid w:val="006563AB"/>
    <w:rsid w:val="006563B6"/>
    <w:rsid w:val="00656426"/>
    <w:rsid w:val="0065657C"/>
    <w:rsid w:val="006565AD"/>
    <w:rsid w:val="00656733"/>
    <w:rsid w:val="006568B0"/>
    <w:rsid w:val="0065695A"/>
    <w:rsid w:val="006569DA"/>
    <w:rsid w:val="00657095"/>
    <w:rsid w:val="00657289"/>
    <w:rsid w:val="006572A4"/>
    <w:rsid w:val="006572FE"/>
    <w:rsid w:val="0065745C"/>
    <w:rsid w:val="006574AC"/>
    <w:rsid w:val="006576DB"/>
    <w:rsid w:val="006577EE"/>
    <w:rsid w:val="00657A90"/>
    <w:rsid w:val="00657C90"/>
    <w:rsid w:val="00657CBA"/>
    <w:rsid w:val="00657F89"/>
    <w:rsid w:val="0066007F"/>
    <w:rsid w:val="006601A1"/>
    <w:rsid w:val="0066032A"/>
    <w:rsid w:val="006604C9"/>
    <w:rsid w:val="006606E6"/>
    <w:rsid w:val="0066078E"/>
    <w:rsid w:val="006607F9"/>
    <w:rsid w:val="00660A30"/>
    <w:rsid w:val="00660A52"/>
    <w:rsid w:val="00660FA9"/>
    <w:rsid w:val="00660FFC"/>
    <w:rsid w:val="006611EC"/>
    <w:rsid w:val="006613C8"/>
    <w:rsid w:val="006613CF"/>
    <w:rsid w:val="00661441"/>
    <w:rsid w:val="00661736"/>
    <w:rsid w:val="00661948"/>
    <w:rsid w:val="0066194A"/>
    <w:rsid w:val="00661A38"/>
    <w:rsid w:val="00661AD8"/>
    <w:rsid w:val="00661AF3"/>
    <w:rsid w:val="00661F41"/>
    <w:rsid w:val="00661F55"/>
    <w:rsid w:val="00662186"/>
    <w:rsid w:val="0066222B"/>
    <w:rsid w:val="006622BF"/>
    <w:rsid w:val="006622C3"/>
    <w:rsid w:val="00662319"/>
    <w:rsid w:val="00662538"/>
    <w:rsid w:val="00662806"/>
    <w:rsid w:val="006628BB"/>
    <w:rsid w:val="006629A4"/>
    <w:rsid w:val="00662A78"/>
    <w:rsid w:val="00662B38"/>
    <w:rsid w:val="00662BB4"/>
    <w:rsid w:val="00662C26"/>
    <w:rsid w:val="00662CA4"/>
    <w:rsid w:val="00662CD5"/>
    <w:rsid w:val="00662D1F"/>
    <w:rsid w:val="00662E29"/>
    <w:rsid w:val="0066308D"/>
    <w:rsid w:val="006630D0"/>
    <w:rsid w:val="00663177"/>
    <w:rsid w:val="00663491"/>
    <w:rsid w:val="006634EF"/>
    <w:rsid w:val="006639E3"/>
    <w:rsid w:val="006639F2"/>
    <w:rsid w:val="006642E4"/>
    <w:rsid w:val="00664392"/>
    <w:rsid w:val="00664677"/>
    <w:rsid w:val="006647B5"/>
    <w:rsid w:val="00665243"/>
    <w:rsid w:val="0066529A"/>
    <w:rsid w:val="00665653"/>
    <w:rsid w:val="00665774"/>
    <w:rsid w:val="0066578F"/>
    <w:rsid w:val="00665844"/>
    <w:rsid w:val="00665868"/>
    <w:rsid w:val="006658A4"/>
    <w:rsid w:val="00665985"/>
    <w:rsid w:val="00665BE1"/>
    <w:rsid w:val="00665EBD"/>
    <w:rsid w:val="006660C4"/>
    <w:rsid w:val="006660F7"/>
    <w:rsid w:val="0066622E"/>
    <w:rsid w:val="00666263"/>
    <w:rsid w:val="0066639A"/>
    <w:rsid w:val="006663FC"/>
    <w:rsid w:val="0066641D"/>
    <w:rsid w:val="0066661D"/>
    <w:rsid w:val="006667ED"/>
    <w:rsid w:val="00666804"/>
    <w:rsid w:val="0066682D"/>
    <w:rsid w:val="00666873"/>
    <w:rsid w:val="006669CE"/>
    <w:rsid w:val="00666B5A"/>
    <w:rsid w:val="00666D18"/>
    <w:rsid w:val="00666D37"/>
    <w:rsid w:val="0066760B"/>
    <w:rsid w:val="00667A1B"/>
    <w:rsid w:val="00667BF1"/>
    <w:rsid w:val="00667D37"/>
    <w:rsid w:val="00667E4B"/>
    <w:rsid w:val="00667F0B"/>
    <w:rsid w:val="00667FB6"/>
    <w:rsid w:val="006701DA"/>
    <w:rsid w:val="00670291"/>
    <w:rsid w:val="006703AC"/>
    <w:rsid w:val="006704A8"/>
    <w:rsid w:val="006705F9"/>
    <w:rsid w:val="006706E4"/>
    <w:rsid w:val="00670901"/>
    <w:rsid w:val="00670BCF"/>
    <w:rsid w:val="00670DD1"/>
    <w:rsid w:val="00670EAF"/>
    <w:rsid w:val="00670EBE"/>
    <w:rsid w:val="006715F9"/>
    <w:rsid w:val="006717AA"/>
    <w:rsid w:val="006717E6"/>
    <w:rsid w:val="00671816"/>
    <w:rsid w:val="006719C4"/>
    <w:rsid w:val="00671AC1"/>
    <w:rsid w:val="00671D58"/>
    <w:rsid w:val="0067218C"/>
    <w:rsid w:val="006723B1"/>
    <w:rsid w:val="006726C4"/>
    <w:rsid w:val="0067296E"/>
    <w:rsid w:val="00672A7C"/>
    <w:rsid w:val="00672B1E"/>
    <w:rsid w:val="00672DB0"/>
    <w:rsid w:val="00672EE3"/>
    <w:rsid w:val="00672FB7"/>
    <w:rsid w:val="00673149"/>
    <w:rsid w:val="0067385D"/>
    <w:rsid w:val="006739A1"/>
    <w:rsid w:val="00673BEB"/>
    <w:rsid w:val="0067422D"/>
    <w:rsid w:val="0067428F"/>
    <w:rsid w:val="00674367"/>
    <w:rsid w:val="00674495"/>
    <w:rsid w:val="00674624"/>
    <w:rsid w:val="00674700"/>
    <w:rsid w:val="00674948"/>
    <w:rsid w:val="00674B45"/>
    <w:rsid w:val="00674B83"/>
    <w:rsid w:val="00674E04"/>
    <w:rsid w:val="006752A0"/>
    <w:rsid w:val="00675552"/>
    <w:rsid w:val="00675F4B"/>
    <w:rsid w:val="00675F51"/>
    <w:rsid w:val="00675FE6"/>
    <w:rsid w:val="00676114"/>
    <w:rsid w:val="006761CC"/>
    <w:rsid w:val="006762A7"/>
    <w:rsid w:val="0067663D"/>
    <w:rsid w:val="0067673D"/>
    <w:rsid w:val="00676802"/>
    <w:rsid w:val="00676848"/>
    <w:rsid w:val="00676A46"/>
    <w:rsid w:val="00676AAC"/>
    <w:rsid w:val="00676AD3"/>
    <w:rsid w:val="00676D40"/>
    <w:rsid w:val="0067701E"/>
    <w:rsid w:val="00677094"/>
    <w:rsid w:val="00677140"/>
    <w:rsid w:val="00677564"/>
    <w:rsid w:val="006778B6"/>
    <w:rsid w:val="00677B98"/>
    <w:rsid w:val="00677D0C"/>
    <w:rsid w:val="00677E9A"/>
    <w:rsid w:val="00677FD9"/>
    <w:rsid w:val="00680358"/>
    <w:rsid w:val="006803C3"/>
    <w:rsid w:val="006803E0"/>
    <w:rsid w:val="00680502"/>
    <w:rsid w:val="0068068E"/>
    <w:rsid w:val="006806CA"/>
    <w:rsid w:val="00680785"/>
    <w:rsid w:val="00680BCD"/>
    <w:rsid w:val="00680C7E"/>
    <w:rsid w:val="00680D83"/>
    <w:rsid w:val="00681016"/>
    <w:rsid w:val="00681303"/>
    <w:rsid w:val="00681A95"/>
    <w:rsid w:val="0068200D"/>
    <w:rsid w:val="00682117"/>
    <w:rsid w:val="00682831"/>
    <w:rsid w:val="00682A6C"/>
    <w:rsid w:val="00682B9B"/>
    <w:rsid w:val="00682C77"/>
    <w:rsid w:val="00682DA2"/>
    <w:rsid w:val="006832D1"/>
    <w:rsid w:val="006834EC"/>
    <w:rsid w:val="0068350F"/>
    <w:rsid w:val="006837BB"/>
    <w:rsid w:val="006838B7"/>
    <w:rsid w:val="00683B70"/>
    <w:rsid w:val="00683D01"/>
    <w:rsid w:val="00683D75"/>
    <w:rsid w:val="00683F52"/>
    <w:rsid w:val="0068467E"/>
    <w:rsid w:val="0068476E"/>
    <w:rsid w:val="0068493C"/>
    <w:rsid w:val="00684B16"/>
    <w:rsid w:val="00684E49"/>
    <w:rsid w:val="00684EB3"/>
    <w:rsid w:val="00685068"/>
    <w:rsid w:val="006854ED"/>
    <w:rsid w:val="00685554"/>
    <w:rsid w:val="006859D9"/>
    <w:rsid w:val="00685B4D"/>
    <w:rsid w:val="00685D49"/>
    <w:rsid w:val="00685E9C"/>
    <w:rsid w:val="00685ED7"/>
    <w:rsid w:val="006862BE"/>
    <w:rsid w:val="00686797"/>
    <w:rsid w:val="00686890"/>
    <w:rsid w:val="00686B27"/>
    <w:rsid w:val="00686BB0"/>
    <w:rsid w:val="00686E0C"/>
    <w:rsid w:val="006873E8"/>
    <w:rsid w:val="00687726"/>
    <w:rsid w:val="00687BC3"/>
    <w:rsid w:val="00687CEC"/>
    <w:rsid w:val="00687DF7"/>
    <w:rsid w:val="0069002B"/>
    <w:rsid w:val="0069014D"/>
    <w:rsid w:val="0069037F"/>
    <w:rsid w:val="0069038A"/>
    <w:rsid w:val="00690416"/>
    <w:rsid w:val="006906B2"/>
    <w:rsid w:val="006908C7"/>
    <w:rsid w:val="00690907"/>
    <w:rsid w:val="006909CC"/>
    <w:rsid w:val="00690A8E"/>
    <w:rsid w:val="00690C57"/>
    <w:rsid w:val="00691029"/>
    <w:rsid w:val="00691097"/>
    <w:rsid w:val="00691106"/>
    <w:rsid w:val="00691224"/>
    <w:rsid w:val="00691263"/>
    <w:rsid w:val="00691299"/>
    <w:rsid w:val="006912CF"/>
    <w:rsid w:val="00691483"/>
    <w:rsid w:val="006914AB"/>
    <w:rsid w:val="0069172F"/>
    <w:rsid w:val="006917AF"/>
    <w:rsid w:val="0069185D"/>
    <w:rsid w:val="00691BFF"/>
    <w:rsid w:val="00691D31"/>
    <w:rsid w:val="00691F2D"/>
    <w:rsid w:val="00691F43"/>
    <w:rsid w:val="00691F72"/>
    <w:rsid w:val="006920A4"/>
    <w:rsid w:val="006921F2"/>
    <w:rsid w:val="0069221A"/>
    <w:rsid w:val="00692858"/>
    <w:rsid w:val="006928D4"/>
    <w:rsid w:val="0069298D"/>
    <w:rsid w:val="00692A39"/>
    <w:rsid w:val="00692C9A"/>
    <w:rsid w:val="00692D09"/>
    <w:rsid w:val="00692D97"/>
    <w:rsid w:val="00692F86"/>
    <w:rsid w:val="00693102"/>
    <w:rsid w:val="0069315E"/>
    <w:rsid w:val="006932A0"/>
    <w:rsid w:val="006934C8"/>
    <w:rsid w:val="006935E6"/>
    <w:rsid w:val="00693758"/>
    <w:rsid w:val="00693914"/>
    <w:rsid w:val="00693D64"/>
    <w:rsid w:val="00694118"/>
    <w:rsid w:val="006941FC"/>
    <w:rsid w:val="00694289"/>
    <w:rsid w:val="006943DE"/>
    <w:rsid w:val="006944D9"/>
    <w:rsid w:val="0069465E"/>
    <w:rsid w:val="00694678"/>
    <w:rsid w:val="00694904"/>
    <w:rsid w:val="00694969"/>
    <w:rsid w:val="006949EE"/>
    <w:rsid w:val="00694BAF"/>
    <w:rsid w:val="00694C71"/>
    <w:rsid w:val="00694C92"/>
    <w:rsid w:val="00694F73"/>
    <w:rsid w:val="006951EE"/>
    <w:rsid w:val="0069530C"/>
    <w:rsid w:val="00695467"/>
    <w:rsid w:val="006954D9"/>
    <w:rsid w:val="0069553A"/>
    <w:rsid w:val="006959EF"/>
    <w:rsid w:val="00695BA6"/>
    <w:rsid w:val="00695C52"/>
    <w:rsid w:val="00695C65"/>
    <w:rsid w:val="00695D8E"/>
    <w:rsid w:val="00695FCE"/>
    <w:rsid w:val="00696125"/>
    <w:rsid w:val="00696133"/>
    <w:rsid w:val="0069613C"/>
    <w:rsid w:val="00696264"/>
    <w:rsid w:val="006964CC"/>
    <w:rsid w:val="006965CE"/>
    <w:rsid w:val="00696B93"/>
    <w:rsid w:val="00696D31"/>
    <w:rsid w:val="00696DBE"/>
    <w:rsid w:val="00696DFE"/>
    <w:rsid w:val="00697057"/>
    <w:rsid w:val="0069758D"/>
    <w:rsid w:val="006977D9"/>
    <w:rsid w:val="00697A38"/>
    <w:rsid w:val="00697B75"/>
    <w:rsid w:val="00697D19"/>
    <w:rsid w:val="006A00DB"/>
    <w:rsid w:val="006A01D1"/>
    <w:rsid w:val="006A0335"/>
    <w:rsid w:val="006A03A6"/>
    <w:rsid w:val="006A047F"/>
    <w:rsid w:val="006A05A7"/>
    <w:rsid w:val="006A0643"/>
    <w:rsid w:val="006A0703"/>
    <w:rsid w:val="006A0802"/>
    <w:rsid w:val="006A0938"/>
    <w:rsid w:val="006A0E6F"/>
    <w:rsid w:val="006A0F0E"/>
    <w:rsid w:val="006A0F42"/>
    <w:rsid w:val="006A0F50"/>
    <w:rsid w:val="006A0F95"/>
    <w:rsid w:val="006A0FD0"/>
    <w:rsid w:val="006A1097"/>
    <w:rsid w:val="006A11C6"/>
    <w:rsid w:val="006A1211"/>
    <w:rsid w:val="006A1382"/>
    <w:rsid w:val="006A15CB"/>
    <w:rsid w:val="006A1747"/>
    <w:rsid w:val="006A1890"/>
    <w:rsid w:val="006A1A43"/>
    <w:rsid w:val="006A1BE7"/>
    <w:rsid w:val="006A1C1C"/>
    <w:rsid w:val="006A1F9A"/>
    <w:rsid w:val="006A2028"/>
    <w:rsid w:val="006A24C4"/>
    <w:rsid w:val="006A256E"/>
    <w:rsid w:val="006A28D8"/>
    <w:rsid w:val="006A2961"/>
    <w:rsid w:val="006A2996"/>
    <w:rsid w:val="006A29AF"/>
    <w:rsid w:val="006A2A7B"/>
    <w:rsid w:val="006A2AEE"/>
    <w:rsid w:val="006A2B3B"/>
    <w:rsid w:val="006A302E"/>
    <w:rsid w:val="006A30A8"/>
    <w:rsid w:val="006A30DB"/>
    <w:rsid w:val="006A347F"/>
    <w:rsid w:val="006A3616"/>
    <w:rsid w:val="006A36E8"/>
    <w:rsid w:val="006A37B7"/>
    <w:rsid w:val="006A38C7"/>
    <w:rsid w:val="006A39CF"/>
    <w:rsid w:val="006A3AC7"/>
    <w:rsid w:val="006A3AE0"/>
    <w:rsid w:val="006A3C63"/>
    <w:rsid w:val="006A3DA4"/>
    <w:rsid w:val="006A3E8D"/>
    <w:rsid w:val="006A3EB9"/>
    <w:rsid w:val="006A427C"/>
    <w:rsid w:val="006A496D"/>
    <w:rsid w:val="006A4A45"/>
    <w:rsid w:val="006A4C49"/>
    <w:rsid w:val="006A4E85"/>
    <w:rsid w:val="006A504E"/>
    <w:rsid w:val="006A508E"/>
    <w:rsid w:val="006A50FA"/>
    <w:rsid w:val="006A5172"/>
    <w:rsid w:val="006A51A6"/>
    <w:rsid w:val="006A53ED"/>
    <w:rsid w:val="006A54E2"/>
    <w:rsid w:val="006A55E8"/>
    <w:rsid w:val="006A58CB"/>
    <w:rsid w:val="006A58E7"/>
    <w:rsid w:val="006A59A9"/>
    <w:rsid w:val="006A5B1F"/>
    <w:rsid w:val="006A5F30"/>
    <w:rsid w:val="006A6169"/>
    <w:rsid w:val="006A62C9"/>
    <w:rsid w:val="006A63EA"/>
    <w:rsid w:val="006A6627"/>
    <w:rsid w:val="006A6653"/>
    <w:rsid w:val="006A684B"/>
    <w:rsid w:val="006A687A"/>
    <w:rsid w:val="006A6C8E"/>
    <w:rsid w:val="006A6CEB"/>
    <w:rsid w:val="006A6F4C"/>
    <w:rsid w:val="006A6F4E"/>
    <w:rsid w:val="006A704F"/>
    <w:rsid w:val="006A747A"/>
    <w:rsid w:val="006A7725"/>
    <w:rsid w:val="006A78AF"/>
    <w:rsid w:val="006A7970"/>
    <w:rsid w:val="006A7B7F"/>
    <w:rsid w:val="006A7C40"/>
    <w:rsid w:val="006B02AA"/>
    <w:rsid w:val="006B030F"/>
    <w:rsid w:val="006B0547"/>
    <w:rsid w:val="006B0C04"/>
    <w:rsid w:val="006B0C99"/>
    <w:rsid w:val="006B0D3B"/>
    <w:rsid w:val="006B0E4F"/>
    <w:rsid w:val="006B0F4A"/>
    <w:rsid w:val="006B0F64"/>
    <w:rsid w:val="006B0F73"/>
    <w:rsid w:val="006B1012"/>
    <w:rsid w:val="006B1266"/>
    <w:rsid w:val="006B12F5"/>
    <w:rsid w:val="006B154B"/>
    <w:rsid w:val="006B16B8"/>
    <w:rsid w:val="006B18BA"/>
    <w:rsid w:val="006B19DC"/>
    <w:rsid w:val="006B1B05"/>
    <w:rsid w:val="006B1D47"/>
    <w:rsid w:val="006B21A9"/>
    <w:rsid w:val="006B2213"/>
    <w:rsid w:val="006B222C"/>
    <w:rsid w:val="006B245E"/>
    <w:rsid w:val="006B25D7"/>
    <w:rsid w:val="006B26B4"/>
    <w:rsid w:val="006B28C0"/>
    <w:rsid w:val="006B293F"/>
    <w:rsid w:val="006B29B6"/>
    <w:rsid w:val="006B2B31"/>
    <w:rsid w:val="006B2E89"/>
    <w:rsid w:val="006B2EDB"/>
    <w:rsid w:val="006B3120"/>
    <w:rsid w:val="006B33D1"/>
    <w:rsid w:val="006B3745"/>
    <w:rsid w:val="006B3A28"/>
    <w:rsid w:val="006B41F2"/>
    <w:rsid w:val="006B43CE"/>
    <w:rsid w:val="006B43D7"/>
    <w:rsid w:val="006B44FC"/>
    <w:rsid w:val="006B46A3"/>
    <w:rsid w:val="006B47A2"/>
    <w:rsid w:val="006B49ED"/>
    <w:rsid w:val="006B4ABD"/>
    <w:rsid w:val="006B4B64"/>
    <w:rsid w:val="006B4C79"/>
    <w:rsid w:val="006B4DEF"/>
    <w:rsid w:val="006B4E33"/>
    <w:rsid w:val="006B524A"/>
    <w:rsid w:val="006B5838"/>
    <w:rsid w:val="006B5873"/>
    <w:rsid w:val="006B5A33"/>
    <w:rsid w:val="006B5A4B"/>
    <w:rsid w:val="006B5CE1"/>
    <w:rsid w:val="006B5D89"/>
    <w:rsid w:val="006B6037"/>
    <w:rsid w:val="006B603B"/>
    <w:rsid w:val="006B606C"/>
    <w:rsid w:val="006B615E"/>
    <w:rsid w:val="006B67BB"/>
    <w:rsid w:val="006B6BBB"/>
    <w:rsid w:val="006B6ED6"/>
    <w:rsid w:val="006B709C"/>
    <w:rsid w:val="006B70D4"/>
    <w:rsid w:val="006B72EB"/>
    <w:rsid w:val="006B73DC"/>
    <w:rsid w:val="006B7580"/>
    <w:rsid w:val="006B77F2"/>
    <w:rsid w:val="006B7B05"/>
    <w:rsid w:val="006B7E2D"/>
    <w:rsid w:val="006B7F17"/>
    <w:rsid w:val="006C0055"/>
    <w:rsid w:val="006C02FD"/>
    <w:rsid w:val="006C049C"/>
    <w:rsid w:val="006C06BA"/>
    <w:rsid w:val="006C0875"/>
    <w:rsid w:val="006C08B5"/>
    <w:rsid w:val="006C0CD4"/>
    <w:rsid w:val="006C1046"/>
    <w:rsid w:val="006C10DD"/>
    <w:rsid w:val="006C1155"/>
    <w:rsid w:val="006C135C"/>
    <w:rsid w:val="006C144C"/>
    <w:rsid w:val="006C145C"/>
    <w:rsid w:val="006C1559"/>
    <w:rsid w:val="006C15BE"/>
    <w:rsid w:val="006C161B"/>
    <w:rsid w:val="006C1D15"/>
    <w:rsid w:val="006C208C"/>
    <w:rsid w:val="006C21C3"/>
    <w:rsid w:val="006C2704"/>
    <w:rsid w:val="006C305D"/>
    <w:rsid w:val="006C30AD"/>
    <w:rsid w:val="006C33DF"/>
    <w:rsid w:val="006C3716"/>
    <w:rsid w:val="006C3AB1"/>
    <w:rsid w:val="006C3B1B"/>
    <w:rsid w:val="006C3C8E"/>
    <w:rsid w:val="006C3D9A"/>
    <w:rsid w:val="006C3DB3"/>
    <w:rsid w:val="006C3EFA"/>
    <w:rsid w:val="006C40A9"/>
    <w:rsid w:val="006C40FA"/>
    <w:rsid w:val="006C4126"/>
    <w:rsid w:val="006C43BA"/>
    <w:rsid w:val="006C44EE"/>
    <w:rsid w:val="006C46B2"/>
    <w:rsid w:val="006C472E"/>
    <w:rsid w:val="006C474B"/>
    <w:rsid w:val="006C49E0"/>
    <w:rsid w:val="006C4D23"/>
    <w:rsid w:val="006C4D80"/>
    <w:rsid w:val="006C517E"/>
    <w:rsid w:val="006C5303"/>
    <w:rsid w:val="006C53FC"/>
    <w:rsid w:val="006C58FB"/>
    <w:rsid w:val="006C5CFA"/>
    <w:rsid w:val="006C6039"/>
    <w:rsid w:val="006C64C7"/>
    <w:rsid w:val="006C6670"/>
    <w:rsid w:val="006C66B0"/>
    <w:rsid w:val="006C66DE"/>
    <w:rsid w:val="006C69CE"/>
    <w:rsid w:val="006C6ADE"/>
    <w:rsid w:val="006C6B30"/>
    <w:rsid w:val="006C6B70"/>
    <w:rsid w:val="006C6EE0"/>
    <w:rsid w:val="006C736C"/>
    <w:rsid w:val="006C7406"/>
    <w:rsid w:val="006C7781"/>
    <w:rsid w:val="006C77C2"/>
    <w:rsid w:val="006C7BAA"/>
    <w:rsid w:val="006C7C4C"/>
    <w:rsid w:val="006C7D4F"/>
    <w:rsid w:val="006C7EA6"/>
    <w:rsid w:val="006D0619"/>
    <w:rsid w:val="006D08E5"/>
    <w:rsid w:val="006D0D37"/>
    <w:rsid w:val="006D0F52"/>
    <w:rsid w:val="006D1279"/>
    <w:rsid w:val="006D1684"/>
    <w:rsid w:val="006D19CE"/>
    <w:rsid w:val="006D19F3"/>
    <w:rsid w:val="006D1DF8"/>
    <w:rsid w:val="006D1DFE"/>
    <w:rsid w:val="006D1EAA"/>
    <w:rsid w:val="006D1F84"/>
    <w:rsid w:val="006D205F"/>
    <w:rsid w:val="006D2518"/>
    <w:rsid w:val="006D253C"/>
    <w:rsid w:val="006D29C3"/>
    <w:rsid w:val="006D2E30"/>
    <w:rsid w:val="006D2FF6"/>
    <w:rsid w:val="006D316E"/>
    <w:rsid w:val="006D34A0"/>
    <w:rsid w:val="006D351F"/>
    <w:rsid w:val="006D357A"/>
    <w:rsid w:val="006D35CC"/>
    <w:rsid w:val="006D3888"/>
    <w:rsid w:val="006D3AC1"/>
    <w:rsid w:val="006D3C2F"/>
    <w:rsid w:val="006D3EAE"/>
    <w:rsid w:val="006D402D"/>
    <w:rsid w:val="006D4409"/>
    <w:rsid w:val="006D44AA"/>
    <w:rsid w:val="006D4643"/>
    <w:rsid w:val="006D48AC"/>
    <w:rsid w:val="006D4CAC"/>
    <w:rsid w:val="006D4DFB"/>
    <w:rsid w:val="006D51DD"/>
    <w:rsid w:val="006D54B5"/>
    <w:rsid w:val="006D5555"/>
    <w:rsid w:val="006D5558"/>
    <w:rsid w:val="006D5A10"/>
    <w:rsid w:val="006D5A65"/>
    <w:rsid w:val="006D5DC6"/>
    <w:rsid w:val="006D6079"/>
    <w:rsid w:val="006D62A5"/>
    <w:rsid w:val="006D6526"/>
    <w:rsid w:val="006D6627"/>
    <w:rsid w:val="006D6E69"/>
    <w:rsid w:val="006D6ED3"/>
    <w:rsid w:val="006D6F13"/>
    <w:rsid w:val="006D76D1"/>
    <w:rsid w:val="006D7846"/>
    <w:rsid w:val="006D786F"/>
    <w:rsid w:val="006D78BC"/>
    <w:rsid w:val="006D7984"/>
    <w:rsid w:val="006D7B05"/>
    <w:rsid w:val="006D7C41"/>
    <w:rsid w:val="006D7C52"/>
    <w:rsid w:val="006D7DC7"/>
    <w:rsid w:val="006E003B"/>
    <w:rsid w:val="006E05DE"/>
    <w:rsid w:val="006E076A"/>
    <w:rsid w:val="006E0943"/>
    <w:rsid w:val="006E0A50"/>
    <w:rsid w:val="006E0E01"/>
    <w:rsid w:val="006E1033"/>
    <w:rsid w:val="006E1046"/>
    <w:rsid w:val="006E144E"/>
    <w:rsid w:val="006E14FA"/>
    <w:rsid w:val="006E1864"/>
    <w:rsid w:val="006E18BF"/>
    <w:rsid w:val="006E1A9E"/>
    <w:rsid w:val="006E1C04"/>
    <w:rsid w:val="006E1E18"/>
    <w:rsid w:val="006E1FD5"/>
    <w:rsid w:val="006E21AE"/>
    <w:rsid w:val="006E22A5"/>
    <w:rsid w:val="006E25D0"/>
    <w:rsid w:val="006E26B0"/>
    <w:rsid w:val="006E29DF"/>
    <w:rsid w:val="006E2DD2"/>
    <w:rsid w:val="006E2F8A"/>
    <w:rsid w:val="006E3083"/>
    <w:rsid w:val="006E33D8"/>
    <w:rsid w:val="006E3431"/>
    <w:rsid w:val="006E359E"/>
    <w:rsid w:val="006E37F3"/>
    <w:rsid w:val="006E384C"/>
    <w:rsid w:val="006E3BF1"/>
    <w:rsid w:val="006E3DDE"/>
    <w:rsid w:val="006E3E5F"/>
    <w:rsid w:val="006E3EEC"/>
    <w:rsid w:val="006E3FAD"/>
    <w:rsid w:val="006E41DA"/>
    <w:rsid w:val="006E42A8"/>
    <w:rsid w:val="006E4528"/>
    <w:rsid w:val="006E4561"/>
    <w:rsid w:val="006E45FE"/>
    <w:rsid w:val="006E4C22"/>
    <w:rsid w:val="006E4D43"/>
    <w:rsid w:val="006E4F6F"/>
    <w:rsid w:val="006E5051"/>
    <w:rsid w:val="006E50C8"/>
    <w:rsid w:val="006E51ED"/>
    <w:rsid w:val="006E5299"/>
    <w:rsid w:val="006E58E4"/>
    <w:rsid w:val="006E5AD3"/>
    <w:rsid w:val="006E5C4B"/>
    <w:rsid w:val="006E5C4C"/>
    <w:rsid w:val="006E5F06"/>
    <w:rsid w:val="006E5F3B"/>
    <w:rsid w:val="006E655A"/>
    <w:rsid w:val="006E665C"/>
    <w:rsid w:val="006E6682"/>
    <w:rsid w:val="006E66AC"/>
    <w:rsid w:val="006E6749"/>
    <w:rsid w:val="006E6784"/>
    <w:rsid w:val="006E6807"/>
    <w:rsid w:val="006E6A3F"/>
    <w:rsid w:val="006E6B97"/>
    <w:rsid w:val="006E6BE3"/>
    <w:rsid w:val="006E6CD4"/>
    <w:rsid w:val="006E6E17"/>
    <w:rsid w:val="006E7178"/>
    <w:rsid w:val="006E7576"/>
    <w:rsid w:val="006E7619"/>
    <w:rsid w:val="006E7654"/>
    <w:rsid w:val="006E76DE"/>
    <w:rsid w:val="006E7700"/>
    <w:rsid w:val="006E798E"/>
    <w:rsid w:val="006E7AC3"/>
    <w:rsid w:val="006E7E62"/>
    <w:rsid w:val="006E7E7A"/>
    <w:rsid w:val="006F03D8"/>
    <w:rsid w:val="006F046B"/>
    <w:rsid w:val="006F050E"/>
    <w:rsid w:val="006F0543"/>
    <w:rsid w:val="006F06B4"/>
    <w:rsid w:val="006F06C4"/>
    <w:rsid w:val="006F07DF"/>
    <w:rsid w:val="006F07E1"/>
    <w:rsid w:val="006F0B5E"/>
    <w:rsid w:val="006F10BA"/>
    <w:rsid w:val="006F123D"/>
    <w:rsid w:val="006F1270"/>
    <w:rsid w:val="006F1542"/>
    <w:rsid w:val="006F1C0F"/>
    <w:rsid w:val="006F1E16"/>
    <w:rsid w:val="006F1F50"/>
    <w:rsid w:val="006F1F86"/>
    <w:rsid w:val="006F215C"/>
    <w:rsid w:val="006F2519"/>
    <w:rsid w:val="006F2779"/>
    <w:rsid w:val="006F27F4"/>
    <w:rsid w:val="006F2BE1"/>
    <w:rsid w:val="006F2DF7"/>
    <w:rsid w:val="006F314D"/>
    <w:rsid w:val="006F37BF"/>
    <w:rsid w:val="006F3A10"/>
    <w:rsid w:val="006F3C78"/>
    <w:rsid w:val="006F3E7E"/>
    <w:rsid w:val="006F3EFF"/>
    <w:rsid w:val="006F427B"/>
    <w:rsid w:val="006F432F"/>
    <w:rsid w:val="006F46FC"/>
    <w:rsid w:val="006F48BE"/>
    <w:rsid w:val="006F48C8"/>
    <w:rsid w:val="006F48F0"/>
    <w:rsid w:val="006F4C18"/>
    <w:rsid w:val="006F4CDA"/>
    <w:rsid w:val="006F4FEC"/>
    <w:rsid w:val="006F5189"/>
    <w:rsid w:val="006F540B"/>
    <w:rsid w:val="006F5473"/>
    <w:rsid w:val="006F54F6"/>
    <w:rsid w:val="006F559F"/>
    <w:rsid w:val="006F5848"/>
    <w:rsid w:val="006F5D6D"/>
    <w:rsid w:val="006F5EDA"/>
    <w:rsid w:val="006F6007"/>
    <w:rsid w:val="006F6102"/>
    <w:rsid w:val="006F6244"/>
    <w:rsid w:val="006F62C0"/>
    <w:rsid w:val="006F62CF"/>
    <w:rsid w:val="006F6892"/>
    <w:rsid w:val="006F6A56"/>
    <w:rsid w:val="006F6D66"/>
    <w:rsid w:val="006F6D8A"/>
    <w:rsid w:val="006F6E92"/>
    <w:rsid w:val="006F6FF8"/>
    <w:rsid w:val="006F7007"/>
    <w:rsid w:val="006F7087"/>
    <w:rsid w:val="006F7131"/>
    <w:rsid w:val="006F7701"/>
    <w:rsid w:val="006F77EB"/>
    <w:rsid w:val="006F7898"/>
    <w:rsid w:val="006F7B54"/>
    <w:rsid w:val="006F7D3E"/>
    <w:rsid w:val="006F7DBA"/>
    <w:rsid w:val="006F7DC9"/>
    <w:rsid w:val="006F7E97"/>
    <w:rsid w:val="00700103"/>
    <w:rsid w:val="0070019C"/>
    <w:rsid w:val="0070030B"/>
    <w:rsid w:val="00700609"/>
    <w:rsid w:val="00700639"/>
    <w:rsid w:val="0070079F"/>
    <w:rsid w:val="00700947"/>
    <w:rsid w:val="0070097E"/>
    <w:rsid w:val="00700994"/>
    <w:rsid w:val="007009C0"/>
    <w:rsid w:val="00700B06"/>
    <w:rsid w:val="00700B3C"/>
    <w:rsid w:val="00700DBB"/>
    <w:rsid w:val="007011F7"/>
    <w:rsid w:val="0070128E"/>
    <w:rsid w:val="007012F6"/>
    <w:rsid w:val="007013D1"/>
    <w:rsid w:val="00701755"/>
    <w:rsid w:val="00701822"/>
    <w:rsid w:val="00701BEF"/>
    <w:rsid w:val="0070212E"/>
    <w:rsid w:val="0070234D"/>
    <w:rsid w:val="007023F0"/>
    <w:rsid w:val="00702528"/>
    <w:rsid w:val="00702751"/>
    <w:rsid w:val="00702778"/>
    <w:rsid w:val="007027C2"/>
    <w:rsid w:val="0070286D"/>
    <w:rsid w:val="00702ED9"/>
    <w:rsid w:val="00702EDE"/>
    <w:rsid w:val="0070325E"/>
    <w:rsid w:val="0070348F"/>
    <w:rsid w:val="00703561"/>
    <w:rsid w:val="0070381C"/>
    <w:rsid w:val="0070389E"/>
    <w:rsid w:val="00703A57"/>
    <w:rsid w:val="00703BEA"/>
    <w:rsid w:val="00703CB1"/>
    <w:rsid w:val="00703DB6"/>
    <w:rsid w:val="00703F72"/>
    <w:rsid w:val="00704031"/>
    <w:rsid w:val="007040EC"/>
    <w:rsid w:val="00704475"/>
    <w:rsid w:val="0070448C"/>
    <w:rsid w:val="00704576"/>
    <w:rsid w:val="0070459D"/>
    <w:rsid w:val="0070480A"/>
    <w:rsid w:val="007048F6"/>
    <w:rsid w:val="00704965"/>
    <w:rsid w:val="007049DB"/>
    <w:rsid w:val="00704CDE"/>
    <w:rsid w:val="00704F1F"/>
    <w:rsid w:val="00704F5B"/>
    <w:rsid w:val="007050E6"/>
    <w:rsid w:val="0070526A"/>
    <w:rsid w:val="00705351"/>
    <w:rsid w:val="007053C3"/>
    <w:rsid w:val="00705409"/>
    <w:rsid w:val="007055C5"/>
    <w:rsid w:val="00705BAC"/>
    <w:rsid w:val="00705D0F"/>
    <w:rsid w:val="00705DCE"/>
    <w:rsid w:val="0070601F"/>
    <w:rsid w:val="0070622D"/>
    <w:rsid w:val="0070632C"/>
    <w:rsid w:val="0070662D"/>
    <w:rsid w:val="0070672E"/>
    <w:rsid w:val="007069B3"/>
    <w:rsid w:val="00706B3F"/>
    <w:rsid w:val="00706C3E"/>
    <w:rsid w:val="00706C8A"/>
    <w:rsid w:val="00706DCB"/>
    <w:rsid w:val="0070722D"/>
    <w:rsid w:val="00707313"/>
    <w:rsid w:val="00707784"/>
    <w:rsid w:val="007078F6"/>
    <w:rsid w:val="00707998"/>
    <w:rsid w:val="00707A8C"/>
    <w:rsid w:val="00707C6E"/>
    <w:rsid w:val="00707D38"/>
    <w:rsid w:val="00707EC6"/>
    <w:rsid w:val="00707FD7"/>
    <w:rsid w:val="00707FDD"/>
    <w:rsid w:val="00707FDE"/>
    <w:rsid w:val="00710078"/>
    <w:rsid w:val="007101DD"/>
    <w:rsid w:val="00710581"/>
    <w:rsid w:val="007106C0"/>
    <w:rsid w:val="00710783"/>
    <w:rsid w:val="007108AB"/>
    <w:rsid w:val="00710C5F"/>
    <w:rsid w:val="00710E7E"/>
    <w:rsid w:val="00710EC3"/>
    <w:rsid w:val="00710F69"/>
    <w:rsid w:val="007110D8"/>
    <w:rsid w:val="007111A2"/>
    <w:rsid w:val="007111E8"/>
    <w:rsid w:val="0071153F"/>
    <w:rsid w:val="00711969"/>
    <w:rsid w:val="007119A2"/>
    <w:rsid w:val="00711AFF"/>
    <w:rsid w:val="00711B7C"/>
    <w:rsid w:val="007120A6"/>
    <w:rsid w:val="0071225B"/>
    <w:rsid w:val="0071255B"/>
    <w:rsid w:val="00712573"/>
    <w:rsid w:val="007127FB"/>
    <w:rsid w:val="00712876"/>
    <w:rsid w:val="00712B9D"/>
    <w:rsid w:val="00712D50"/>
    <w:rsid w:val="00712E33"/>
    <w:rsid w:val="00713137"/>
    <w:rsid w:val="007134D7"/>
    <w:rsid w:val="00713619"/>
    <w:rsid w:val="007136A4"/>
    <w:rsid w:val="00713736"/>
    <w:rsid w:val="00713770"/>
    <w:rsid w:val="00713773"/>
    <w:rsid w:val="00713F62"/>
    <w:rsid w:val="00713F97"/>
    <w:rsid w:val="0071412B"/>
    <w:rsid w:val="0071421D"/>
    <w:rsid w:val="00714221"/>
    <w:rsid w:val="00714302"/>
    <w:rsid w:val="007143AA"/>
    <w:rsid w:val="0071459B"/>
    <w:rsid w:val="007145ED"/>
    <w:rsid w:val="00714876"/>
    <w:rsid w:val="0071497A"/>
    <w:rsid w:val="007154F7"/>
    <w:rsid w:val="00715534"/>
    <w:rsid w:val="0071555F"/>
    <w:rsid w:val="00715A19"/>
    <w:rsid w:val="00715ABD"/>
    <w:rsid w:val="00715EF3"/>
    <w:rsid w:val="007163B0"/>
    <w:rsid w:val="007166A5"/>
    <w:rsid w:val="00716D23"/>
    <w:rsid w:val="00716E40"/>
    <w:rsid w:val="00716F79"/>
    <w:rsid w:val="00716FD2"/>
    <w:rsid w:val="00717231"/>
    <w:rsid w:val="0071760A"/>
    <w:rsid w:val="0071772A"/>
    <w:rsid w:val="00717B07"/>
    <w:rsid w:val="007200FB"/>
    <w:rsid w:val="0072038E"/>
    <w:rsid w:val="0072072A"/>
    <w:rsid w:val="007208D2"/>
    <w:rsid w:val="00720B42"/>
    <w:rsid w:val="00720B88"/>
    <w:rsid w:val="00720F23"/>
    <w:rsid w:val="00720F2B"/>
    <w:rsid w:val="00721015"/>
    <w:rsid w:val="00721844"/>
    <w:rsid w:val="00721C59"/>
    <w:rsid w:val="0072211E"/>
    <w:rsid w:val="00722184"/>
    <w:rsid w:val="0072238A"/>
    <w:rsid w:val="00722404"/>
    <w:rsid w:val="00722556"/>
    <w:rsid w:val="00722678"/>
    <w:rsid w:val="00722682"/>
    <w:rsid w:val="007226AF"/>
    <w:rsid w:val="00722704"/>
    <w:rsid w:val="00722A1B"/>
    <w:rsid w:val="00722C38"/>
    <w:rsid w:val="00722EEE"/>
    <w:rsid w:val="0072314B"/>
    <w:rsid w:val="007231FF"/>
    <w:rsid w:val="00723237"/>
    <w:rsid w:val="007233B3"/>
    <w:rsid w:val="00723483"/>
    <w:rsid w:val="0072349D"/>
    <w:rsid w:val="00723557"/>
    <w:rsid w:val="007236C6"/>
    <w:rsid w:val="00723D5A"/>
    <w:rsid w:val="00723F41"/>
    <w:rsid w:val="00723F4C"/>
    <w:rsid w:val="0072406C"/>
    <w:rsid w:val="0072417B"/>
    <w:rsid w:val="00724203"/>
    <w:rsid w:val="007242A4"/>
    <w:rsid w:val="00724324"/>
    <w:rsid w:val="00724510"/>
    <w:rsid w:val="007245E0"/>
    <w:rsid w:val="00724ACB"/>
    <w:rsid w:val="00724BA3"/>
    <w:rsid w:val="00724C9C"/>
    <w:rsid w:val="007250AD"/>
    <w:rsid w:val="0072566A"/>
    <w:rsid w:val="00725A38"/>
    <w:rsid w:val="00725BE1"/>
    <w:rsid w:val="00725BEF"/>
    <w:rsid w:val="00725FBF"/>
    <w:rsid w:val="007261BD"/>
    <w:rsid w:val="007264A1"/>
    <w:rsid w:val="00726718"/>
    <w:rsid w:val="00726F7C"/>
    <w:rsid w:val="0072714E"/>
    <w:rsid w:val="00727263"/>
    <w:rsid w:val="007273CA"/>
    <w:rsid w:val="0072765A"/>
    <w:rsid w:val="0072775F"/>
    <w:rsid w:val="00727823"/>
    <w:rsid w:val="007278F4"/>
    <w:rsid w:val="00727C01"/>
    <w:rsid w:val="007300D6"/>
    <w:rsid w:val="00730316"/>
    <w:rsid w:val="00730578"/>
    <w:rsid w:val="00730C1F"/>
    <w:rsid w:val="00730FD1"/>
    <w:rsid w:val="00731135"/>
    <w:rsid w:val="007314FC"/>
    <w:rsid w:val="00731931"/>
    <w:rsid w:val="00731E21"/>
    <w:rsid w:val="007321BD"/>
    <w:rsid w:val="00732762"/>
    <w:rsid w:val="007328B5"/>
    <w:rsid w:val="00732921"/>
    <w:rsid w:val="00732C14"/>
    <w:rsid w:val="00732E7C"/>
    <w:rsid w:val="00732ED1"/>
    <w:rsid w:val="0073369E"/>
    <w:rsid w:val="00733872"/>
    <w:rsid w:val="00733986"/>
    <w:rsid w:val="00733A01"/>
    <w:rsid w:val="007344B6"/>
    <w:rsid w:val="007345F2"/>
    <w:rsid w:val="00734953"/>
    <w:rsid w:val="00734E9F"/>
    <w:rsid w:val="00734EFF"/>
    <w:rsid w:val="00735295"/>
    <w:rsid w:val="007352AA"/>
    <w:rsid w:val="007352CD"/>
    <w:rsid w:val="007353F8"/>
    <w:rsid w:val="007354CB"/>
    <w:rsid w:val="00735AC1"/>
    <w:rsid w:val="00735DEA"/>
    <w:rsid w:val="00735DF8"/>
    <w:rsid w:val="00735EEA"/>
    <w:rsid w:val="00736016"/>
    <w:rsid w:val="0073653C"/>
    <w:rsid w:val="007366AF"/>
    <w:rsid w:val="0073677A"/>
    <w:rsid w:val="007369DC"/>
    <w:rsid w:val="00736B21"/>
    <w:rsid w:val="00736C9F"/>
    <w:rsid w:val="00736D78"/>
    <w:rsid w:val="00736D7C"/>
    <w:rsid w:val="00736D9D"/>
    <w:rsid w:val="00736DEA"/>
    <w:rsid w:val="00736E6A"/>
    <w:rsid w:val="0073712D"/>
    <w:rsid w:val="00737207"/>
    <w:rsid w:val="00737208"/>
    <w:rsid w:val="00737229"/>
    <w:rsid w:val="007372C0"/>
    <w:rsid w:val="0073742C"/>
    <w:rsid w:val="00737459"/>
    <w:rsid w:val="007376BA"/>
    <w:rsid w:val="007376EB"/>
    <w:rsid w:val="00737777"/>
    <w:rsid w:val="00737C4C"/>
    <w:rsid w:val="00737C6B"/>
    <w:rsid w:val="00737CF3"/>
    <w:rsid w:val="00737DF9"/>
    <w:rsid w:val="00737F45"/>
    <w:rsid w:val="00740224"/>
    <w:rsid w:val="0074056D"/>
    <w:rsid w:val="0074075E"/>
    <w:rsid w:val="007407D4"/>
    <w:rsid w:val="007407F6"/>
    <w:rsid w:val="00740929"/>
    <w:rsid w:val="00740A92"/>
    <w:rsid w:val="00740B3A"/>
    <w:rsid w:val="00740F05"/>
    <w:rsid w:val="007412D3"/>
    <w:rsid w:val="0074133C"/>
    <w:rsid w:val="0074137E"/>
    <w:rsid w:val="00741696"/>
    <w:rsid w:val="0074193E"/>
    <w:rsid w:val="00741A1C"/>
    <w:rsid w:val="00741D90"/>
    <w:rsid w:val="00741EBC"/>
    <w:rsid w:val="00741F77"/>
    <w:rsid w:val="00742062"/>
    <w:rsid w:val="007420AD"/>
    <w:rsid w:val="007421B9"/>
    <w:rsid w:val="00742269"/>
    <w:rsid w:val="0074263E"/>
    <w:rsid w:val="00742860"/>
    <w:rsid w:val="00742CCB"/>
    <w:rsid w:val="00742D85"/>
    <w:rsid w:val="00743056"/>
    <w:rsid w:val="007431C8"/>
    <w:rsid w:val="0074381E"/>
    <w:rsid w:val="00743D7F"/>
    <w:rsid w:val="00743E64"/>
    <w:rsid w:val="00744018"/>
    <w:rsid w:val="00744568"/>
    <w:rsid w:val="00744733"/>
    <w:rsid w:val="00744931"/>
    <w:rsid w:val="00744AEE"/>
    <w:rsid w:val="00744B78"/>
    <w:rsid w:val="00744EEC"/>
    <w:rsid w:val="00745068"/>
    <w:rsid w:val="0074508F"/>
    <w:rsid w:val="007456BB"/>
    <w:rsid w:val="00745964"/>
    <w:rsid w:val="00745C5E"/>
    <w:rsid w:val="00745C94"/>
    <w:rsid w:val="00745CC7"/>
    <w:rsid w:val="00745F3A"/>
    <w:rsid w:val="00746133"/>
    <w:rsid w:val="00746252"/>
    <w:rsid w:val="0074633E"/>
    <w:rsid w:val="00746475"/>
    <w:rsid w:val="00746974"/>
    <w:rsid w:val="00746A8F"/>
    <w:rsid w:val="00746E1A"/>
    <w:rsid w:val="00746F64"/>
    <w:rsid w:val="00746FAC"/>
    <w:rsid w:val="00746FB0"/>
    <w:rsid w:val="00747094"/>
    <w:rsid w:val="007470C0"/>
    <w:rsid w:val="0074740C"/>
    <w:rsid w:val="0074757C"/>
    <w:rsid w:val="00747904"/>
    <w:rsid w:val="0074794D"/>
    <w:rsid w:val="00747981"/>
    <w:rsid w:val="00747A65"/>
    <w:rsid w:val="00747ADD"/>
    <w:rsid w:val="00747E35"/>
    <w:rsid w:val="00750074"/>
    <w:rsid w:val="00750234"/>
    <w:rsid w:val="0075031C"/>
    <w:rsid w:val="00750490"/>
    <w:rsid w:val="00750635"/>
    <w:rsid w:val="007506A0"/>
    <w:rsid w:val="00750709"/>
    <w:rsid w:val="00750C12"/>
    <w:rsid w:val="00750D62"/>
    <w:rsid w:val="00750E74"/>
    <w:rsid w:val="00750F07"/>
    <w:rsid w:val="00750F4C"/>
    <w:rsid w:val="007510B7"/>
    <w:rsid w:val="00751130"/>
    <w:rsid w:val="00751333"/>
    <w:rsid w:val="007515BF"/>
    <w:rsid w:val="0075175E"/>
    <w:rsid w:val="007517B5"/>
    <w:rsid w:val="007519C8"/>
    <w:rsid w:val="00751A7D"/>
    <w:rsid w:val="00751B6A"/>
    <w:rsid w:val="00751BC3"/>
    <w:rsid w:val="00751C04"/>
    <w:rsid w:val="00751D5C"/>
    <w:rsid w:val="00751DCD"/>
    <w:rsid w:val="00752008"/>
    <w:rsid w:val="00752088"/>
    <w:rsid w:val="00752149"/>
    <w:rsid w:val="00752236"/>
    <w:rsid w:val="007522A6"/>
    <w:rsid w:val="007526B2"/>
    <w:rsid w:val="007527DA"/>
    <w:rsid w:val="007528BF"/>
    <w:rsid w:val="007529B0"/>
    <w:rsid w:val="00752BA9"/>
    <w:rsid w:val="00752CAD"/>
    <w:rsid w:val="00752CEC"/>
    <w:rsid w:val="0075305E"/>
    <w:rsid w:val="007532B0"/>
    <w:rsid w:val="007536A5"/>
    <w:rsid w:val="007538B1"/>
    <w:rsid w:val="00753AB7"/>
    <w:rsid w:val="00753AC9"/>
    <w:rsid w:val="00753BC8"/>
    <w:rsid w:val="00753E3B"/>
    <w:rsid w:val="00753E40"/>
    <w:rsid w:val="00753F72"/>
    <w:rsid w:val="00754172"/>
    <w:rsid w:val="007541F0"/>
    <w:rsid w:val="00754636"/>
    <w:rsid w:val="0075485B"/>
    <w:rsid w:val="0075485D"/>
    <w:rsid w:val="00754F06"/>
    <w:rsid w:val="007550F7"/>
    <w:rsid w:val="007557F5"/>
    <w:rsid w:val="00755874"/>
    <w:rsid w:val="00755A85"/>
    <w:rsid w:val="00755AA7"/>
    <w:rsid w:val="00755B0E"/>
    <w:rsid w:val="00755BAA"/>
    <w:rsid w:val="00755E2D"/>
    <w:rsid w:val="00756085"/>
    <w:rsid w:val="00756154"/>
    <w:rsid w:val="0075630F"/>
    <w:rsid w:val="007564D9"/>
    <w:rsid w:val="0075663A"/>
    <w:rsid w:val="00756831"/>
    <w:rsid w:val="0075691F"/>
    <w:rsid w:val="00756D5A"/>
    <w:rsid w:val="00756DCB"/>
    <w:rsid w:val="00756DEC"/>
    <w:rsid w:val="0075706E"/>
    <w:rsid w:val="0075737D"/>
    <w:rsid w:val="00757589"/>
    <w:rsid w:val="007575B2"/>
    <w:rsid w:val="00757CF8"/>
    <w:rsid w:val="00757D74"/>
    <w:rsid w:val="00757DE2"/>
    <w:rsid w:val="00757FBB"/>
    <w:rsid w:val="0076001A"/>
    <w:rsid w:val="0076004B"/>
    <w:rsid w:val="007600CA"/>
    <w:rsid w:val="007601B0"/>
    <w:rsid w:val="007607D7"/>
    <w:rsid w:val="00760900"/>
    <w:rsid w:val="00760AEE"/>
    <w:rsid w:val="00760FDD"/>
    <w:rsid w:val="00761014"/>
    <w:rsid w:val="00761161"/>
    <w:rsid w:val="00761195"/>
    <w:rsid w:val="007613C0"/>
    <w:rsid w:val="00761415"/>
    <w:rsid w:val="0076141C"/>
    <w:rsid w:val="00761640"/>
    <w:rsid w:val="00761791"/>
    <w:rsid w:val="00761815"/>
    <w:rsid w:val="00761C26"/>
    <w:rsid w:val="00761DA2"/>
    <w:rsid w:val="00761EDB"/>
    <w:rsid w:val="00761EE4"/>
    <w:rsid w:val="007622A3"/>
    <w:rsid w:val="007625F1"/>
    <w:rsid w:val="00762735"/>
    <w:rsid w:val="00762E0F"/>
    <w:rsid w:val="00762F9C"/>
    <w:rsid w:val="00762FB3"/>
    <w:rsid w:val="007630A1"/>
    <w:rsid w:val="00763125"/>
    <w:rsid w:val="007632CB"/>
    <w:rsid w:val="0076337F"/>
    <w:rsid w:val="0076356E"/>
    <w:rsid w:val="007636C3"/>
    <w:rsid w:val="007637E2"/>
    <w:rsid w:val="00763A58"/>
    <w:rsid w:val="00763A6C"/>
    <w:rsid w:val="007646B8"/>
    <w:rsid w:val="007646DF"/>
    <w:rsid w:val="00764814"/>
    <w:rsid w:val="00764C28"/>
    <w:rsid w:val="00764D20"/>
    <w:rsid w:val="00765296"/>
    <w:rsid w:val="007653BB"/>
    <w:rsid w:val="007653D3"/>
    <w:rsid w:val="007654C1"/>
    <w:rsid w:val="0076563C"/>
    <w:rsid w:val="00765BA5"/>
    <w:rsid w:val="00765C25"/>
    <w:rsid w:val="00765CA4"/>
    <w:rsid w:val="00766102"/>
    <w:rsid w:val="007661BA"/>
    <w:rsid w:val="00766327"/>
    <w:rsid w:val="00766639"/>
    <w:rsid w:val="00766A57"/>
    <w:rsid w:val="00766BB2"/>
    <w:rsid w:val="00766E97"/>
    <w:rsid w:val="00766F0D"/>
    <w:rsid w:val="007670A8"/>
    <w:rsid w:val="00767104"/>
    <w:rsid w:val="007671EE"/>
    <w:rsid w:val="007675E5"/>
    <w:rsid w:val="0076794E"/>
    <w:rsid w:val="00767B80"/>
    <w:rsid w:val="00767BEA"/>
    <w:rsid w:val="00767C64"/>
    <w:rsid w:val="00767CB6"/>
    <w:rsid w:val="00767EC5"/>
    <w:rsid w:val="00770553"/>
    <w:rsid w:val="00770732"/>
    <w:rsid w:val="0077091E"/>
    <w:rsid w:val="00770E4C"/>
    <w:rsid w:val="00770F69"/>
    <w:rsid w:val="0077103D"/>
    <w:rsid w:val="00771111"/>
    <w:rsid w:val="007712D1"/>
    <w:rsid w:val="00771330"/>
    <w:rsid w:val="00771411"/>
    <w:rsid w:val="00771730"/>
    <w:rsid w:val="00771975"/>
    <w:rsid w:val="00771A93"/>
    <w:rsid w:val="00771AE6"/>
    <w:rsid w:val="00771C6D"/>
    <w:rsid w:val="00771E8A"/>
    <w:rsid w:val="00771EA9"/>
    <w:rsid w:val="00771F38"/>
    <w:rsid w:val="0077242F"/>
    <w:rsid w:val="007725C5"/>
    <w:rsid w:val="0077262B"/>
    <w:rsid w:val="00772D6B"/>
    <w:rsid w:val="00773402"/>
    <w:rsid w:val="00773517"/>
    <w:rsid w:val="007736C0"/>
    <w:rsid w:val="007736D3"/>
    <w:rsid w:val="00773963"/>
    <w:rsid w:val="00773AE5"/>
    <w:rsid w:val="00773B36"/>
    <w:rsid w:val="0077443A"/>
    <w:rsid w:val="007744DD"/>
    <w:rsid w:val="00774514"/>
    <w:rsid w:val="00774629"/>
    <w:rsid w:val="00774745"/>
    <w:rsid w:val="007749CB"/>
    <w:rsid w:val="00774B0F"/>
    <w:rsid w:val="00774C81"/>
    <w:rsid w:val="00774D75"/>
    <w:rsid w:val="00774FBA"/>
    <w:rsid w:val="00774FF9"/>
    <w:rsid w:val="0077514E"/>
    <w:rsid w:val="0077542A"/>
    <w:rsid w:val="0077548B"/>
    <w:rsid w:val="0077549C"/>
    <w:rsid w:val="007755D6"/>
    <w:rsid w:val="00775697"/>
    <w:rsid w:val="0077570F"/>
    <w:rsid w:val="00775B1B"/>
    <w:rsid w:val="00775BF9"/>
    <w:rsid w:val="00775D4B"/>
    <w:rsid w:val="00775DD3"/>
    <w:rsid w:val="0077665A"/>
    <w:rsid w:val="0077696F"/>
    <w:rsid w:val="00776B14"/>
    <w:rsid w:val="00776C67"/>
    <w:rsid w:val="00776FCF"/>
    <w:rsid w:val="00777103"/>
    <w:rsid w:val="00777149"/>
    <w:rsid w:val="00777447"/>
    <w:rsid w:val="0077780D"/>
    <w:rsid w:val="00777E3B"/>
    <w:rsid w:val="0078000E"/>
    <w:rsid w:val="007800A1"/>
    <w:rsid w:val="00780613"/>
    <w:rsid w:val="00780646"/>
    <w:rsid w:val="007806D3"/>
    <w:rsid w:val="00780A7A"/>
    <w:rsid w:val="00780BCD"/>
    <w:rsid w:val="00780C47"/>
    <w:rsid w:val="00780F69"/>
    <w:rsid w:val="00781099"/>
    <w:rsid w:val="007810BA"/>
    <w:rsid w:val="007813B4"/>
    <w:rsid w:val="00781547"/>
    <w:rsid w:val="00781584"/>
    <w:rsid w:val="007816AE"/>
    <w:rsid w:val="007817E3"/>
    <w:rsid w:val="00781ACF"/>
    <w:rsid w:val="00781AFD"/>
    <w:rsid w:val="00781B5D"/>
    <w:rsid w:val="00781C0F"/>
    <w:rsid w:val="00781D72"/>
    <w:rsid w:val="00781E18"/>
    <w:rsid w:val="0078207C"/>
    <w:rsid w:val="007820C8"/>
    <w:rsid w:val="00782113"/>
    <w:rsid w:val="00782132"/>
    <w:rsid w:val="0078219C"/>
    <w:rsid w:val="00782446"/>
    <w:rsid w:val="0078247F"/>
    <w:rsid w:val="00782579"/>
    <w:rsid w:val="007827B1"/>
    <w:rsid w:val="00782835"/>
    <w:rsid w:val="00782C96"/>
    <w:rsid w:val="00782D11"/>
    <w:rsid w:val="00782E6B"/>
    <w:rsid w:val="00782EFC"/>
    <w:rsid w:val="00783196"/>
    <w:rsid w:val="007833C0"/>
    <w:rsid w:val="007837DA"/>
    <w:rsid w:val="00784190"/>
    <w:rsid w:val="00784621"/>
    <w:rsid w:val="007848F9"/>
    <w:rsid w:val="0078491D"/>
    <w:rsid w:val="0078494E"/>
    <w:rsid w:val="00784BAA"/>
    <w:rsid w:val="00784C06"/>
    <w:rsid w:val="00784C31"/>
    <w:rsid w:val="00784D7E"/>
    <w:rsid w:val="00784D84"/>
    <w:rsid w:val="00784F64"/>
    <w:rsid w:val="0078501C"/>
    <w:rsid w:val="00785132"/>
    <w:rsid w:val="00785141"/>
    <w:rsid w:val="007856AD"/>
    <w:rsid w:val="0078572D"/>
    <w:rsid w:val="00785861"/>
    <w:rsid w:val="00785905"/>
    <w:rsid w:val="00785959"/>
    <w:rsid w:val="00785C1F"/>
    <w:rsid w:val="00785DF3"/>
    <w:rsid w:val="00785F3C"/>
    <w:rsid w:val="00785F48"/>
    <w:rsid w:val="0078615F"/>
    <w:rsid w:val="0078674D"/>
    <w:rsid w:val="0078684F"/>
    <w:rsid w:val="00786881"/>
    <w:rsid w:val="00786919"/>
    <w:rsid w:val="00786AA4"/>
    <w:rsid w:val="00786AD8"/>
    <w:rsid w:val="00786C21"/>
    <w:rsid w:val="00786ECA"/>
    <w:rsid w:val="00786F83"/>
    <w:rsid w:val="00787083"/>
    <w:rsid w:val="00787203"/>
    <w:rsid w:val="007874D8"/>
    <w:rsid w:val="007875FF"/>
    <w:rsid w:val="00787947"/>
    <w:rsid w:val="007879D8"/>
    <w:rsid w:val="007901AE"/>
    <w:rsid w:val="00790323"/>
    <w:rsid w:val="00790385"/>
    <w:rsid w:val="00790433"/>
    <w:rsid w:val="0079057C"/>
    <w:rsid w:val="00790648"/>
    <w:rsid w:val="00790677"/>
    <w:rsid w:val="00790807"/>
    <w:rsid w:val="0079090F"/>
    <w:rsid w:val="007909CB"/>
    <w:rsid w:val="00790D77"/>
    <w:rsid w:val="0079101C"/>
    <w:rsid w:val="0079102B"/>
    <w:rsid w:val="00791163"/>
    <w:rsid w:val="007912DA"/>
    <w:rsid w:val="00791586"/>
    <w:rsid w:val="00791944"/>
    <w:rsid w:val="007919D2"/>
    <w:rsid w:val="00791AAA"/>
    <w:rsid w:val="0079255D"/>
    <w:rsid w:val="007925A2"/>
    <w:rsid w:val="0079268C"/>
    <w:rsid w:val="00792BB1"/>
    <w:rsid w:val="00792C6B"/>
    <w:rsid w:val="00792DD8"/>
    <w:rsid w:val="00792E4D"/>
    <w:rsid w:val="00793043"/>
    <w:rsid w:val="007933AA"/>
    <w:rsid w:val="007933D6"/>
    <w:rsid w:val="00793419"/>
    <w:rsid w:val="00793931"/>
    <w:rsid w:val="007939DF"/>
    <w:rsid w:val="00793C33"/>
    <w:rsid w:val="00794153"/>
    <w:rsid w:val="007942D5"/>
    <w:rsid w:val="0079460A"/>
    <w:rsid w:val="00794B64"/>
    <w:rsid w:val="00794C46"/>
    <w:rsid w:val="00794E30"/>
    <w:rsid w:val="00794E37"/>
    <w:rsid w:val="00794F97"/>
    <w:rsid w:val="00795152"/>
    <w:rsid w:val="00795424"/>
    <w:rsid w:val="007955AB"/>
    <w:rsid w:val="007955C1"/>
    <w:rsid w:val="00795782"/>
    <w:rsid w:val="007957A1"/>
    <w:rsid w:val="0079585C"/>
    <w:rsid w:val="007958D2"/>
    <w:rsid w:val="00795ADC"/>
    <w:rsid w:val="00795EAF"/>
    <w:rsid w:val="0079609E"/>
    <w:rsid w:val="00796112"/>
    <w:rsid w:val="00796683"/>
    <w:rsid w:val="00796697"/>
    <w:rsid w:val="00796816"/>
    <w:rsid w:val="007968C7"/>
    <w:rsid w:val="00796AFE"/>
    <w:rsid w:val="00796D68"/>
    <w:rsid w:val="00796D81"/>
    <w:rsid w:val="00797152"/>
    <w:rsid w:val="007973F3"/>
    <w:rsid w:val="00797447"/>
    <w:rsid w:val="00797797"/>
    <w:rsid w:val="0079788B"/>
    <w:rsid w:val="0079793C"/>
    <w:rsid w:val="00797DD4"/>
    <w:rsid w:val="007A00B7"/>
    <w:rsid w:val="007A0181"/>
    <w:rsid w:val="007A02A1"/>
    <w:rsid w:val="007A0338"/>
    <w:rsid w:val="007A05D1"/>
    <w:rsid w:val="007A085D"/>
    <w:rsid w:val="007A0AF1"/>
    <w:rsid w:val="007A1470"/>
    <w:rsid w:val="007A15F7"/>
    <w:rsid w:val="007A1690"/>
    <w:rsid w:val="007A17C8"/>
    <w:rsid w:val="007A18FF"/>
    <w:rsid w:val="007A192C"/>
    <w:rsid w:val="007A19D6"/>
    <w:rsid w:val="007A1E23"/>
    <w:rsid w:val="007A1F2E"/>
    <w:rsid w:val="007A217E"/>
    <w:rsid w:val="007A28AE"/>
    <w:rsid w:val="007A29B4"/>
    <w:rsid w:val="007A29E5"/>
    <w:rsid w:val="007A2C62"/>
    <w:rsid w:val="007A2E9E"/>
    <w:rsid w:val="007A3323"/>
    <w:rsid w:val="007A33CD"/>
    <w:rsid w:val="007A358D"/>
    <w:rsid w:val="007A3674"/>
    <w:rsid w:val="007A3777"/>
    <w:rsid w:val="007A3851"/>
    <w:rsid w:val="007A3929"/>
    <w:rsid w:val="007A3B85"/>
    <w:rsid w:val="007A3C3B"/>
    <w:rsid w:val="007A3D09"/>
    <w:rsid w:val="007A3E1E"/>
    <w:rsid w:val="007A3EEE"/>
    <w:rsid w:val="007A3FD5"/>
    <w:rsid w:val="007A45DE"/>
    <w:rsid w:val="007A4613"/>
    <w:rsid w:val="007A4ACA"/>
    <w:rsid w:val="007A4D98"/>
    <w:rsid w:val="007A4E3A"/>
    <w:rsid w:val="007A4E6A"/>
    <w:rsid w:val="007A50BE"/>
    <w:rsid w:val="007A5245"/>
    <w:rsid w:val="007A581C"/>
    <w:rsid w:val="007A5876"/>
    <w:rsid w:val="007A5A7B"/>
    <w:rsid w:val="007A5AD3"/>
    <w:rsid w:val="007A5C89"/>
    <w:rsid w:val="007A6016"/>
    <w:rsid w:val="007A6203"/>
    <w:rsid w:val="007A6228"/>
    <w:rsid w:val="007A627E"/>
    <w:rsid w:val="007A63E8"/>
    <w:rsid w:val="007A652E"/>
    <w:rsid w:val="007A66D4"/>
    <w:rsid w:val="007A6765"/>
    <w:rsid w:val="007A6851"/>
    <w:rsid w:val="007A690C"/>
    <w:rsid w:val="007A6B76"/>
    <w:rsid w:val="007A6E83"/>
    <w:rsid w:val="007A7707"/>
    <w:rsid w:val="007A7C95"/>
    <w:rsid w:val="007A7E4D"/>
    <w:rsid w:val="007A7EAC"/>
    <w:rsid w:val="007A7F78"/>
    <w:rsid w:val="007B01DD"/>
    <w:rsid w:val="007B03B5"/>
    <w:rsid w:val="007B0439"/>
    <w:rsid w:val="007B05AE"/>
    <w:rsid w:val="007B05C4"/>
    <w:rsid w:val="007B0622"/>
    <w:rsid w:val="007B0B3C"/>
    <w:rsid w:val="007B0C8E"/>
    <w:rsid w:val="007B0E23"/>
    <w:rsid w:val="007B0FC6"/>
    <w:rsid w:val="007B1033"/>
    <w:rsid w:val="007B11CB"/>
    <w:rsid w:val="007B1338"/>
    <w:rsid w:val="007B1358"/>
    <w:rsid w:val="007B1497"/>
    <w:rsid w:val="007B1535"/>
    <w:rsid w:val="007B1695"/>
    <w:rsid w:val="007B1DE0"/>
    <w:rsid w:val="007B1E23"/>
    <w:rsid w:val="007B1FBD"/>
    <w:rsid w:val="007B207F"/>
    <w:rsid w:val="007B2299"/>
    <w:rsid w:val="007B2342"/>
    <w:rsid w:val="007B24BD"/>
    <w:rsid w:val="007B251B"/>
    <w:rsid w:val="007B2775"/>
    <w:rsid w:val="007B2895"/>
    <w:rsid w:val="007B28E2"/>
    <w:rsid w:val="007B2966"/>
    <w:rsid w:val="007B2A0C"/>
    <w:rsid w:val="007B2AA3"/>
    <w:rsid w:val="007B2B2C"/>
    <w:rsid w:val="007B2B4F"/>
    <w:rsid w:val="007B2DD0"/>
    <w:rsid w:val="007B2FB7"/>
    <w:rsid w:val="007B2FC2"/>
    <w:rsid w:val="007B2FE6"/>
    <w:rsid w:val="007B376F"/>
    <w:rsid w:val="007B3841"/>
    <w:rsid w:val="007B3C26"/>
    <w:rsid w:val="007B3C46"/>
    <w:rsid w:val="007B3D7C"/>
    <w:rsid w:val="007B425A"/>
    <w:rsid w:val="007B4465"/>
    <w:rsid w:val="007B466F"/>
    <w:rsid w:val="007B46A8"/>
    <w:rsid w:val="007B4863"/>
    <w:rsid w:val="007B4973"/>
    <w:rsid w:val="007B4B99"/>
    <w:rsid w:val="007B4BB7"/>
    <w:rsid w:val="007B4D7E"/>
    <w:rsid w:val="007B4FFA"/>
    <w:rsid w:val="007B52F3"/>
    <w:rsid w:val="007B57D1"/>
    <w:rsid w:val="007B5B6E"/>
    <w:rsid w:val="007B5C52"/>
    <w:rsid w:val="007B6214"/>
    <w:rsid w:val="007B68B0"/>
    <w:rsid w:val="007B6C6B"/>
    <w:rsid w:val="007B6C9A"/>
    <w:rsid w:val="007B6EBA"/>
    <w:rsid w:val="007B70FD"/>
    <w:rsid w:val="007B7154"/>
    <w:rsid w:val="007B73A1"/>
    <w:rsid w:val="007B73ED"/>
    <w:rsid w:val="007B74D3"/>
    <w:rsid w:val="007B754A"/>
    <w:rsid w:val="007B75CC"/>
    <w:rsid w:val="007B7704"/>
    <w:rsid w:val="007B789E"/>
    <w:rsid w:val="007B7AFE"/>
    <w:rsid w:val="007C01C2"/>
    <w:rsid w:val="007C021F"/>
    <w:rsid w:val="007C0705"/>
    <w:rsid w:val="007C088C"/>
    <w:rsid w:val="007C08BF"/>
    <w:rsid w:val="007C0B38"/>
    <w:rsid w:val="007C0C4C"/>
    <w:rsid w:val="007C0D33"/>
    <w:rsid w:val="007C0DAB"/>
    <w:rsid w:val="007C0EC4"/>
    <w:rsid w:val="007C12FA"/>
    <w:rsid w:val="007C13E0"/>
    <w:rsid w:val="007C146D"/>
    <w:rsid w:val="007C1681"/>
    <w:rsid w:val="007C16D8"/>
    <w:rsid w:val="007C1703"/>
    <w:rsid w:val="007C17D7"/>
    <w:rsid w:val="007C18D7"/>
    <w:rsid w:val="007C1C87"/>
    <w:rsid w:val="007C1DE9"/>
    <w:rsid w:val="007C200E"/>
    <w:rsid w:val="007C2277"/>
    <w:rsid w:val="007C2383"/>
    <w:rsid w:val="007C27EC"/>
    <w:rsid w:val="007C2AF2"/>
    <w:rsid w:val="007C2BAF"/>
    <w:rsid w:val="007C2D23"/>
    <w:rsid w:val="007C2DD1"/>
    <w:rsid w:val="007C2E31"/>
    <w:rsid w:val="007C2EB3"/>
    <w:rsid w:val="007C32F3"/>
    <w:rsid w:val="007C32FD"/>
    <w:rsid w:val="007C343C"/>
    <w:rsid w:val="007C3518"/>
    <w:rsid w:val="007C3A76"/>
    <w:rsid w:val="007C3D81"/>
    <w:rsid w:val="007C3E33"/>
    <w:rsid w:val="007C4240"/>
    <w:rsid w:val="007C4281"/>
    <w:rsid w:val="007C4ADB"/>
    <w:rsid w:val="007C4BBF"/>
    <w:rsid w:val="007C4D3C"/>
    <w:rsid w:val="007C506F"/>
    <w:rsid w:val="007C5184"/>
    <w:rsid w:val="007C563C"/>
    <w:rsid w:val="007C5642"/>
    <w:rsid w:val="007C57F6"/>
    <w:rsid w:val="007C5947"/>
    <w:rsid w:val="007C5AD5"/>
    <w:rsid w:val="007C65D5"/>
    <w:rsid w:val="007C6B80"/>
    <w:rsid w:val="007C6D5D"/>
    <w:rsid w:val="007C6F4B"/>
    <w:rsid w:val="007C7168"/>
    <w:rsid w:val="007C7CDA"/>
    <w:rsid w:val="007D03FB"/>
    <w:rsid w:val="007D040F"/>
    <w:rsid w:val="007D05D4"/>
    <w:rsid w:val="007D07E6"/>
    <w:rsid w:val="007D09FD"/>
    <w:rsid w:val="007D0B1C"/>
    <w:rsid w:val="007D1087"/>
    <w:rsid w:val="007D11C9"/>
    <w:rsid w:val="007D13CF"/>
    <w:rsid w:val="007D13D3"/>
    <w:rsid w:val="007D1474"/>
    <w:rsid w:val="007D147A"/>
    <w:rsid w:val="007D1643"/>
    <w:rsid w:val="007D18DA"/>
    <w:rsid w:val="007D1ADD"/>
    <w:rsid w:val="007D21EB"/>
    <w:rsid w:val="007D223A"/>
    <w:rsid w:val="007D2393"/>
    <w:rsid w:val="007D277B"/>
    <w:rsid w:val="007D28DA"/>
    <w:rsid w:val="007D28E8"/>
    <w:rsid w:val="007D2A23"/>
    <w:rsid w:val="007D2BE5"/>
    <w:rsid w:val="007D2DBC"/>
    <w:rsid w:val="007D2DCB"/>
    <w:rsid w:val="007D2E1B"/>
    <w:rsid w:val="007D2EBD"/>
    <w:rsid w:val="007D2F0A"/>
    <w:rsid w:val="007D2F8D"/>
    <w:rsid w:val="007D333A"/>
    <w:rsid w:val="007D3850"/>
    <w:rsid w:val="007D3B5F"/>
    <w:rsid w:val="007D4022"/>
    <w:rsid w:val="007D4485"/>
    <w:rsid w:val="007D44D4"/>
    <w:rsid w:val="007D45F3"/>
    <w:rsid w:val="007D4812"/>
    <w:rsid w:val="007D4CCC"/>
    <w:rsid w:val="007D4D63"/>
    <w:rsid w:val="007D4E0B"/>
    <w:rsid w:val="007D4E7B"/>
    <w:rsid w:val="007D4F5A"/>
    <w:rsid w:val="007D4FF2"/>
    <w:rsid w:val="007D50AD"/>
    <w:rsid w:val="007D517F"/>
    <w:rsid w:val="007D51F1"/>
    <w:rsid w:val="007D535D"/>
    <w:rsid w:val="007D5621"/>
    <w:rsid w:val="007D56B7"/>
    <w:rsid w:val="007D5726"/>
    <w:rsid w:val="007D573D"/>
    <w:rsid w:val="007D59F0"/>
    <w:rsid w:val="007D5B67"/>
    <w:rsid w:val="007D5FD9"/>
    <w:rsid w:val="007D6038"/>
    <w:rsid w:val="007D61EF"/>
    <w:rsid w:val="007D63C0"/>
    <w:rsid w:val="007D69C4"/>
    <w:rsid w:val="007D6B26"/>
    <w:rsid w:val="007D740A"/>
    <w:rsid w:val="007D7440"/>
    <w:rsid w:val="007D74C3"/>
    <w:rsid w:val="007D76B8"/>
    <w:rsid w:val="007D79C3"/>
    <w:rsid w:val="007D7B1C"/>
    <w:rsid w:val="007D7B4A"/>
    <w:rsid w:val="007D7BFF"/>
    <w:rsid w:val="007D7FA0"/>
    <w:rsid w:val="007E0035"/>
    <w:rsid w:val="007E00C1"/>
    <w:rsid w:val="007E016D"/>
    <w:rsid w:val="007E0866"/>
    <w:rsid w:val="007E08BF"/>
    <w:rsid w:val="007E0AC1"/>
    <w:rsid w:val="007E0B8C"/>
    <w:rsid w:val="007E0F6C"/>
    <w:rsid w:val="007E0F75"/>
    <w:rsid w:val="007E11B6"/>
    <w:rsid w:val="007E13CC"/>
    <w:rsid w:val="007E14CA"/>
    <w:rsid w:val="007E1C71"/>
    <w:rsid w:val="007E1FB8"/>
    <w:rsid w:val="007E2192"/>
    <w:rsid w:val="007E2327"/>
    <w:rsid w:val="007E24A1"/>
    <w:rsid w:val="007E24E9"/>
    <w:rsid w:val="007E254D"/>
    <w:rsid w:val="007E2B8C"/>
    <w:rsid w:val="007E2BD4"/>
    <w:rsid w:val="007E3146"/>
    <w:rsid w:val="007E31F3"/>
    <w:rsid w:val="007E3222"/>
    <w:rsid w:val="007E32AF"/>
    <w:rsid w:val="007E33AA"/>
    <w:rsid w:val="007E3463"/>
    <w:rsid w:val="007E3506"/>
    <w:rsid w:val="007E37B7"/>
    <w:rsid w:val="007E37BC"/>
    <w:rsid w:val="007E3983"/>
    <w:rsid w:val="007E3AA4"/>
    <w:rsid w:val="007E3C30"/>
    <w:rsid w:val="007E3DCA"/>
    <w:rsid w:val="007E4155"/>
    <w:rsid w:val="007E416B"/>
    <w:rsid w:val="007E425C"/>
    <w:rsid w:val="007E42B0"/>
    <w:rsid w:val="007E451A"/>
    <w:rsid w:val="007E456E"/>
    <w:rsid w:val="007E466D"/>
    <w:rsid w:val="007E496B"/>
    <w:rsid w:val="007E4A42"/>
    <w:rsid w:val="007E4B52"/>
    <w:rsid w:val="007E4BBB"/>
    <w:rsid w:val="007E524F"/>
    <w:rsid w:val="007E526E"/>
    <w:rsid w:val="007E53DF"/>
    <w:rsid w:val="007E5436"/>
    <w:rsid w:val="007E54BF"/>
    <w:rsid w:val="007E56D4"/>
    <w:rsid w:val="007E5742"/>
    <w:rsid w:val="007E6002"/>
    <w:rsid w:val="007E6102"/>
    <w:rsid w:val="007E61DF"/>
    <w:rsid w:val="007E61FE"/>
    <w:rsid w:val="007E6392"/>
    <w:rsid w:val="007E63BF"/>
    <w:rsid w:val="007E6579"/>
    <w:rsid w:val="007E6895"/>
    <w:rsid w:val="007E6A17"/>
    <w:rsid w:val="007E6BEB"/>
    <w:rsid w:val="007E6C92"/>
    <w:rsid w:val="007E6FA8"/>
    <w:rsid w:val="007E6FAA"/>
    <w:rsid w:val="007E71FD"/>
    <w:rsid w:val="007E740F"/>
    <w:rsid w:val="007E76BE"/>
    <w:rsid w:val="007E77DF"/>
    <w:rsid w:val="007E7865"/>
    <w:rsid w:val="007E7926"/>
    <w:rsid w:val="007E7DDF"/>
    <w:rsid w:val="007F006F"/>
    <w:rsid w:val="007F00BD"/>
    <w:rsid w:val="007F02DF"/>
    <w:rsid w:val="007F035E"/>
    <w:rsid w:val="007F054E"/>
    <w:rsid w:val="007F0619"/>
    <w:rsid w:val="007F0647"/>
    <w:rsid w:val="007F06EE"/>
    <w:rsid w:val="007F0862"/>
    <w:rsid w:val="007F088F"/>
    <w:rsid w:val="007F098E"/>
    <w:rsid w:val="007F0EB1"/>
    <w:rsid w:val="007F0ED8"/>
    <w:rsid w:val="007F0F84"/>
    <w:rsid w:val="007F0FCB"/>
    <w:rsid w:val="007F102F"/>
    <w:rsid w:val="007F10EF"/>
    <w:rsid w:val="007F144B"/>
    <w:rsid w:val="007F145C"/>
    <w:rsid w:val="007F148F"/>
    <w:rsid w:val="007F157E"/>
    <w:rsid w:val="007F1A1E"/>
    <w:rsid w:val="007F1A33"/>
    <w:rsid w:val="007F1B75"/>
    <w:rsid w:val="007F1CF2"/>
    <w:rsid w:val="007F1EC8"/>
    <w:rsid w:val="007F1F8F"/>
    <w:rsid w:val="007F2034"/>
    <w:rsid w:val="007F2187"/>
    <w:rsid w:val="007F2209"/>
    <w:rsid w:val="007F249D"/>
    <w:rsid w:val="007F26CE"/>
    <w:rsid w:val="007F2B92"/>
    <w:rsid w:val="007F2BA3"/>
    <w:rsid w:val="007F2C2C"/>
    <w:rsid w:val="007F2F34"/>
    <w:rsid w:val="007F30BC"/>
    <w:rsid w:val="007F318D"/>
    <w:rsid w:val="007F3339"/>
    <w:rsid w:val="007F33DD"/>
    <w:rsid w:val="007F348A"/>
    <w:rsid w:val="007F349C"/>
    <w:rsid w:val="007F3535"/>
    <w:rsid w:val="007F3595"/>
    <w:rsid w:val="007F3749"/>
    <w:rsid w:val="007F386E"/>
    <w:rsid w:val="007F3DCD"/>
    <w:rsid w:val="007F3FE4"/>
    <w:rsid w:val="007F4198"/>
    <w:rsid w:val="007F42B9"/>
    <w:rsid w:val="007F4348"/>
    <w:rsid w:val="007F4850"/>
    <w:rsid w:val="007F51BE"/>
    <w:rsid w:val="007F5325"/>
    <w:rsid w:val="007F54D1"/>
    <w:rsid w:val="007F58D6"/>
    <w:rsid w:val="007F58E1"/>
    <w:rsid w:val="007F596E"/>
    <w:rsid w:val="007F5B81"/>
    <w:rsid w:val="007F5F2F"/>
    <w:rsid w:val="007F5F32"/>
    <w:rsid w:val="007F619C"/>
    <w:rsid w:val="007F61BA"/>
    <w:rsid w:val="007F63DF"/>
    <w:rsid w:val="007F66D3"/>
    <w:rsid w:val="007F66E5"/>
    <w:rsid w:val="007F69F4"/>
    <w:rsid w:val="007F69F6"/>
    <w:rsid w:val="007F6CEE"/>
    <w:rsid w:val="007F7529"/>
    <w:rsid w:val="007F7876"/>
    <w:rsid w:val="007F794F"/>
    <w:rsid w:val="007F79C0"/>
    <w:rsid w:val="007F7A09"/>
    <w:rsid w:val="007F7E03"/>
    <w:rsid w:val="00800271"/>
    <w:rsid w:val="008004B1"/>
    <w:rsid w:val="00800599"/>
    <w:rsid w:val="0080086B"/>
    <w:rsid w:val="008009F2"/>
    <w:rsid w:val="00800D9C"/>
    <w:rsid w:val="00800F52"/>
    <w:rsid w:val="00800FF5"/>
    <w:rsid w:val="0080100B"/>
    <w:rsid w:val="008010E8"/>
    <w:rsid w:val="0080136C"/>
    <w:rsid w:val="00801491"/>
    <w:rsid w:val="008015E0"/>
    <w:rsid w:val="0080164F"/>
    <w:rsid w:val="00801950"/>
    <w:rsid w:val="00801A12"/>
    <w:rsid w:val="00801F78"/>
    <w:rsid w:val="00801F7A"/>
    <w:rsid w:val="00801FC3"/>
    <w:rsid w:val="00802603"/>
    <w:rsid w:val="00802657"/>
    <w:rsid w:val="00802798"/>
    <w:rsid w:val="00802865"/>
    <w:rsid w:val="0080289F"/>
    <w:rsid w:val="0080290F"/>
    <w:rsid w:val="00802970"/>
    <w:rsid w:val="008029D0"/>
    <w:rsid w:val="00802A73"/>
    <w:rsid w:val="00802ADB"/>
    <w:rsid w:val="00802B4A"/>
    <w:rsid w:val="00802BE2"/>
    <w:rsid w:val="00802D0F"/>
    <w:rsid w:val="00802EF3"/>
    <w:rsid w:val="008031F8"/>
    <w:rsid w:val="00803340"/>
    <w:rsid w:val="0080390F"/>
    <w:rsid w:val="00803ABB"/>
    <w:rsid w:val="00803C3E"/>
    <w:rsid w:val="00803D6D"/>
    <w:rsid w:val="00803F0F"/>
    <w:rsid w:val="008041A1"/>
    <w:rsid w:val="00804315"/>
    <w:rsid w:val="008044A3"/>
    <w:rsid w:val="00804602"/>
    <w:rsid w:val="008046EA"/>
    <w:rsid w:val="0080475B"/>
    <w:rsid w:val="00804A40"/>
    <w:rsid w:val="00804A8D"/>
    <w:rsid w:val="00804D6B"/>
    <w:rsid w:val="00804E1B"/>
    <w:rsid w:val="00805330"/>
    <w:rsid w:val="008053C8"/>
    <w:rsid w:val="00805443"/>
    <w:rsid w:val="008054AF"/>
    <w:rsid w:val="00805903"/>
    <w:rsid w:val="0080596A"/>
    <w:rsid w:val="00805DE8"/>
    <w:rsid w:val="00805E43"/>
    <w:rsid w:val="00806091"/>
    <w:rsid w:val="00806316"/>
    <w:rsid w:val="008063AF"/>
    <w:rsid w:val="0080643A"/>
    <w:rsid w:val="00806480"/>
    <w:rsid w:val="00806516"/>
    <w:rsid w:val="008067BC"/>
    <w:rsid w:val="0080680D"/>
    <w:rsid w:val="008069B0"/>
    <w:rsid w:val="008069D5"/>
    <w:rsid w:val="00806C46"/>
    <w:rsid w:val="00806CF8"/>
    <w:rsid w:val="00806DC2"/>
    <w:rsid w:val="00806E3C"/>
    <w:rsid w:val="00807528"/>
    <w:rsid w:val="0080755E"/>
    <w:rsid w:val="00807655"/>
    <w:rsid w:val="0080781D"/>
    <w:rsid w:val="00807864"/>
    <w:rsid w:val="00807CF4"/>
    <w:rsid w:val="00807D0C"/>
    <w:rsid w:val="00807D3E"/>
    <w:rsid w:val="00807D60"/>
    <w:rsid w:val="00807D8D"/>
    <w:rsid w:val="00807D96"/>
    <w:rsid w:val="00807E3B"/>
    <w:rsid w:val="00807E75"/>
    <w:rsid w:val="0081005F"/>
    <w:rsid w:val="008101A0"/>
    <w:rsid w:val="00810206"/>
    <w:rsid w:val="0081046C"/>
    <w:rsid w:val="0081091B"/>
    <w:rsid w:val="0081091E"/>
    <w:rsid w:val="008109BF"/>
    <w:rsid w:val="00810ADE"/>
    <w:rsid w:val="00810BF8"/>
    <w:rsid w:val="00810C8C"/>
    <w:rsid w:val="008110B6"/>
    <w:rsid w:val="0081111D"/>
    <w:rsid w:val="008111D0"/>
    <w:rsid w:val="00811504"/>
    <w:rsid w:val="00811614"/>
    <w:rsid w:val="0081162F"/>
    <w:rsid w:val="00811779"/>
    <w:rsid w:val="00811A7F"/>
    <w:rsid w:val="00811B64"/>
    <w:rsid w:val="00811BA3"/>
    <w:rsid w:val="00811D75"/>
    <w:rsid w:val="00812088"/>
    <w:rsid w:val="00812397"/>
    <w:rsid w:val="0081239A"/>
    <w:rsid w:val="008123B3"/>
    <w:rsid w:val="008129A3"/>
    <w:rsid w:val="00812CAB"/>
    <w:rsid w:val="00812D00"/>
    <w:rsid w:val="008133D9"/>
    <w:rsid w:val="0081354E"/>
    <w:rsid w:val="00813565"/>
    <w:rsid w:val="008135EA"/>
    <w:rsid w:val="0081379F"/>
    <w:rsid w:val="00813844"/>
    <w:rsid w:val="008138C4"/>
    <w:rsid w:val="00813DF3"/>
    <w:rsid w:val="00813F74"/>
    <w:rsid w:val="00814148"/>
    <w:rsid w:val="008142F0"/>
    <w:rsid w:val="0081436A"/>
    <w:rsid w:val="00814392"/>
    <w:rsid w:val="008145A8"/>
    <w:rsid w:val="008145E2"/>
    <w:rsid w:val="0081463A"/>
    <w:rsid w:val="00814B33"/>
    <w:rsid w:val="00815196"/>
    <w:rsid w:val="008154BE"/>
    <w:rsid w:val="00815547"/>
    <w:rsid w:val="00815995"/>
    <w:rsid w:val="00815DF7"/>
    <w:rsid w:val="00815FDC"/>
    <w:rsid w:val="00816079"/>
    <w:rsid w:val="008160CB"/>
    <w:rsid w:val="00816218"/>
    <w:rsid w:val="0081647A"/>
    <w:rsid w:val="008164CC"/>
    <w:rsid w:val="00816DA1"/>
    <w:rsid w:val="00816EE3"/>
    <w:rsid w:val="00816FFD"/>
    <w:rsid w:val="00817356"/>
    <w:rsid w:val="0081742C"/>
    <w:rsid w:val="008174E4"/>
    <w:rsid w:val="00817857"/>
    <w:rsid w:val="00817984"/>
    <w:rsid w:val="00817AC0"/>
    <w:rsid w:val="00817BFB"/>
    <w:rsid w:val="00817D24"/>
    <w:rsid w:val="00820015"/>
    <w:rsid w:val="0082003A"/>
    <w:rsid w:val="008202DA"/>
    <w:rsid w:val="00820367"/>
    <w:rsid w:val="00821167"/>
    <w:rsid w:val="008211E1"/>
    <w:rsid w:val="00821510"/>
    <w:rsid w:val="00821523"/>
    <w:rsid w:val="0082178C"/>
    <w:rsid w:val="00821850"/>
    <w:rsid w:val="00821B3C"/>
    <w:rsid w:val="00821C65"/>
    <w:rsid w:val="00821DB2"/>
    <w:rsid w:val="00821DDD"/>
    <w:rsid w:val="00821DFE"/>
    <w:rsid w:val="00821FB8"/>
    <w:rsid w:val="0082201F"/>
    <w:rsid w:val="0082221E"/>
    <w:rsid w:val="008224AA"/>
    <w:rsid w:val="008225BF"/>
    <w:rsid w:val="00822693"/>
    <w:rsid w:val="0082276E"/>
    <w:rsid w:val="00822823"/>
    <w:rsid w:val="00822835"/>
    <w:rsid w:val="00822980"/>
    <w:rsid w:val="008229CF"/>
    <w:rsid w:val="00822A60"/>
    <w:rsid w:val="00822AA2"/>
    <w:rsid w:val="00822AEF"/>
    <w:rsid w:val="00822CBA"/>
    <w:rsid w:val="00822CEB"/>
    <w:rsid w:val="00822DD5"/>
    <w:rsid w:val="00822E81"/>
    <w:rsid w:val="00822F18"/>
    <w:rsid w:val="00822FFF"/>
    <w:rsid w:val="0082411D"/>
    <w:rsid w:val="00824427"/>
    <w:rsid w:val="00824A8E"/>
    <w:rsid w:val="00824A9E"/>
    <w:rsid w:val="00824F1C"/>
    <w:rsid w:val="00825050"/>
    <w:rsid w:val="008253F2"/>
    <w:rsid w:val="00825563"/>
    <w:rsid w:val="00825752"/>
    <w:rsid w:val="00825974"/>
    <w:rsid w:val="00825B54"/>
    <w:rsid w:val="00825C65"/>
    <w:rsid w:val="00825EB1"/>
    <w:rsid w:val="00826168"/>
    <w:rsid w:val="0082628F"/>
    <w:rsid w:val="008262AB"/>
    <w:rsid w:val="00826382"/>
    <w:rsid w:val="008264AD"/>
    <w:rsid w:val="0082681A"/>
    <w:rsid w:val="0082697D"/>
    <w:rsid w:val="00826A5E"/>
    <w:rsid w:val="00826CCF"/>
    <w:rsid w:val="0082723C"/>
    <w:rsid w:val="008272D6"/>
    <w:rsid w:val="008272EB"/>
    <w:rsid w:val="00827585"/>
    <w:rsid w:val="00827614"/>
    <w:rsid w:val="00827666"/>
    <w:rsid w:val="0082773F"/>
    <w:rsid w:val="00827834"/>
    <w:rsid w:val="00827853"/>
    <w:rsid w:val="00827871"/>
    <w:rsid w:val="0082795B"/>
    <w:rsid w:val="00827AE5"/>
    <w:rsid w:val="00827C0B"/>
    <w:rsid w:val="00827D23"/>
    <w:rsid w:val="00827F69"/>
    <w:rsid w:val="008301F5"/>
    <w:rsid w:val="008303D7"/>
    <w:rsid w:val="008304EE"/>
    <w:rsid w:val="008306FF"/>
    <w:rsid w:val="00830852"/>
    <w:rsid w:val="008308C9"/>
    <w:rsid w:val="00830B47"/>
    <w:rsid w:val="00830D0F"/>
    <w:rsid w:val="00831157"/>
    <w:rsid w:val="0083143B"/>
    <w:rsid w:val="0083159E"/>
    <w:rsid w:val="0083192C"/>
    <w:rsid w:val="008319F6"/>
    <w:rsid w:val="00831AD3"/>
    <w:rsid w:val="00831B47"/>
    <w:rsid w:val="00831BA0"/>
    <w:rsid w:val="00831C04"/>
    <w:rsid w:val="00831DE9"/>
    <w:rsid w:val="00831E77"/>
    <w:rsid w:val="008321B4"/>
    <w:rsid w:val="00832237"/>
    <w:rsid w:val="00832533"/>
    <w:rsid w:val="00832630"/>
    <w:rsid w:val="0083269D"/>
    <w:rsid w:val="008329F5"/>
    <w:rsid w:val="00832A7D"/>
    <w:rsid w:val="00832D26"/>
    <w:rsid w:val="008333F6"/>
    <w:rsid w:val="00833638"/>
    <w:rsid w:val="00833639"/>
    <w:rsid w:val="0083392B"/>
    <w:rsid w:val="00833B12"/>
    <w:rsid w:val="00833E04"/>
    <w:rsid w:val="00833E0F"/>
    <w:rsid w:val="00834180"/>
    <w:rsid w:val="00834245"/>
    <w:rsid w:val="008344A8"/>
    <w:rsid w:val="00834604"/>
    <w:rsid w:val="00834907"/>
    <w:rsid w:val="00834BCE"/>
    <w:rsid w:val="00834D6B"/>
    <w:rsid w:val="00834E22"/>
    <w:rsid w:val="00834E47"/>
    <w:rsid w:val="0083501D"/>
    <w:rsid w:val="00835118"/>
    <w:rsid w:val="0083536D"/>
    <w:rsid w:val="00835901"/>
    <w:rsid w:val="00835A57"/>
    <w:rsid w:val="00835A7F"/>
    <w:rsid w:val="00835BB8"/>
    <w:rsid w:val="00835CDC"/>
    <w:rsid w:val="00835D58"/>
    <w:rsid w:val="00835E22"/>
    <w:rsid w:val="00835E2E"/>
    <w:rsid w:val="0083611D"/>
    <w:rsid w:val="00836450"/>
    <w:rsid w:val="008364EB"/>
    <w:rsid w:val="008366DA"/>
    <w:rsid w:val="0083685A"/>
    <w:rsid w:val="00836874"/>
    <w:rsid w:val="00836907"/>
    <w:rsid w:val="00836BDE"/>
    <w:rsid w:val="00836C9D"/>
    <w:rsid w:val="00836CA5"/>
    <w:rsid w:val="00836CB7"/>
    <w:rsid w:val="00836CED"/>
    <w:rsid w:val="00836F93"/>
    <w:rsid w:val="00837183"/>
    <w:rsid w:val="008374D6"/>
    <w:rsid w:val="008376D7"/>
    <w:rsid w:val="00837D57"/>
    <w:rsid w:val="00837E6A"/>
    <w:rsid w:val="00837FA6"/>
    <w:rsid w:val="0084001D"/>
    <w:rsid w:val="008400DD"/>
    <w:rsid w:val="008401E3"/>
    <w:rsid w:val="008404AE"/>
    <w:rsid w:val="0084054D"/>
    <w:rsid w:val="00840622"/>
    <w:rsid w:val="008407A5"/>
    <w:rsid w:val="00840991"/>
    <w:rsid w:val="00840B2E"/>
    <w:rsid w:val="00840EE0"/>
    <w:rsid w:val="00841035"/>
    <w:rsid w:val="0084115F"/>
    <w:rsid w:val="008412B6"/>
    <w:rsid w:val="008413DA"/>
    <w:rsid w:val="0084185E"/>
    <w:rsid w:val="00841A64"/>
    <w:rsid w:val="00841A82"/>
    <w:rsid w:val="00841E24"/>
    <w:rsid w:val="00841F70"/>
    <w:rsid w:val="00842164"/>
    <w:rsid w:val="008422B2"/>
    <w:rsid w:val="008422C4"/>
    <w:rsid w:val="008423C1"/>
    <w:rsid w:val="008425B6"/>
    <w:rsid w:val="008428CC"/>
    <w:rsid w:val="00842BF6"/>
    <w:rsid w:val="00842E40"/>
    <w:rsid w:val="00842F15"/>
    <w:rsid w:val="008431A5"/>
    <w:rsid w:val="008431EE"/>
    <w:rsid w:val="0084390E"/>
    <w:rsid w:val="00843A34"/>
    <w:rsid w:val="00843B1D"/>
    <w:rsid w:val="00843B7D"/>
    <w:rsid w:val="00843C37"/>
    <w:rsid w:val="008441C4"/>
    <w:rsid w:val="008441FA"/>
    <w:rsid w:val="008442DF"/>
    <w:rsid w:val="00844395"/>
    <w:rsid w:val="0084439D"/>
    <w:rsid w:val="008444F3"/>
    <w:rsid w:val="00844A2E"/>
    <w:rsid w:val="00844A6E"/>
    <w:rsid w:val="00844B0A"/>
    <w:rsid w:val="00844EAF"/>
    <w:rsid w:val="00844EBF"/>
    <w:rsid w:val="00844EDD"/>
    <w:rsid w:val="00844F8E"/>
    <w:rsid w:val="00844FEF"/>
    <w:rsid w:val="008452DB"/>
    <w:rsid w:val="008452F1"/>
    <w:rsid w:val="00845396"/>
    <w:rsid w:val="008453E6"/>
    <w:rsid w:val="00845401"/>
    <w:rsid w:val="008454E9"/>
    <w:rsid w:val="00845869"/>
    <w:rsid w:val="00845878"/>
    <w:rsid w:val="0084589F"/>
    <w:rsid w:val="00845AAD"/>
    <w:rsid w:val="00845B56"/>
    <w:rsid w:val="00845B9D"/>
    <w:rsid w:val="00846275"/>
    <w:rsid w:val="00846408"/>
    <w:rsid w:val="0084678E"/>
    <w:rsid w:val="00846DD5"/>
    <w:rsid w:val="00846E57"/>
    <w:rsid w:val="00846F9F"/>
    <w:rsid w:val="00847343"/>
    <w:rsid w:val="00847374"/>
    <w:rsid w:val="0084758E"/>
    <w:rsid w:val="00847702"/>
    <w:rsid w:val="00847746"/>
    <w:rsid w:val="008477DF"/>
    <w:rsid w:val="00847A0D"/>
    <w:rsid w:val="00847AF2"/>
    <w:rsid w:val="00847CB5"/>
    <w:rsid w:val="00847E2F"/>
    <w:rsid w:val="00847F31"/>
    <w:rsid w:val="0085012A"/>
    <w:rsid w:val="00850264"/>
    <w:rsid w:val="00850315"/>
    <w:rsid w:val="00850396"/>
    <w:rsid w:val="0085043F"/>
    <w:rsid w:val="0085075B"/>
    <w:rsid w:val="00850938"/>
    <w:rsid w:val="00850EFC"/>
    <w:rsid w:val="00850F08"/>
    <w:rsid w:val="008510AB"/>
    <w:rsid w:val="00851266"/>
    <w:rsid w:val="008514B7"/>
    <w:rsid w:val="0085152F"/>
    <w:rsid w:val="008515AD"/>
    <w:rsid w:val="00851673"/>
    <w:rsid w:val="00851F39"/>
    <w:rsid w:val="0085205E"/>
    <w:rsid w:val="00852100"/>
    <w:rsid w:val="0085299F"/>
    <w:rsid w:val="00852AE9"/>
    <w:rsid w:val="00852D02"/>
    <w:rsid w:val="00852E85"/>
    <w:rsid w:val="00852F09"/>
    <w:rsid w:val="00853080"/>
    <w:rsid w:val="0085311A"/>
    <w:rsid w:val="008537C8"/>
    <w:rsid w:val="008538AC"/>
    <w:rsid w:val="0085394F"/>
    <w:rsid w:val="00853A7A"/>
    <w:rsid w:val="00853F9B"/>
    <w:rsid w:val="00854362"/>
    <w:rsid w:val="0085484F"/>
    <w:rsid w:val="008549F4"/>
    <w:rsid w:val="00854BC5"/>
    <w:rsid w:val="00854BEB"/>
    <w:rsid w:val="00854D52"/>
    <w:rsid w:val="008551C5"/>
    <w:rsid w:val="00855445"/>
    <w:rsid w:val="008558E6"/>
    <w:rsid w:val="00855906"/>
    <w:rsid w:val="00855CEF"/>
    <w:rsid w:val="00855D0E"/>
    <w:rsid w:val="00855DB2"/>
    <w:rsid w:val="00855DD2"/>
    <w:rsid w:val="00855E93"/>
    <w:rsid w:val="00855F37"/>
    <w:rsid w:val="00856089"/>
    <w:rsid w:val="008560A9"/>
    <w:rsid w:val="00856131"/>
    <w:rsid w:val="00856321"/>
    <w:rsid w:val="0085641F"/>
    <w:rsid w:val="008564BA"/>
    <w:rsid w:val="008564EC"/>
    <w:rsid w:val="00856AAF"/>
    <w:rsid w:val="00856D24"/>
    <w:rsid w:val="00856D97"/>
    <w:rsid w:val="00856DEE"/>
    <w:rsid w:val="008570F2"/>
    <w:rsid w:val="00857244"/>
    <w:rsid w:val="00857251"/>
    <w:rsid w:val="0085741F"/>
    <w:rsid w:val="0085774A"/>
    <w:rsid w:val="00857D20"/>
    <w:rsid w:val="00857DAE"/>
    <w:rsid w:val="00857E54"/>
    <w:rsid w:val="00857F8C"/>
    <w:rsid w:val="00860136"/>
    <w:rsid w:val="00860276"/>
    <w:rsid w:val="00860484"/>
    <w:rsid w:val="008604EE"/>
    <w:rsid w:val="008605CF"/>
    <w:rsid w:val="008608C0"/>
    <w:rsid w:val="008609B3"/>
    <w:rsid w:val="00860C7D"/>
    <w:rsid w:val="00860E01"/>
    <w:rsid w:val="00860ECE"/>
    <w:rsid w:val="00861186"/>
    <w:rsid w:val="008611D9"/>
    <w:rsid w:val="008611DD"/>
    <w:rsid w:val="0086128C"/>
    <w:rsid w:val="008612FD"/>
    <w:rsid w:val="008615AA"/>
    <w:rsid w:val="0086171C"/>
    <w:rsid w:val="0086171E"/>
    <w:rsid w:val="00861B76"/>
    <w:rsid w:val="00861C31"/>
    <w:rsid w:val="00861C49"/>
    <w:rsid w:val="00861C55"/>
    <w:rsid w:val="0086207E"/>
    <w:rsid w:val="008620EE"/>
    <w:rsid w:val="008622F2"/>
    <w:rsid w:val="0086239C"/>
    <w:rsid w:val="008625F2"/>
    <w:rsid w:val="008626B9"/>
    <w:rsid w:val="008626E8"/>
    <w:rsid w:val="00862956"/>
    <w:rsid w:val="0086329E"/>
    <w:rsid w:val="0086343C"/>
    <w:rsid w:val="008634A5"/>
    <w:rsid w:val="008634B5"/>
    <w:rsid w:val="008636EA"/>
    <w:rsid w:val="008636F2"/>
    <w:rsid w:val="008638EC"/>
    <w:rsid w:val="00863D93"/>
    <w:rsid w:val="00863F88"/>
    <w:rsid w:val="008640C0"/>
    <w:rsid w:val="0086472B"/>
    <w:rsid w:val="0086475A"/>
    <w:rsid w:val="0086491F"/>
    <w:rsid w:val="00864D95"/>
    <w:rsid w:val="00864E27"/>
    <w:rsid w:val="008650ED"/>
    <w:rsid w:val="00865573"/>
    <w:rsid w:val="008655FA"/>
    <w:rsid w:val="00865683"/>
    <w:rsid w:val="00865696"/>
    <w:rsid w:val="008657D7"/>
    <w:rsid w:val="008659F4"/>
    <w:rsid w:val="00865B19"/>
    <w:rsid w:val="00865B6D"/>
    <w:rsid w:val="00865BF1"/>
    <w:rsid w:val="00865C41"/>
    <w:rsid w:val="00865E4A"/>
    <w:rsid w:val="00866318"/>
    <w:rsid w:val="00866490"/>
    <w:rsid w:val="00866974"/>
    <w:rsid w:val="00866A2A"/>
    <w:rsid w:val="00866B4B"/>
    <w:rsid w:val="00866B50"/>
    <w:rsid w:val="00867188"/>
    <w:rsid w:val="008672A5"/>
    <w:rsid w:val="00867370"/>
    <w:rsid w:val="008673C2"/>
    <w:rsid w:val="00867943"/>
    <w:rsid w:val="008679EC"/>
    <w:rsid w:val="00867A4B"/>
    <w:rsid w:val="00867B89"/>
    <w:rsid w:val="00867C9F"/>
    <w:rsid w:val="00867D35"/>
    <w:rsid w:val="00867EE3"/>
    <w:rsid w:val="0087042E"/>
    <w:rsid w:val="00870792"/>
    <w:rsid w:val="008708CA"/>
    <w:rsid w:val="0087093E"/>
    <w:rsid w:val="008709B1"/>
    <w:rsid w:val="00870DB7"/>
    <w:rsid w:val="00871192"/>
    <w:rsid w:val="00871433"/>
    <w:rsid w:val="008714C4"/>
    <w:rsid w:val="00871598"/>
    <w:rsid w:val="008716C6"/>
    <w:rsid w:val="00871725"/>
    <w:rsid w:val="0087187F"/>
    <w:rsid w:val="00871BC7"/>
    <w:rsid w:val="00871DC8"/>
    <w:rsid w:val="00871E86"/>
    <w:rsid w:val="00871EE9"/>
    <w:rsid w:val="00871F50"/>
    <w:rsid w:val="00872077"/>
    <w:rsid w:val="00872257"/>
    <w:rsid w:val="008728F2"/>
    <w:rsid w:val="00872A2D"/>
    <w:rsid w:val="00872E86"/>
    <w:rsid w:val="00872EFC"/>
    <w:rsid w:val="00873111"/>
    <w:rsid w:val="00873323"/>
    <w:rsid w:val="00873499"/>
    <w:rsid w:val="0087374D"/>
    <w:rsid w:val="00873DE4"/>
    <w:rsid w:val="00873DFF"/>
    <w:rsid w:val="0087417A"/>
    <w:rsid w:val="00874307"/>
    <w:rsid w:val="0087435B"/>
    <w:rsid w:val="00874395"/>
    <w:rsid w:val="00874424"/>
    <w:rsid w:val="0087459B"/>
    <w:rsid w:val="008748D4"/>
    <w:rsid w:val="008748F1"/>
    <w:rsid w:val="00874D12"/>
    <w:rsid w:val="00874E61"/>
    <w:rsid w:val="0087537E"/>
    <w:rsid w:val="008755D2"/>
    <w:rsid w:val="00875721"/>
    <w:rsid w:val="00875725"/>
    <w:rsid w:val="00876058"/>
    <w:rsid w:val="00876167"/>
    <w:rsid w:val="008763AA"/>
    <w:rsid w:val="008763AC"/>
    <w:rsid w:val="00877129"/>
    <w:rsid w:val="00877985"/>
    <w:rsid w:val="00877F25"/>
    <w:rsid w:val="00877F50"/>
    <w:rsid w:val="0088001C"/>
    <w:rsid w:val="0088054E"/>
    <w:rsid w:val="00880852"/>
    <w:rsid w:val="008810E8"/>
    <w:rsid w:val="00881118"/>
    <w:rsid w:val="0088112D"/>
    <w:rsid w:val="00881227"/>
    <w:rsid w:val="008815E6"/>
    <w:rsid w:val="00881762"/>
    <w:rsid w:val="008819CF"/>
    <w:rsid w:val="00881AB9"/>
    <w:rsid w:val="00881C39"/>
    <w:rsid w:val="008821D9"/>
    <w:rsid w:val="00882395"/>
    <w:rsid w:val="008825E0"/>
    <w:rsid w:val="0088274D"/>
    <w:rsid w:val="00882751"/>
    <w:rsid w:val="0088277A"/>
    <w:rsid w:val="008828E2"/>
    <w:rsid w:val="008829A3"/>
    <w:rsid w:val="00882F35"/>
    <w:rsid w:val="008830F7"/>
    <w:rsid w:val="008831AB"/>
    <w:rsid w:val="008834CF"/>
    <w:rsid w:val="00883AB8"/>
    <w:rsid w:val="00883C4A"/>
    <w:rsid w:val="00884116"/>
    <w:rsid w:val="0088443A"/>
    <w:rsid w:val="00884453"/>
    <w:rsid w:val="00884ABB"/>
    <w:rsid w:val="00884B2B"/>
    <w:rsid w:val="00884BAA"/>
    <w:rsid w:val="00884F2B"/>
    <w:rsid w:val="00884F44"/>
    <w:rsid w:val="008851AA"/>
    <w:rsid w:val="008853C6"/>
    <w:rsid w:val="00885482"/>
    <w:rsid w:val="00885517"/>
    <w:rsid w:val="008857D6"/>
    <w:rsid w:val="0088583A"/>
    <w:rsid w:val="008858D6"/>
    <w:rsid w:val="008859D1"/>
    <w:rsid w:val="00885BBB"/>
    <w:rsid w:val="00886330"/>
    <w:rsid w:val="00886345"/>
    <w:rsid w:val="00886428"/>
    <w:rsid w:val="0088654D"/>
    <w:rsid w:val="008866E2"/>
    <w:rsid w:val="008867BE"/>
    <w:rsid w:val="008867E5"/>
    <w:rsid w:val="00886884"/>
    <w:rsid w:val="00886B17"/>
    <w:rsid w:val="00886C15"/>
    <w:rsid w:val="00886D85"/>
    <w:rsid w:val="00886E49"/>
    <w:rsid w:val="00886EC6"/>
    <w:rsid w:val="00886EE5"/>
    <w:rsid w:val="00886EFF"/>
    <w:rsid w:val="00887033"/>
    <w:rsid w:val="0088705B"/>
    <w:rsid w:val="008870B5"/>
    <w:rsid w:val="0088741B"/>
    <w:rsid w:val="0088749A"/>
    <w:rsid w:val="00887550"/>
    <w:rsid w:val="00887E81"/>
    <w:rsid w:val="00890043"/>
    <w:rsid w:val="00890151"/>
    <w:rsid w:val="0089019E"/>
    <w:rsid w:val="008902C9"/>
    <w:rsid w:val="00890498"/>
    <w:rsid w:val="00890AE8"/>
    <w:rsid w:val="00890BEA"/>
    <w:rsid w:val="00890DF4"/>
    <w:rsid w:val="00890F6E"/>
    <w:rsid w:val="00891251"/>
    <w:rsid w:val="0089141C"/>
    <w:rsid w:val="00891512"/>
    <w:rsid w:val="00891625"/>
    <w:rsid w:val="00891862"/>
    <w:rsid w:val="00891888"/>
    <w:rsid w:val="00891B38"/>
    <w:rsid w:val="00891B3A"/>
    <w:rsid w:val="00891BB2"/>
    <w:rsid w:val="00891C07"/>
    <w:rsid w:val="00891D87"/>
    <w:rsid w:val="00891EB9"/>
    <w:rsid w:val="008923F5"/>
    <w:rsid w:val="00892733"/>
    <w:rsid w:val="00892A72"/>
    <w:rsid w:val="00892B7C"/>
    <w:rsid w:val="00892EC8"/>
    <w:rsid w:val="00892F9A"/>
    <w:rsid w:val="00893262"/>
    <w:rsid w:val="0089328B"/>
    <w:rsid w:val="00893297"/>
    <w:rsid w:val="0089390B"/>
    <w:rsid w:val="00893A41"/>
    <w:rsid w:val="00893B40"/>
    <w:rsid w:val="00893FDE"/>
    <w:rsid w:val="00894391"/>
    <w:rsid w:val="0089454D"/>
    <w:rsid w:val="008945FC"/>
    <w:rsid w:val="00894842"/>
    <w:rsid w:val="00894A01"/>
    <w:rsid w:val="00894A82"/>
    <w:rsid w:val="00894B59"/>
    <w:rsid w:val="00894CAC"/>
    <w:rsid w:val="00894D11"/>
    <w:rsid w:val="00894E55"/>
    <w:rsid w:val="00894EF7"/>
    <w:rsid w:val="00895044"/>
    <w:rsid w:val="00895183"/>
    <w:rsid w:val="00895252"/>
    <w:rsid w:val="008953B5"/>
    <w:rsid w:val="00895409"/>
    <w:rsid w:val="00895412"/>
    <w:rsid w:val="008954B7"/>
    <w:rsid w:val="0089586B"/>
    <w:rsid w:val="00895B66"/>
    <w:rsid w:val="00895BED"/>
    <w:rsid w:val="00895D56"/>
    <w:rsid w:val="00895E76"/>
    <w:rsid w:val="00895EA1"/>
    <w:rsid w:val="00896192"/>
    <w:rsid w:val="0089626E"/>
    <w:rsid w:val="00896273"/>
    <w:rsid w:val="008962DF"/>
    <w:rsid w:val="0089652E"/>
    <w:rsid w:val="0089674D"/>
    <w:rsid w:val="008969D9"/>
    <w:rsid w:val="00896ABA"/>
    <w:rsid w:val="00896B83"/>
    <w:rsid w:val="00896C31"/>
    <w:rsid w:val="00896C53"/>
    <w:rsid w:val="00896E74"/>
    <w:rsid w:val="00897090"/>
    <w:rsid w:val="008970B6"/>
    <w:rsid w:val="00897201"/>
    <w:rsid w:val="00897577"/>
    <w:rsid w:val="0089759F"/>
    <w:rsid w:val="0089772B"/>
    <w:rsid w:val="00897730"/>
    <w:rsid w:val="0089799F"/>
    <w:rsid w:val="008A0035"/>
    <w:rsid w:val="008A0106"/>
    <w:rsid w:val="008A020F"/>
    <w:rsid w:val="008A026B"/>
    <w:rsid w:val="008A033C"/>
    <w:rsid w:val="008A033E"/>
    <w:rsid w:val="008A05B7"/>
    <w:rsid w:val="008A05F7"/>
    <w:rsid w:val="008A0606"/>
    <w:rsid w:val="008A07E4"/>
    <w:rsid w:val="008A0865"/>
    <w:rsid w:val="008A08E2"/>
    <w:rsid w:val="008A0941"/>
    <w:rsid w:val="008A0A62"/>
    <w:rsid w:val="008A0BDA"/>
    <w:rsid w:val="008A0C19"/>
    <w:rsid w:val="008A0C51"/>
    <w:rsid w:val="008A0CC6"/>
    <w:rsid w:val="008A0DB6"/>
    <w:rsid w:val="008A0E51"/>
    <w:rsid w:val="008A0FDB"/>
    <w:rsid w:val="008A1266"/>
    <w:rsid w:val="008A14F3"/>
    <w:rsid w:val="008A1A79"/>
    <w:rsid w:val="008A1B00"/>
    <w:rsid w:val="008A1CE5"/>
    <w:rsid w:val="008A1DC5"/>
    <w:rsid w:val="008A1F02"/>
    <w:rsid w:val="008A1F93"/>
    <w:rsid w:val="008A2349"/>
    <w:rsid w:val="008A24FA"/>
    <w:rsid w:val="008A256F"/>
    <w:rsid w:val="008A27C2"/>
    <w:rsid w:val="008A29EC"/>
    <w:rsid w:val="008A2B02"/>
    <w:rsid w:val="008A2B31"/>
    <w:rsid w:val="008A2CE9"/>
    <w:rsid w:val="008A2D1D"/>
    <w:rsid w:val="008A30AF"/>
    <w:rsid w:val="008A30F9"/>
    <w:rsid w:val="008A30FF"/>
    <w:rsid w:val="008A37B4"/>
    <w:rsid w:val="008A3ABC"/>
    <w:rsid w:val="008A3AC2"/>
    <w:rsid w:val="008A3BFC"/>
    <w:rsid w:val="008A3CA5"/>
    <w:rsid w:val="008A3F82"/>
    <w:rsid w:val="008A400E"/>
    <w:rsid w:val="008A4586"/>
    <w:rsid w:val="008A476D"/>
    <w:rsid w:val="008A488B"/>
    <w:rsid w:val="008A4C3A"/>
    <w:rsid w:val="008A4E7D"/>
    <w:rsid w:val="008A5368"/>
    <w:rsid w:val="008A55E2"/>
    <w:rsid w:val="008A56FE"/>
    <w:rsid w:val="008A5789"/>
    <w:rsid w:val="008A5A23"/>
    <w:rsid w:val="008A5FA8"/>
    <w:rsid w:val="008A612B"/>
    <w:rsid w:val="008A62BE"/>
    <w:rsid w:val="008A63A4"/>
    <w:rsid w:val="008A66AF"/>
    <w:rsid w:val="008A68D4"/>
    <w:rsid w:val="008A6C07"/>
    <w:rsid w:val="008A6E33"/>
    <w:rsid w:val="008A6E4E"/>
    <w:rsid w:val="008A6E6D"/>
    <w:rsid w:val="008A70F3"/>
    <w:rsid w:val="008A7445"/>
    <w:rsid w:val="008A7496"/>
    <w:rsid w:val="008A75C0"/>
    <w:rsid w:val="008A7688"/>
    <w:rsid w:val="008A77EE"/>
    <w:rsid w:val="008A77FA"/>
    <w:rsid w:val="008A78CA"/>
    <w:rsid w:val="008A7A35"/>
    <w:rsid w:val="008A7B23"/>
    <w:rsid w:val="008A7D1B"/>
    <w:rsid w:val="008B005C"/>
    <w:rsid w:val="008B04DC"/>
    <w:rsid w:val="008B0705"/>
    <w:rsid w:val="008B072C"/>
    <w:rsid w:val="008B07C0"/>
    <w:rsid w:val="008B0C2D"/>
    <w:rsid w:val="008B0C7B"/>
    <w:rsid w:val="008B0C90"/>
    <w:rsid w:val="008B113F"/>
    <w:rsid w:val="008B11B4"/>
    <w:rsid w:val="008B12A0"/>
    <w:rsid w:val="008B1359"/>
    <w:rsid w:val="008B13DC"/>
    <w:rsid w:val="008B1423"/>
    <w:rsid w:val="008B153A"/>
    <w:rsid w:val="008B179A"/>
    <w:rsid w:val="008B1C0A"/>
    <w:rsid w:val="008B1D9C"/>
    <w:rsid w:val="008B22E6"/>
    <w:rsid w:val="008B22F0"/>
    <w:rsid w:val="008B2412"/>
    <w:rsid w:val="008B24F2"/>
    <w:rsid w:val="008B2521"/>
    <w:rsid w:val="008B2542"/>
    <w:rsid w:val="008B2A50"/>
    <w:rsid w:val="008B2A94"/>
    <w:rsid w:val="008B2F03"/>
    <w:rsid w:val="008B30DC"/>
    <w:rsid w:val="008B3208"/>
    <w:rsid w:val="008B36D1"/>
    <w:rsid w:val="008B36F1"/>
    <w:rsid w:val="008B378A"/>
    <w:rsid w:val="008B38B2"/>
    <w:rsid w:val="008B3D18"/>
    <w:rsid w:val="008B3D35"/>
    <w:rsid w:val="008B3E2A"/>
    <w:rsid w:val="008B3FD4"/>
    <w:rsid w:val="008B40CE"/>
    <w:rsid w:val="008B41CF"/>
    <w:rsid w:val="008B4238"/>
    <w:rsid w:val="008B467C"/>
    <w:rsid w:val="008B4701"/>
    <w:rsid w:val="008B48C6"/>
    <w:rsid w:val="008B48CF"/>
    <w:rsid w:val="008B4AD1"/>
    <w:rsid w:val="008B4B5B"/>
    <w:rsid w:val="008B5262"/>
    <w:rsid w:val="008B5814"/>
    <w:rsid w:val="008B5997"/>
    <w:rsid w:val="008B5C1B"/>
    <w:rsid w:val="008B61A9"/>
    <w:rsid w:val="008B6209"/>
    <w:rsid w:val="008B64C6"/>
    <w:rsid w:val="008B6551"/>
    <w:rsid w:val="008B66EF"/>
    <w:rsid w:val="008B6961"/>
    <w:rsid w:val="008B6978"/>
    <w:rsid w:val="008B69F2"/>
    <w:rsid w:val="008B6B4A"/>
    <w:rsid w:val="008B6D5E"/>
    <w:rsid w:val="008B6ECC"/>
    <w:rsid w:val="008B6FFA"/>
    <w:rsid w:val="008B71CC"/>
    <w:rsid w:val="008B7210"/>
    <w:rsid w:val="008B73A3"/>
    <w:rsid w:val="008B77F0"/>
    <w:rsid w:val="008B79B9"/>
    <w:rsid w:val="008B7A5B"/>
    <w:rsid w:val="008B7CBD"/>
    <w:rsid w:val="008C01E8"/>
    <w:rsid w:val="008C02A6"/>
    <w:rsid w:val="008C0586"/>
    <w:rsid w:val="008C05ED"/>
    <w:rsid w:val="008C0784"/>
    <w:rsid w:val="008C0855"/>
    <w:rsid w:val="008C09A5"/>
    <w:rsid w:val="008C09C2"/>
    <w:rsid w:val="008C0A21"/>
    <w:rsid w:val="008C0C3D"/>
    <w:rsid w:val="008C0D44"/>
    <w:rsid w:val="008C0D5F"/>
    <w:rsid w:val="008C0EE3"/>
    <w:rsid w:val="008C0F72"/>
    <w:rsid w:val="008C1051"/>
    <w:rsid w:val="008C10BA"/>
    <w:rsid w:val="008C1172"/>
    <w:rsid w:val="008C1606"/>
    <w:rsid w:val="008C1762"/>
    <w:rsid w:val="008C1766"/>
    <w:rsid w:val="008C1841"/>
    <w:rsid w:val="008C1873"/>
    <w:rsid w:val="008C18F5"/>
    <w:rsid w:val="008C19B4"/>
    <w:rsid w:val="008C1A99"/>
    <w:rsid w:val="008C1CD8"/>
    <w:rsid w:val="008C1F3C"/>
    <w:rsid w:val="008C21A8"/>
    <w:rsid w:val="008C23BB"/>
    <w:rsid w:val="008C247F"/>
    <w:rsid w:val="008C28B9"/>
    <w:rsid w:val="008C2A24"/>
    <w:rsid w:val="008C2B70"/>
    <w:rsid w:val="008C2C58"/>
    <w:rsid w:val="008C2D0D"/>
    <w:rsid w:val="008C2DCC"/>
    <w:rsid w:val="008C2F00"/>
    <w:rsid w:val="008C30FA"/>
    <w:rsid w:val="008C318C"/>
    <w:rsid w:val="008C3377"/>
    <w:rsid w:val="008C35EA"/>
    <w:rsid w:val="008C35F8"/>
    <w:rsid w:val="008C373F"/>
    <w:rsid w:val="008C37B5"/>
    <w:rsid w:val="008C3B23"/>
    <w:rsid w:val="008C3B3F"/>
    <w:rsid w:val="008C3B43"/>
    <w:rsid w:val="008C3C19"/>
    <w:rsid w:val="008C3F66"/>
    <w:rsid w:val="008C3FC5"/>
    <w:rsid w:val="008C4141"/>
    <w:rsid w:val="008C42C1"/>
    <w:rsid w:val="008C4384"/>
    <w:rsid w:val="008C44BF"/>
    <w:rsid w:val="008C4566"/>
    <w:rsid w:val="008C4849"/>
    <w:rsid w:val="008C4AD6"/>
    <w:rsid w:val="008C4B3E"/>
    <w:rsid w:val="008C4B9D"/>
    <w:rsid w:val="008C4E1D"/>
    <w:rsid w:val="008C53A1"/>
    <w:rsid w:val="008C568C"/>
    <w:rsid w:val="008C5770"/>
    <w:rsid w:val="008C5983"/>
    <w:rsid w:val="008C5A6B"/>
    <w:rsid w:val="008C67B8"/>
    <w:rsid w:val="008C6ECC"/>
    <w:rsid w:val="008C6F0D"/>
    <w:rsid w:val="008C6FBE"/>
    <w:rsid w:val="008C73A7"/>
    <w:rsid w:val="008C743C"/>
    <w:rsid w:val="008C74B4"/>
    <w:rsid w:val="008C7539"/>
    <w:rsid w:val="008C76F9"/>
    <w:rsid w:val="008C788E"/>
    <w:rsid w:val="008C799E"/>
    <w:rsid w:val="008C7A1F"/>
    <w:rsid w:val="008C7C83"/>
    <w:rsid w:val="008C7CBC"/>
    <w:rsid w:val="008D0355"/>
    <w:rsid w:val="008D044C"/>
    <w:rsid w:val="008D080D"/>
    <w:rsid w:val="008D09A7"/>
    <w:rsid w:val="008D09A8"/>
    <w:rsid w:val="008D0B13"/>
    <w:rsid w:val="008D0B54"/>
    <w:rsid w:val="008D0BBC"/>
    <w:rsid w:val="008D0D6C"/>
    <w:rsid w:val="008D0E5E"/>
    <w:rsid w:val="008D0F0D"/>
    <w:rsid w:val="008D105D"/>
    <w:rsid w:val="008D1289"/>
    <w:rsid w:val="008D1457"/>
    <w:rsid w:val="008D14C3"/>
    <w:rsid w:val="008D1855"/>
    <w:rsid w:val="008D1926"/>
    <w:rsid w:val="008D1D1F"/>
    <w:rsid w:val="008D1DF7"/>
    <w:rsid w:val="008D1E8D"/>
    <w:rsid w:val="008D204A"/>
    <w:rsid w:val="008D2185"/>
    <w:rsid w:val="008D225E"/>
    <w:rsid w:val="008D23A0"/>
    <w:rsid w:val="008D245C"/>
    <w:rsid w:val="008D273D"/>
    <w:rsid w:val="008D2886"/>
    <w:rsid w:val="008D289C"/>
    <w:rsid w:val="008D2C0E"/>
    <w:rsid w:val="008D2E3B"/>
    <w:rsid w:val="008D3156"/>
    <w:rsid w:val="008D347F"/>
    <w:rsid w:val="008D3486"/>
    <w:rsid w:val="008D352C"/>
    <w:rsid w:val="008D3694"/>
    <w:rsid w:val="008D3717"/>
    <w:rsid w:val="008D38F1"/>
    <w:rsid w:val="008D3ABE"/>
    <w:rsid w:val="008D3DBB"/>
    <w:rsid w:val="008D3EB3"/>
    <w:rsid w:val="008D3EE2"/>
    <w:rsid w:val="008D3F68"/>
    <w:rsid w:val="008D3FF2"/>
    <w:rsid w:val="008D4018"/>
    <w:rsid w:val="008D4113"/>
    <w:rsid w:val="008D41E6"/>
    <w:rsid w:val="008D459D"/>
    <w:rsid w:val="008D45AB"/>
    <w:rsid w:val="008D471F"/>
    <w:rsid w:val="008D4723"/>
    <w:rsid w:val="008D47A5"/>
    <w:rsid w:val="008D48B4"/>
    <w:rsid w:val="008D4C2B"/>
    <w:rsid w:val="008D4DA1"/>
    <w:rsid w:val="008D4E99"/>
    <w:rsid w:val="008D4FB5"/>
    <w:rsid w:val="008D505C"/>
    <w:rsid w:val="008D517C"/>
    <w:rsid w:val="008D5426"/>
    <w:rsid w:val="008D5540"/>
    <w:rsid w:val="008D5645"/>
    <w:rsid w:val="008D59BB"/>
    <w:rsid w:val="008D5A0C"/>
    <w:rsid w:val="008D5A6C"/>
    <w:rsid w:val="008D6358"/>
    <w:rsid w:val="008D6495"/>
    <w:rsid w:val="008D6567"/>
    <w:rsid w:val="008D6667"/>
    <w:rsid w:val="008D6786"/>
    <w:rsid w:val="008D68C7"/>
    <w:rsid w:val="008D6C06"/>
    <w:rsid w:val="008D6D0F"/>
    <w:rsid w:val="008D7023"/>
    <w:rsid w:val="008D710E"/>
    <w:rsid w:val="008D71FD"/>
    <w:rsid w:val="008D7641"/>
    <w:rsid w:val="008D7908"/>
    <w:rsid w:val="008E00C8"/>
    <w:rsid w:val="008E01F4"/>
    <w:rsid w:val="008E046A"/>
    <w:rsid w:val="008E0540"/>
    <w:rsid w:val="008E0683"/>
    <w:rsid w:val="008E068D"/>
    <w:rsid w:val="008E06C0"/>
    <w:rsid w:val="008E06DD"/>
    <w:rsid w:val="008E0B75"/>
    <w:rsid w:val="008E0BD2"/>
    <w:rsid w:val="008E0BF3"/>
    <w:rsid w:val="008E0CFF"/>
    <w:rsid w:val="008E0D3D"/>
    <w:rsid w:val="008E0E28"/>
    <w:rsid w:val="008E104E"/>
    <w:rsid w:val="008E16BA"/>
    <w:rsid w:val="008E1728"/>
    <w:rsid w:val="008E1791"/>
    <w:rsid w:val="008E182F"/>
    <w:rsid w:val="008E191E"/>
    <w:rsid w:val="008E19B9"/>
    <w:rsid w:val="008E1A40"/>
    <w:rsid w:val="008E1A7B"/>
    <w:rsid w:val="008E1B12"/>
    <w:rsid w:val="008E1BFB"/>
    <w:rsid w:val="008E1C2F"/>
    <w:rsid w:val="008E248F"/>
    <w:rsid w:val="008E28E2"/>
    <w:rsid w:val="008E31D5"/>
    <w:rsid w:val="008E364B"/>
    <w:rsid w:val="008E38F3"/>
    <w:rsid w:val="008E3BEB"/>
    <w:rsid w:val="008E3C58"/>
    <w:rsid w:val="008E3D21"/>
    <w:rsid w:val="008E3D22"/>
    <w:rsid w:val="008E435B"/>
    <w:rsid w:val="008E4458"/>
    <w:rsid w:val="008E452C"/>
    <w:rsid w:val="008E4838"/>
    <w:rsid w:val="008E4949"/>
    <w:rsid w:val="008E4A20"/>
    <w:rsid w:val="008E4D9C"/>
    <w:rsid w:val="008E4DBC"/>
    <w:rsid w:val="008E4F8E"/>
    <w:rsid w:val="008E5023"/>
    <w:rsid w:val="008E504E"/>
    <w:rsid w:val="008E509C"/>
    <w:rsid w:val="008E5194"/>
    <w:rsid w:val="008E54A4"/>
    <w:rsid w:val="008E54E8"/>
    <w:rsid w:val="008E54EB"/>
    <w:rsid w:val="008E5728"/>
    <w:rsid w:val="008E575A"/>
    <w:rsid w:val="008E5768"/>
    <w:rsid w:val="008E5946"/>
    <w:rsid w:val="008E5999"/>
    <w:rsid w:val="008E5A0A"/>
    <w:rsid w:val="008E5A31"/>
    <w:rsid w:val="008E5B83"/>
    <w:rsid w:val="008E5F37"/>
    <w:rsid w:val="008E6288"/>
    <w:rsid w:val="008E63D8"/>
    <w:rsid w:val="008E6565"/>
    <w:rsid w:val="008E6737"/>
    <w:rsid w:val="008E68D3"/>
    <w:rsid w:val="008E69C0"/>
    <w:rsid w:val="008E6A7C"/>
    <w:rsid w:val="008E6B44"/>
    <w:rsid w:val="008E74BC"/>
    <w:rsid w:val="008E7B68"/>
    <w:rsid w:val="008E7CE0"/>
    <w:rsid w:val="008E7D0C"/>
    <w:rsid w:val="008E7D4C"/>
    <w:rsid w:val="008F027E"/>
    <w:rsid w:val="008F06F9"/>
    <w:rsid w:val="008F07C2"/>
    <w:rsid w:val="008F095C"/>
    <w:rsid w:val="008F0A61"/>
    <w:rsid w:val="008F0BC0"/>
    <w:rsid w:val="008F0C4E"/>
    <w:rsid w:val="008F0C74"/>
    <w:rsid w:val="008F0E4E"/>
    <w:rsid w:val="008F0F6B"/>
    <w:rsid w:val="008F1050"/>
    <w:rsid w:val="008F1347"/>
    <w:rsid w:val="008F152F"/>
    <w:rsid w:val="008F186A"/>
    <w:rsid w:val="008F18AA"/>
    <w:rsid w:val="008F18EF"/>
    <w:rsid w:val="008F1903"/>
    <w:rsid w:val="008F1AA1"/>
    <w:rsid w:val="008F1CC6"/>
    <w:rsid w:val="008F1DD4"/>
    <w:rsid w:val="008F1E65"/>
    <w:rsid w:val="008F24B2"/>
    <w:rsid w:val="008F261E"/>
    <w:rsid w:val="008F262A"/>
    <w:rsid w:val="008F28C0"/>
    <w:rsid w:val="008F293C"/>
    <w:rsid w:val="008F2996"/>
    <w:rsid w:val="008F2B87"/>
    <w:rsid w:val="008F2C14"/>
    <w:rsid w:val="008F2C9A"/>
    <w:rsid w:val="008F2CD9"/>
    <w:rsid w:val="008F2D3D"/>
    <w:rsid w:val="008F2DAE"/>
    <w:rsid w:val="008F2FB6"/>
    <w:rsid w:val="008F2FD7"/>
    <w:rsid w:val="008F303C"/>
    <w:rsid w:val="008F31FE"/>
    <w:rsid w:val="008F35B8"/>
    <w:rsid w:val="008F398A"/>
    <w:rsid w:val="008F3BFD"/>
    <w:rsid w:val="008F3CDD"/>
    <w:rsid w:val="008F3DB0"/>
    <w:rsid w:val="008F462E"/>
    <w:rsid w:val="008F4BA1"/>
    <w:rsid w:val="008F4DAB"/>
    <w:rsid w:val="008F4EBB"/>
    <w:rsid w:val="008F4F72"/>
    <w:rsid w:val="008F4FC3"/>
    <w:rsid w:val="008F5142"/>
    <w:rsid w:val="008F517C"/>
    <w:rsid w:val="008F51ED"/>
    <w:rsid w:val="008F528D"/>
    <w:rsid w:val="008F54E2"/>
    <w:rsid w:val="008F5638"/>
    <w:rsid w:val="008F5677"/>
    <w:rsid w:val="008F5D18"/>
    <w:rsid w:val="008F65F8"/>
    <w:rsid w:val="008F6EC7"/>
    <w:rsid w:val="008F7239"/>
    <w:rsid w:val="008F728C"/>
    <w:rsid w:val="008F733C"/>
    <w:rsid w:val="008F7A0F"/>
    <w:rsid w:val="008F7B02"/>
    <w:rsid w:val="008F7C50"/>
    <w:rsid w:val="008F7F5A"/>
    <w:rsid w:val="00900135"/>
    <w:rsid w:val="00900155"/>
    <w:rsid w:val="0090031F"/>
    <w:rsid w:val="00900350"/>
    <w:rsid w:val="00900377"/>
    <w:rsid w:val="009003AD"/>
    <w:rsid w:val="0090050E"/>
    <w:rsid w:val="009007AF"/>
    <w:rsid w:val="00900827"/>
    <w:rsid w:val="0090093E"/>
    <w:rsid w:val="009009F7"/>
    <w:rsid w:val="00900CAF"/>
    <w:rsid w:val="009010F4"/>
    <w:rsid w:val="009013A7"/>
    <w:rsid w:val="009018D2"/>
    <w:rsid w:val="00901BBD"/>
    <w:rsid w:val="00901C84"/>
    <w:rsid w:val="00901D12"/>
    <w:rsid w:val="009020C6"/>
    <w:rsid w:val="00902134"/>
    <w:rsid w:val="00902140"/>
    <w:rsid w:val="0090259E"/>
    <w:rsid w:val="00902811"/>
    <w:rsid w:val="009029CF"/>
    <w:rsid w:val="00902B83"/>
    <w:rsid w:val="00902E30"/>
    <w:rsid w:val="00902F49"/>
    <w:rsid w:val="00903042"/>
    <w:rsid w:val="009033BB"/>
    <w:rsid w:val="0090373E"/>
    <w:rsid w:val="0090388B"/>
    <w:rsid w:val="00903928"/>
    <w:rsid w:val="009039EE"/>
    <w:rsid w:val="00903A8D"/>
    <w:rsid w:val="00903CF2"/>
    <w:rsid w:val="00903F33"/>
    <w:rsid w:val="00903FDA"/>
    <w:rsid w:val="00903FDF"/>
    <w:rsid w:val="009041B5"/>
    <w:rsid w:val="00904285"/>
    <w:rsid w:val="00904454"/>
    <w:rsid w:val="0090484B"/>
    <w:rsid w:val="00904865"/>
    <w:rsid w:val="0090490F"/>
    <w:rsid w:val="009049D4"/>
    <w:rsid w:val="00904A7C"/>
    <w:rsid w:val="00904D6C"/>
    <w:rsid w:val="00904DE7"/>
    <w:rsid w:val="00904DEA"/>
    <w:rsid w:val="00904F66"/>
    <w:rsid w:val="00904FC2"/>
    <w:rsid w:val="009055F7"/>
    <w:rsid w:val="009056A5"/>
    <w:rsid w:val="009056F9"/>
    <w:rsid w:val="009058E5"/>
    <w:rsid w:val="00905E1C"/>
    <w:rsid w:val="00906099"/>
    <w:rsid w:val="009060B3"/>
    <w:rsid w:val="009062A0"/>
    <w:rsid w:val="009064C8"/>
    <w:rsid w:val="00906518"/>
    <w:rsid w:val="009066D7"/>
    <w:rsid w:val="0090671F"/>
    <w:rsid w:val="009068F9"/>
    <w:rsid w:val="00906A7A"/>
    <w:rsid w:val="00906B3B"/>
    <w:rsid w:val="00906EB4"/>
    <w:rsid w:val="00906EFE"/>
    <w:rsid w:val="00906F54"/>
    <w:rsid w:val="00906FC3"/>
    <w:rsid w:val="0090703C"/>
    <w:rsid w:val="00907147"/>
    <w:rsid w:val="00907250"/>
    <w:rsid w:val="00907258"/>
    <w:rsid w:val="009073BC"/>
    <w:rsid w:val="009073FC"/>
    <w:rsid w:val="00907681"/>
    <w:rsid w:val="00907807"/>
    <w:rsid w:val="0090780C"/>
    <w:rsid w:val="0090782F"/>
    <w:rsid w:val="009078A4"/>
    <w:rsid w:val="009079B0"/>
    <w:rsid w:val="00907ABF"/>
    <w:rsid w:val="00907FFE"/>
    <w:rsid w:val="00910011"/>
    <w:rsid w:val="0091029D"/>
    <w:rsid w:val="00910335"/>
    <w:rsid w:val="00910428"/>
    <w:rsid w:val="009104E0"/>
    <w:rsid w:val="009105E2"/>
    <w:rsid w:val="00910636"/>
    <w:rsid w:val="009107C9"/>
    <w:rsid w:val="00910C98"/>
    <w:rsid w:val="00910D16"/>
    <w:rsid w:val="00910E21"/>
    <w:rsid w:val="00910EBF"/>
    <w:rsid w:val="00911119"/>
    <w:rsid w:val="009113F6"/>
    <w:rsid w:val="009114FD"/>
    <w:rsid w:val="00911558"/>
    <w:rsid w:val="0091156E"/>
    <w:rsid w:val="009115AF"/>
    <w:rsid w:val="00911674"/>
    <w:rsid w:val="00911A8B"/>
    <w:rsid w:val="0091230F"/>
    <w:rsid w:val="0091252E"/>
    <w:rsid w:val="00912713"/>
    <w:rsid w:val="009128C9"/>
    <w:rsid w:val="009129F8"/>
    <w:rsid w:val="00912BC3"/>
    <w:rsid w:val="00912D1E"/>
    <w:rsid w:val="00912DF6"/>
    <w:rsid w:val="00912E54"/>
    <w:rsid w:val="009136A2"/>
    <w:rsid w:val="009137C3"/>
    <w:rsid w:val="0091381A"/>
    <w:rsid w:val="00913862"/>
    <w:rsid w:val="009141FC"/>
    <w:rsid w:val="009144EB"/>
    <w:rsid w:val="00914504"/>
    <w:rsid w:val="009146A1"/>
    <w:rsid w:val="00914787"/>
    <w:rsid w:val="009147E8"/>
    <w:rsid w:val="00914983"/>
    <w:rsid w:val="00914AB5"/>
    <w:rsid w:val="00914F8E"/>
    <w:rsid w:val="00914FD3"/>
    <w:rsid w:val="00915381"/>
    <w:rsid w:val="009153EE"/>
    <w:rsid w:val="00915746"/>
    <w:rsid w:val="00915914"/>
    <w:rsid w:val="00915980"/>
    <w:rsid w:val="00915C2B"/>
    <w:rsid w:val="00915ED7"/>
    <w:rsid w:val="009162EC"/>
    <w:rsid w:val="00916447"/>
    <w:rsid w:val="009167B8"/>
    <w:rsid w:val="009167C0"/>
    <w:rsid w:val="00916B81"/>
    <w:rsid w:val="00916BB5"/>
    <w:rsid w:val="00916C7A"/>
    <w:rsid w:val="00916D1D"/>
    <w:rsid w:val="00916D83"/>
    <w:rsid w:val="009171DA"/>
    <w:rsid w:val="0091720D"/>
    <w:rsid w:val="00917358"/>
    <w:rsid w:val="009173F4"/>
    <w:rsid w:val="0091749B"/>
    <w:rsid w:val="009174A9"/>
    <w:rsid w:val="0091760C"/>
    <w:rsid w:val="009177E7"/>
    <w:rsid w:val="009200E3"/>
    <w:rsid w:val="00920428"/>
    <w:rsid w:val="00920560"/>
    <w:rsid w:val="00920842"/>
    <w:rsid w:val="00920B09"/>
    <w:rsid w:val="00920B60"/>
    <w:rsid w:val="00920D89"/>
    <w:rsid w:val="00920FDE"/>
    <w:rsid w:val="00921187"/>
    <w:rsid w:val="00921190"/>
    <w:rsid w:val="009216EC"/>
    <w:rsid w:val="00921938"/>
    <w:rsid w:val="00921A20"/>
    <w:rsid w:val="00921ECA"/>
    <w:rsid w:val="00922082"/>
    <w:rsid w:val="009220CA"/>
    <w:rsid w:val="00922159"/>
    <w:rsid w:val="00922974"/>
    <w:rsid w:val="00922BF1"/>
    <w:rsid w:val="00922D08"/>
    <w:rsid w:val="00922D1B"/>
    <w:rsid w:val="00922F33"/>
    <w:rsid w:val="0092323C"/>
    <w:rsid w:val="009232FF"/>
    <w:rsid w:val="00923361"/>
    <w:rsid w:val="00923A98"/>
    <w:rsid w:val="00923B67"/>
    <w:rsid w:val="00923C7D"/>
    <w:rsid w:val="00923E12"/>
    <w:rsid w:val="00923E76"/>
    <w:rsid w:val="00923EEC"/>
    <w:rsid w:val="00924246"/>
    <w:rsid w:val="00924261"/>
    <w:rsid w:val="00924265"/>
    <w:rsid w:val="0092437D"/>
    <w:rsid w:val="009245E7"/>
    <w:rsid w:val="009248E8"/>
    <w:rsid w:val="00924AF3"/>
    <w:rsid w:val="00924B59"/>
    <w:rsid w:val="00924E30"/>
    <w:rsid w:val="00924E6D"/>
    <w:rsid w:val="00925063"/>
    <w:rsid w:val="00925187"/>
    <w:rsid w:val="009253A2"/>
    <w:rsid w:val="0092549E"/>
    <w:rsid w:val="00925589"/>
    <w:rsid w:val="009255B1"/>
    <w:rsid w:val="009255DA"/>
    <w:rsid w:val="009256C5"/>
    <w:rsid w:val="00925706"/>
    <w:rsid w:val="009257CF"/>
    <w:rsid w:val="009258BE"/>
    <w:rsid w:val="00925A87"/>
    <w:rsid w:val="00925D1C"/>
    <w:rsid w:val="00925E12"/>
    <w:rsid w:val="00926428"/>
    <w:rsid w:val="009266DE"/>
    <w:rsid w:val="009268A4"/>
    <w:rsid w:val="00926A60"/>
    <w:rsid w:val="00926C62"/>
    <w:rsid w:val="00926C7C"/>
    <w:rsid w:val="00926EE4"/>
    <w:rsid w:val="009270B7"/>
    <w:rsid w:val="00927149"/>
    <w:rsid w:val="00927159"/>
    <w:rsid w:val="00927245"/>
    <w:rsid w:val="00927691"/>
    <w:rsid w:val="009278EA"/>
    <w:rsid w:val="0092791D"/>
    <w:rsid w:val="00927AFB"/>
    <w:rsid w:val="00927D70"/>
    <w:rsid w:val="00927D77"/>
    <w:rsid w:val="00927DC5"/>
    <w:rsid w:val="00927E0D"/>
    <w:rsid w:val="00927F1B"/>
    <w:rsid w:val="00930051"/>
    <w:rsid w:val="00930068"/>
    <w:rsid w:val="009301FC"/>
    <w:rsid w:val="009302CB"/>
    <w:rsid w:val="0093035A"/>
    <w:rsid w:val="00930563"/>
    <w:rsid w:val="0093057A"/>
    <w:rsid w:val="009305FF"/>
    <w:rsid w:val="00930A3A"/>
    <w:rsid w:val="00930A5E"/>
    <w:rsid w:val="00930BFF"/>
    <w:rsid w:val="00930CA9"/>
    <w:rsid w:val="00930DF0"/>
    <w:rsid w:val="00930EB5"/>
    <w:rsid w:val="009312F1"/>
    <w:rsid w:val="00931384"/>
    <w:rsid w:val="009313E5"/>
    <w:rsid w:val="009317D6"/>
    <w:rsid w:val="00931816"/>
    <w:rsid w:val="00931875"/>
    <w:rsid w:val="00932E4B"/>
    <w:rsid w:val="00933158"/>
    <w:rsid w:val="009334B7"/>
    <w:rsid w:val="00933C59"/>
    <w:rsid w:val="009342A9"/>
    <w:rsid w:val="009344ED"/>
    <w:rsid w:val="00934832"/>
    <w:rsid w:val="009348DF"/>
    <w:rsid w:val="009349BB"/>
    <w:rsid w:val="009349E7"/>
    <w:rsid w:val="00934FD8"/>
    <w:rsid w:val="009352DD"/>
    <w:rsid w:val="0093553C"/>
    <w:rsid w:val="00935664"/>
    <w:rsid w:val="009358E7"/>
    <w:rsid w:val="00935A2F"/>
    <w:rsid w:val="00935A72"/>
    <w:rsid w:val="00935C53"/>
    <w:rsid w:val="00935E44"/>
    <w:rsid w:val="009360A5"/>
    <w:rsid w:val="00936252"/>
    <w:rsid w:val="009362B4"/>
    <w:rsid w:val="009363A0"/>
    <w:rsid w:val="00936422"/>
    <w:rsid w:val="009368C3"/>
    <w:rsid w:val="009369F4"/>
    <w:rsid w:val="00936B99"/>
    <w:rsid w:val="00936C83"/>
    <w:rsid w:val="00936D77"/>
    <w:rsid w:val="00937310"/>
    <w:rsid w:val="009373D1"/>
    <w:rsid w:val="0093753C"/>
    <w:rsid w:val="00937598"/>
    <w:rsid w:val="009376B5"/>
    <w:rsid w:val="009379BF"/>
    <w:rsid w:val="00937ABD"/>
    <w:rsid w:val="00937C0E"/>
    <w:rsid w:val="00937C5A"/>
    <w:rsid w:val="00937E19"/>
    <w:rsid w:val="00937EFD"/>
    <w:rsid w:val="00937F0E"/>
    <w:rsid w:val="009403AE"/>
    <w:rsid w:val="00940413"/>
    <w:rsid w:val="009404FE"/>
    <w:rsid w:val="00940827"/>
    <w:rsid w:val="00940924"/>
    <w:rsid w:val="009409AD"/>
    <w:rsid w:val="00940A35"/>
    <w:rsid w:val="00940A69"/>
    <w:rsid w:val="00940BD3"/>
    <w:rsid w:val="00940D25"/>
    <w:rsid w:val="00941011"/>
    <w:rsid w:val="009415CA"/>
    <w:rsid w:val="00941632"/>
    <w:rsid w:val="009418D5"/>
    <w:rsid w:val="00941932"/>
    <w:rsid w:val="00941B3F"/>
    <w:rsid w:val="00941D02"/>
    <w:rsid w:val="009420F9"/>
    <w:rsid w:val="009423E9"/>
    <w:rsid w:val="0094281F"/>
    <w:rsid w:val="00943002"/>
    <w:rsid w:val="009431B5"/>
    <w:rsid w:val="0094345B"/>
    <w:rsid w:val="009436D6"/>
    <w:rsid w:val="00943F73"/>
    <w:rsid w:val="00943FE0"/>
    <w:rsid w:val="00944082"/>
    <w:rsid w:val="00944259"/>
    <w:rsid w:val="00944618"/>
    <w:rsid w:val="00944666"/>
    <w:rsid w:val="00944851"/>
    <w:rsid w:val="009448A5"/>
    <w:rsid w:val="00944AB4"/>
    <w:rsid w:val="00944C27"/>
    <w:rsid w:val="00944C2D"/>
    <w:rsid w:val="00944CA6"/>
    <w:rsid w:val="00944D76"/>
    <w:rsid w:val="00944E9D"/>
    <w:rsid w:val="009450B2"/>
    <w:rsid w:val="009450F5"/>
    <w:rsid w:val="00945224"/>
    <w:rsid w:val="00945239"/>
    <w:rsid w:val="009452BB"/>
    <w:rsid w:val="009455A6"/>
    <w:rsid w:val="00945884"/>
    <w:rsid w:val="009459C3"/>
    <w:rsid w:val="00945C40"/>
    <w:rsid w:val="00945CCB"/>
    <w:rsid w:val="00945CDF"/>
    <w:rsid w:val="00945FB2"/>
    <w:rsid w:val="00946209"/>
    <w:rsid w:val="0094622A"/>
    <w:rsid w:val="009462B8"/>
    <w:rsid w:val="009462E6"/>
    <w:rsid w:val="00946913"/>
    <w:rsid w:val="009469D0"/>
    <w:rsid w:val="00946E73"/>
    <w:rsid w:val="00947024"/>
    <w:rsid w:val="00947388"/>
    <w:rsid w:val="0094744B"/>
    <w:rsid w:val="009475FC"/>
    <w:rsid w:val="00947753"/>
    <w:rsid w:val="00947817"/>
    <w:rsid w:val="00947879"/>
    <w:rsid w:val="00947944"/>
    <w:rsid w:val="00947B54"/>
    <w:rsid w:val="00947DD5"/>
    <w:rsid w:val="00950216"/>
    <w:rsid w:val="009502F3"/>
    <w:rsid w:val="00950878"/>
    <w:rsid w:val="00950B7D"/>
    <w:rsid w:val="00950CFB"/>
    <w:rsid w:val="00950D77"/>
    <w:rsid w:val="00950E3B"/>
    <w:rsid w:val="00951251"/>
    <w:rsid w:val="00951925"/>
    <w:rsid w:val="00951B5F"/>
    <w:rsid w:val="00951C64"/>
    <w:rsid w:val="00951CAD"/>
    <w:rsid w:val="00951CEB"/>
    <w:rsid w:val="00951D21"/>
    <w:rsid w:val="00952023"/>
    <w:rsid w:val="009520F0"/>
    <w:rsid w:val="009522E9"/>
    <w:rsid w:val="009523EC"/>
    <w:rsid w:val="00952BA7"/>
    <w:rsid w:val="00952E9C"/>
    <w:rsid w:val="00952F16"/>
    <w:rsid w:val="00953057"/>
    <w:rsid w:val="0095319B"/>
    <w:rsid w:val="0095357F"/>
    <w:rsid w:val="00953678"/>
    <w:rsid w:val="0095389B"/>
    <w:rsid w:val="009538CD"/>
    <w:rsid w:val="009538FC"/>
    <w:rsid w:val="00953B20"/>
    <w:rsid w:val="00953EB9"/>
    <w:rsid w:val="009541C0"/>
    <w:rsid w:val="009541D0"/>
    <w:rsid w:val="00954586"/>
    <w:rsid w:val="0095472C"/>
    <w:rsid w:val="00954746"/>
    <w:rsid w:val="009547AD"/>
    <w:rsid w:val="009547B2"/>
    <w:rsid w:val="00954C15"/>
    <w:rsid w:val="00954D60"/>
    <w:rsid w:val="00954EBE"/>
    <w:rsid w:val="0095509A"/>
    <w:rsid w:val="0095526E"/>
    <w:rsid w:val="00955284"/>
    <w:rsid w:val="009553B3"/>
    <w:rsid w:val="0095546C"/>
    <w:rsid w:val="009554A0"/>
    <w:rsid w:val="009555D6"/>
    <w:rsid w:val="00955D8B"/>
    <w:rsid w:val="00955ED5"/>
    <w:rsid w:val="00956182"/>
    <w:rsid w:val="0095640E"/>
    <w:rsid w:val="00956581"/>
    <w:rsid w:val="009566B6"/>
    <w:rsid w:val="0095699C"/>
    <w:rsid w:val="00956CC7"/>
    <w:rsid w:val="00956D1F"/>
    <w:rsid w:val="009572DD"/>
    <w:rsid w:val="009575AF"/>
    <w:rsid w:val="009578E6"/>
    <w:rsid w:val="00957940"/>
    <w:rsid w:val="00957978"/>
    <w:rsid w:val="0095797C"/>
    <w:rsid w:val="00957B45"/>
    <w:rsid w:val="00957D43"/>
    <w:rsid w:val="00957EAE"/>
    <w:rsid w:val="00957F12"/>
    <w:rsid w:val="009600F1"/>
    <w:rsid w:val="009601CD"/>
    <w:rsid w:val="00960219"/>
    <w:rsid w:val="0096031F"/>
    <w:rsid w:val="0096067F"/>
    <w:rsid w:val="00960756"/>
    <w:rsid w:val="00960993"/>
    <w:rsid w:val="00960BD8"/>
    <w:rsid w:val="00960C57"/>
    <w:rsid w:val="00960DAB"/>
    <w:rsid w:val="00960E83"/>
    <w:rsid w:val="00960EEA"/>
    <w:rsid w:val="00960F11"/>
    <w:rsid w:val="009610F0"/>
    <w:rsid w:val="0096116C"/>
    <w:rsid w:val="00961274"/>
    <w:rsid w:val="009614D0"/>
    <w:rsid w:val="0096154E"/>
    <w:rsid w:val="00961722"/>
    <w:rsid w:val="0096191F"/>
    <w:rsid w:val="00961A90"/>
    <w:rsid w:val="00961B1C"/>
    <w:rsid w:val="00961B1F"/>
    <w:rsid w:val="00961C48"/>
    <w:rsid w:val="00961C4A"/>
    <w:rsid w:val="00961E80"/>
    <w:rsid w:val="0096200D"/>
    <w:rsid w:val="00962087"/>
    <w:rsid w:val="00962148"/>
    <w:rsid w:val="009621AC"/>
    <w:rsid w:val="0096231F"/>
    <w:rsid w:val="0096235D"/>
    <w:rsid w:val="00962364"/>
    <w:rsid w:val="009624EE"/>
    <w:rsid w:val="009626E2"/>
    <w:rsid w:val="00962A90"/>
    <w:rsid w:val="00962D42"/>
    <w:rsid w:val="00962E44"/>
    <w:rsid w:val="00963018"/>
    <w:rsid w:val="0096303E"/>
    <w:rsid w:val="009632E8"/>
    <w:rsid w:val="0096336D"/>
    <w:rsid w:val="00963562"/>
    <w:rsid w:val="00963576"/>
    <w:rsid w:val="0096374B"/>
    <w:rsid w:val="0096390D"/>
    <w:rsid w:val="00963A27"/>
    <w:rsid w:val="00963B75"/>
    <w:rsid w:val="00963BCE"/>
    <w:rsid w:val="0096418A"/>
    <w:rsid w:val="009641BB"/>
    <w:rsid w:val="0096448E"/>
    <w:rsid w:val="00964550"/>
    <w:rsid w:val="009645B2"/>
    <w:rsid w:val="009645FD"/>
    <w:rsid w:val="009646EB"/>
    <w:rsid w:val="00964829"/>
    <w:rsid w:val="0096483B"/>
    <w:rsid w:val="00964880"/>
    <w:rsid w:val="00964903"/>
    <w:rsid w:val="00964ABD"/>
    <w:rsid w:val="00964D7F"/>
    <w:rsid w:val="00964DB8"/>
    <w:rsid w:val="00964DCA"/>
    <w:rsid w:val="0096522A"/>
    <w:rsid w:val="0096529E"/>
    <w:rsid w:val="00965494"/>
    <w:rsid w:val="00965720"/>
    <w:rsid w:val="00965784"/>
    <w:rsid w:val="00965944"/>
    <w:rsid w:val="00965A65"/>
    <w:rsid w:val="00965ADC"/>
    <w:rsid w:val="00965C83"/>
    <w:rsid w:val="00965EE2"/>
    <w:rsid w:val="00966117"/>
    <w:rsid w:val="00966601"/>
    <w:rsid w:val="0096671D"/>
    <w:rsid w:val="009667BE"/>
    <w:rsid w:val="00966837"/>
    <w:rsid w:val="00966AC9"/>
    <w:rsid w:val="00966E01"/>
    <w:rsid w:val="0096733A"/>
    <w:rsid w:val="009675CD"/>
    <w:rsid w:val="0096787C"/>
    <w:rsid w:val="00967D45"/>
    <w:rsid w:val="0097003B"/>
    <w:rsid w:val="00970578"/>
    <w:rsid w:val="0097059F"/>
    <w:rsid w:val="009706CF"/>
    <w:rsid w:val="00970A07"/>
    <w:rsid w:val="00970C5E"/>
    <w:rsid w:val="009718C9"/>
    <w:rsid w:val="00971900"/>
    <w:rsid w:val="00971E99"/>
    <w:rsid w:val="00971FA4"/>
    <w:rsid w:val="00972004"/>
    <w:rsid w:val="00972483"/>
    <w:rsid w:val="00972625"/>
    <w:rsid w:val="00972997"/>
    <w:rsid w:val="00972C06"/>
    <w:rsid w:val="00972D86"/>
    <w:rsid w:val="009730E6"/>
    <w:rsid w:val="0097318F"/>
    <w:rsid w:val="0097321D"/>
    <w:rsid w:val="0097327F"/>
    <w:rsid w:val="0097345E"/>
    <w:rsid w:val="00973503"/>
    <w:rsid w:val="00973720"/>
    <w:rsid w:val="009737E2"/>
    <w:rsid w:val="00973A41"/>
    <w:rsid w:val="00973BF5"/>
    <w:rsid w:val="00973E47"/>
    <w:rsid w:val="00974000"/>
    <w:rsid w:val="00974063"/>
    <w:rsid w:val="0097432C"/>
    <w:rsid w:val="0097498F"/>
    <w:rsid w:val="00974A74"/>
    <w:rsid w:val="00974D47"/>
    <w:rsid w:val="00974E17"/>
    <w:rsid w:val="00974EF1"/>
    <w:rsid w:val="00975182"/>
    <w:rsid w:val="00975523"/>
    <w:rsid w:val="00975722"/>
    <w:rsid w:val="00975884"/>
    <w:rsid w:val="00975A8A"/>
    <w:rsid w:val="00975BA3"/>
    <w:rsid w:val="00975BCC"/>
    <w:rsid w:val="00975C31"/>
    <w:rsid w:val="00975E72"/>
    <w:rsid w:val="00976062"/>
    <w:rsid w:val="00976071"/>
    <w:rsid w:val="009761A9"/>
    <w:rsid w:val="009761BE"/>
    <w:rsid w:val="00976362"/>
    <w:rsid w:val="0097646B"/>
    <w:rsid w:val="00976611"/>
    <w:rsid w:val="00976700"/>
    <w:rsid w:val="00976787"/>
    <w:rsid w:val="009769A1"/>
    <w:rsid w:val="00976BED"/>
    <w:rsid w:val="00976CA6"/>
    <w:rsid w:val="00976D36"/>
    <w:rsid w:val="00976E99"/>
    <w:rsid w:val="00976FA5"/>
    <w:rsid w:val="009770C9"/>
    <w:rsid w:val="0097746C"/>
    <w:rsid w:val="00977507"/>
    <w:rsid w:val="00977626"/>
    <w:rsid w:val="009776F9"/>
    <w:rsid w:val="00977818"/>
    <w:rsid w:val="00977A01"/>
    <w:rsid w:val="00977A99"/>
    <w:rsid w:val="00977BA9"/>
    <w:rsid w:val="00977CAA"/>
    <w:rsid w:val="00977D70"/>
    <w:rsid w:val="00977D8A"/>
    <w:rsid w:val="00977DFD"/>
    <w:rsid w:val="009800AB"/>
    <w:rsid w:val="009801A8"/>
    <w:rsid w:val="00980387"/>
    <w:rsid w:val="00980565"/>
    <w:rsid w:val="00980669"/>
    <w:rsid w:val="0098077E"/>
    <w:rsid w:val="00980EE5"/>
    <w:rsid w:val="009811FA"/>
    <w:rsid w:val="009813DB"/>
    <w:rsid w:val="009813F1"/>
    <w:rsid w:val="00981B55"/>
    <w:rsid w:val="00981DEB"/>
    <w:rsid w:val="0098232E"/>
    <w:rsid w:val="00982406"/>
    <w:rsid w:val="00982412"/>
    <w:rsid w:val="0098285A"/>
    <w:rsid w:val="009829BF"/>
    <w:rsid w:val="00982AB5"/>
    <w:rsid w:val="00982B2B"/>
    <w:rsid w:val="00982C03"/>
    <w:rsid w:val="00982C08"/>
    <w:rsid w:val="00982E60"/>
    <w:rsid w:val="00982EE9"/>
    <w:rsid w:val="00982F0D"/>
    <w:rsid w:val="009830EC"/>
    <w:rsid w:val="009833F7"/>
    <w:rsid w:val="0098352E"/>
    <w:rsid w:val="009839B6"/>
    <w:rsid w:val="00983BA5"/>
    <w:rsid w:val="00983C7F"/>
    <w:rsid w:val="00983D68"/>
    <w:rsid w:val="00984089"/>
    <w:rsid w:val="0098445F"/>
    <w:rsid w:val="009847AA"/>
    <w:rsid w:val="009849DC"/>
    <w:rsid w:val="00984BA6"/>
    <w:rsid w:val="00984BC0"/>
    <w:rsid w:val="00984C3E"/>
    <w:rsid w:val="00984C55"/>
    <w:rsid w:val="00984F47"/>
    <w:rsid w:val="00984FD2"/>
    <w:rsid w:val="00985049"/>
    <w:rsid w:val="00985A72"/>
    <w:rsid w:val="00985BA9"/>
    <w:rsid w:val="00985E48"/>
    <w:rsid w:val="00985E80"/>
    <w:rsid w:val="009863C2"/>
    <w:rsid w:val="009865F0"/>
    <w:rsid w:val="009866E6"/>
    <w:rsid w:val="0098699D"/>
    <w:rsid w:val="009869E8"/>
    <w:rsid w:val="00986AA1"/>
    <w:rsid w:val="00986B4B"/>
    <w:rsid w:val="00986C3A"/>
    <w:rsid w:val="00986D2C"/>
    <w:rsid w:val="00986EAB"/>
    <w:rsid w:val="00987159"/>
    <w:rsid w:val="009873D1"/>
    <w:rsid w:val="009873D9"/>
    <w:rsid w:val="00987690"/>
    <w:rsid w:val="009876DD"/>
    <w:rsid w:val="00987924"/>
    <w:rsid w:val="00987A1C"/>
    <w:rsid w:val="00987A90"/>
    <w:rsid w:val="00987B3C"/>
    <w:rsid w:val="00987D18"/>
    <w:rsid w:val="00987EBD"/>
    <w:rsid w:val="009900EB"/>
    <w:rsid w:val="00990128"/>
    <w:rsid w:val="0099074D"/>
    <w:rsid w:val="00990796"/>
    <w:rsid w:val="0099080D"/>
    <w:rsid w:val="00990923"/>
    <w:rsid w:val="00990A6F"/>
    <w:rsid w:val="00990D47"/>
    <w:rsid w:val="00990EB8"/>
    <w:rsid w:val="00990FCB"/>
    <w:rsid w:val="009916FA"/>
    <w:rsid w:val="00991AFA"/>
    <w:rsid w:val="00991C23"/>
    <w:rsid w:val="00991C71"/>
    <w:rsid w:val="00991CE5"/>
    <w:rsid w:val="00991D2F"/>
    <w:rsid w:val="00991D47"/>
    <w:rsid w:val="00991EB3"/>
    <w:rsid w:val="009920BA"/>
    <w:rsid w:val="009921F3"/>
    <w:rsid w:val="009921FB"/>
    <w:rsid w:val="009923EF"/>
    <w:rsid w:val="00992777"/>
    <w:rsid w:val="009927A7"/>
    <w:rsid w:val="009927C2"/>
    <w:rsid w:val="009929AC"/>
    <w:rsid w:val="009929CB"/>
    <w:rsid w:val="00992B47"/>
    <w:rsid w:val="00992B82"/>
    <w:rsid w:val="00992BA0"/>
    <w:rsid w:val="00992C41"/>
    <w:rsid w:val="00992D82"/>
    <w:rsid w:val="009932C0"/>
    <w:rsid w:val="00993375"/>
    <w:rsid w:val="009933A8"/>
    <w:rsid w:val="0099343C"/>
    <w:rsid w:val="00993507"/>
    <w:rsid w:val="0099368D"/>
    <w:rsid w:val="00993757"/>
    <w:rsid w:val="009938B1"/>
    <w:rsid w:val="00993A62"/>
    <w:rsid w:val="00993C33"/>
    <w:rsid w:val="00993D35"/>
    <w:rsid w:val="00994265"/>
    <w:rsid w:val="009943FE"/>
    <w:rsid w:val="00994507"/>
    <w:rsid w:val="00994515"/>
    <w:rsid w:val="00994719"/>
    <w:rsid w:val="0099487A"/>
    <w:rsid w:val="00994CBA"/>
    <w:rsid w:val="00994CFD"/>
    <w:rsid w:val="00994E04"/>
    <w:rsid w:val="00995061"/>
    <w:rsid w:val="009950EE"/>
    <w:rsid w:val="009951D4"/>
    <w:rsid w:val="00995230"/>
    <w:rsid w:val="0099550B"/>
    <w:rsid w:val="009959E7"/>
    <w:rsid w:val="00995B26"/>
    <w:rsid w:val="00995BB9"/>
    <w:rsid w:val="00995BCF"/>
    <w:rsid w:val="00995CAA"/>
    <w:rsid w:val="00995D80"/>
    <w:rsid w:val="00995DB9"/>
    <w:rsid w:val="00995EF9"/>
    <w:rsid w:val="00995FCD"/>
    <w:rsid w:val="00996002"/>
    <w:rsid w:val="00996030"/>
    <w:rsid w:val="00996089"/>
    <w:rsid w:val="0099609E"/>
    <w:rsid w:val="0099651E"/>
    <w:rsid w:val="009966B8"/>
    <w:rsid w:val="0099680E"/>
    <w:rsid w:val="009969B1"/>
    <w:rsid w:val="00996B93"/>
    <w:rsid w:val="00996C2F"/>
    <w:rsid w:val="00996DCD"/>
    <w:rsid w:val="00996FC1"/>
    <w:rsid w:val="009970D3"/>
    <w:rsid w:val="00997294"/>
    <w:rsid w:val="009974F0"/>
    <w:rsid w:val="009975FA"/>
    <w:rsid w:val="00997619"/>
    <w:rsid w:val="009976F8"/>
    <w:rsid w:val="00997E4A"/>
    <w:rsid w:val="00997F11"/>
    <w:rsid w:val="009A01C4"/>
    <w:rsid w:val="009A02AB"/>
    <w:rsid w:val="009A02B7"/>
    <w:rsid w:val="009A052E"/>
    <w:rsid w:val="009A0760"/>
    <w:rsid w:val="009A0786"/>
    <w:rsid w:val="009A07C7"/>
    <w:rsid w:val="009A095E"/>
    <w:rsid w:val="009A0970"/>
    <w:rsid w:val="009A0A24"/>
    <w:rsid w:val="009A0BCC"/>
    <w:rsid w:val="009A0CC7"/>
    <w:rsid w:val="009A100D"/>
    <w:rsid w:val="009A12F6"/>
    <w:rsid w:val="009A1636"/>
    <w:rsid w:val="009A1960"/>
    <w:rsid w:val="009A1A5A"/>
    <w:rsid w:val="009A1FF9"/>
    <w:rsid w:val="009A2466"/>
    <w:rsid w:val="009A2486"/>
    <w:rsid w:val="009A24A0"/>
    <w:rsid w:val="009A25AA"/>
    <w:rsid w:val="009A26BA"/>
    <w:rsid w:val="009A27C7"/>
    <w:rsid w:val="009A2902"/>
    <w:rsid w:val="009A2B69"/>
    <w:rsid w:val="009A2EB5"/>
    <w:rsid w:val="009A2EFF"/>
    <w:rsid w:val="009A2FC6"/>
    <w:rsid w:val="009A3308"/>
    <w:rsid w:val="009A338E"/>
    <w:rsid w:val="009A35FE"/>
    <w:rsid w:val="009A376C"/>
    <w:rsid w:val="009A3E84"/>
    <w:rsid w:val="009A3FB4"/>
    <w:rsid w:val="009A4252"/>
    <w:rsid w:val="009A4309"/>
    <w:rsid w:val="009A4528"/>
    <w:rsid w:val="009A468B"/>
    <w:rsid w:val="009A471B"/>
    <w:rsid w:val="009A4743"/>
    <w:rsid w:val="009A487A"/>
    <w:rsid w:val="009A4B0A"/>
    <w:rsid w:val="009A4B77"/>
    <w:rsid w:val="009A4CF8"/>
    <w:rsid w:val="009A4EFD"/>
    <w:rsid w:val="009A4FE7"/>
    <w:rsid w:val="009A50F8"/>
    <w:rsid w:val="009A525E"/>
    <w:rsid w:val="009A5351"/>
    <w:rsid w:val="009A5422"/>
    <w:rsid w:val="009A5673"/>
    <w:rsid w:val="009A588B"/>
    <w:rsid w:val="009A6287"/>
    <w:rsid w:val="009A65E1"/>
    <w:rsid w:val="009A662B"/>
    <w:rsid w:val="009A6997"/>
    <w:rsid w:val="009A6A27"/>
    <w:rsid w:val="009A6CC2"/>
    <w:rsid w:val="009A6D89"/>
    <w:rsid w:val="009A710B"/>
    <w:rsid w:val="009A716A"/>
    <w:rsid w:val="009A7264"/>
    <w:rsid w:val="009A791B"/>
    <w:rsid w:val="009A79DE"/>
    <w:rsid w:val="009A7A2B"/>
    <w:rsid w:val="009A7A6A"/>
    <w:rsid w:val="009A7C54"/>
    <w:rsid w:val="009A7E34"/>
    <w:rsid w:val="009A7F0D"/>
    <w:rsid w:val="009B0000"/>
    <w:rsid w:val="009B01F0"/>
    <w:rsid w:val="009B0250"/>
    <w:rsid w:val="009B031F"/>
    <w:rsid w:val="009B0341"/>
    <w:rsid w:val="009B03E4"/>
    <w:rsid w:val="009B0451"/>
    <w:rsid w:val="009B072C"/>
    <w:rsid w:val="009B08DE"/>
    <w:rsid w:val="009B0B41"/>
    <w:rsid w:val="009B0D38"/>
    <w:rsid w:val="009B0E15"/>
    <w:rsid w:val="009B0E44"/>
    <w:rsid w:val="009B0EB0"/>
    <w:rsid w:val="009B0F1E"/>
    <w:rsid w:val="009B11B6"/>
    <w:rsid w:val="009B1DEF"/>
    <w:rsid w:val="009B1EFB"/>
    <w:rsid w:val="009B21D3"/>
    <w:rsid w:val="009B25B5"/>
    <w:rsid w:val="009B27FC"/>
    <w:rsid w:val="009B2E0C"/>
    <w:rsid w:val="009B3289"/>
    <w:rsid w:val="009B333E"/>
    <w:rsid w:val="009B3430"/>
    <w:rsid w:val="009B3433"/>
    <w:rsid w:val="009B34AE"/>
    <w:rsid w:val="009B39C9"/>
    <w:rsid w:val="009B3B62"/>
    <w:rsid w:val="009B3C45"/>
    <w:rsid w:val="009B3CE5"/>
    <w:rsid w:val="009B3DE7"/>
    <w:rsid w:val="009B3DF6"/>
    <w:rsid w:val="009B4144"/>
    <w:rsid w:val="009B4292"/>
    <w:rsid w:val="009B4506"/>
    <w:rsid w:val="009B4E57"/>
    <w:rsid w:val="009B529B"/>
    <w:rsid w:val="009B5542"/>
    <w:rsid w:val="009B55D4"/>
    <w:rsid w:val="009B5620"/>
    <w:rsid w:val="009B5812"/>
    <w:rsid w:val="009B5927"/>
    <w:rsid w:val="009B5A77"/>
    <w:rsid w:val="009B5A8D"/>
    <w:rsid w:val="009B5C19"/>
    <w:rsid w:val="009B5E71"/>
    <w:rsid w:val="009B5F8D"/>
    <w:rsid w:val="009B624E"/>
    <w:rsid w:val="009B633A"/>
    <w:rsid w:val="009B64DF"/>
    <w:rsid w:val="009B666E"/>
    <w:rsid w:val="009B66E7"/>
    <w:rsid w:val="009B69A7"/>
    <w:rsid w:val="009B69EA"/>
    <w:rsid w:val="009B6A49"/>
    <w:rsid w:val="009B6A67"/>
    <w:rsid w:val="009B6C93"/>
    <w:rsid w:val="009B6D42"/>
    <w:rsid w:val="009B6E46"/>
    <w:rsid w:val="009B70A0"/>
    <w:rsid w:val="009B723F"/>
    <w:rsid w:val="009B73B2"/>
    <w:rsid w:val="009B7450"/>
    <w:rsid w:val="009B7506"/>
    <w:rsid w:val="009B769C"/>
    <w:rsid w:val="009B7B02"/>
    <w:rsid w:val="009B7B46"/>
    <w:rsid w:val="009B7BE3"/>
    <w:rsid w:val="009B7D49"/>
    <w:rsid w:val="009C0567"/>
    <w:rsid w:val="009C0577"/>
    <w:rsid w:val="009C0673"/>
    <w:rsid w:val="009C06FA"/>
    <w:rsid w:val="009C08CA"/>
    <w:rsid w:val="009C0A77"/>
    <w:rsid w:val="009C0A81"/>
    <w:rsid w:val="009C0D00"/>
    <w:rsid w:val="009C0F58"/>
    <w:rsid w:val="009C0FEC"/>
    <w:rsid w:val="009C118A"/>
    <w:rsid w:val="009C1222"/>
    <w:rsid w:val="009C13E1"/>
    <w:rsid w:val="009C15C8"/>
    <w:rsid w:val="009C15DE"/>
    <w:rsid w:val="009C1824"/>
    <w:rsid w:val="009C195F"/>
    <w:rsid w:val="009C1AC0"/>
    <w:rsid w:val="009C1CD2"/>
    <w:rsid w:val="009C21FE"/>
    <w:rsid w:val="009C238A"/>
    <w:rsid w:val="009C23B6"/>
    <w:rsid w:val="009C25C1"/>
    <w:rsid w:val="009C2988"/>
    <w:rsid w:val="009C29D9"/>
    <w:rsid w:val="009C2E5D"/>
    <w:rsid w:val="009C30B5"/>
    <w:rsid w:val="009C31FD"/>
    <w:rsid w:val="009C33B4"/>
    <w:rsid w:val="009C33D2"/>
    <w:rsid w:val="009C3416"/>
    <w:rsid w:val="009C3435"/>
    <w:rsid w:val="009C360A"/>
    <w:rsid w:val="009C36F2"/>
    <w:rsid w:val="009C375E"/>
    <w:rsid w:val="009C3ABD"/>
    <w:rsid w:val="009C3C13"/>
    <w:rsid w:val="009C3D1D"/>
    <w:rsid w:val="009C3F42"/>
    <w:rsid w:val="009C41CA"/>
    <w:rsid w:val="009C43B0"/>
    <w:rsid w:val="009C4728"/>
    <w:rsid w:val="009C47BD"/>
    <w:rsid w:val="009C47E9"/>
    <w:rsid w:val="009C4910"/>
    <w:rsid w:val="009C492D"/>
    <w:rsid w:val="009C4B7B"/>
    <w:rsid w:val="009C4C11"/>
    <w:rsid w:val="009C4E75"/>
    <w:rsid w:val="009C522E"/>
    <w:rsid w:val="009C52E0"/>
    <w:rsid w:val="009C5443"/>
    <w:rsid w:val="009C54D1"/>
    <w:rsid w:val="009C56F1"/>
    <w:rsid w:val="009C5A69"/>
    <w:rsid w:val="009C5B51"/>
    <w:rsid w:val="009C5BA6"/>
    <w:rsid w:val="009C5BBC"/>
    <w:rsid w:val="009C61F5"/>
    <w:rsid w:val="009C6859"/>
    <w:rsid w:val="009C6980"/>
    <w:rsid w:val="009C6A74"/>
    <w:rsid w:val="009C6B73"/>
    <w:rsid w:val="009C6D14"/>
    <w:rsid w:val="009C7437"/>
    <w:rsid w:val="009C7663"/>
    <w:rsid w:val="009C7B79"/>
    <w:rsid w:val="009C7B93"/>
    <w:rsid w:val="009C7BD9"/>
    <w:rsid w:val="009C7D5F"/>
    <w:rsid w:val="009C7DA1"/>
    <w:rsid w:val="009D0317"/>
    <w:rsid w:val="009D03C2"/>
    <w:rsid w:val="009D04F5"/>
    <w:rsid w:val="009D08C7"/>
    <w:rsid w:val="009D0915"/>
    <w:rsid w:val="009D0A34"/>
    <w:rsid w:val="009D1109"/>
    <w:rsid w:val="009D1AC9"/>
    <w:rsid w:val="009D1CFB"/>
    <w:rsid w:val="009D1D05"/>
    <w:rsid w:val="009D1E5B"/>
    <w:rsid w:val="009D1FD4"/>
    <w:rsid w:val="009D1FF5"/>
    <w:rsid w:val="009D2368"/>
    <w:rsid w:val="009D2601"/>
    <w:rsid w:val="009D2674"/>
    <w:rsid w:val="009D2711"/>
    <w:rsid w:val="009D27D1"/>
    <w:rsid w:val="009D28B3"/>
    <w:rsid w:val="009D2C53"/>
    <w:rsid w:val="009D3073"/>
    <w:rsid w:val="009D31BF"/>
    <w:rsid w:val="009D3235"/>
    <w:rsid w:val="009D3332"/>
    <w:rsid w:val="009D33E8"/>
    <w:rsid w:val="009D381A"/>
    <w:rsid w:val="009D3BA7"/>
    <w:rsid w:val="009D3C3C"/>
    <w:rsid w:val="009D3C6D"/>
    <w:rsid w:val="009D3CF3"/>
    <w:rsid w:val="009D3DFA"/>
    <w:rsid w:val="009D41D3"/>
    <w:rsid w:val="009D4328"/>
    <w:rsid w:val="009D4656"/>
    <w:rsid w:val="009D46DA"/>
    <w:rsid w:val="009D4A73"/>
    <w:rsid w:val="009D4B16"/>
    <w:rsid w:val="009D4C0F"/>
    <w:rsid w:val="009D4E46"/>
    <w:rsid w:val="009D4F9E"/>
    <w:rsid w:val="009D5068"/>
    <w:rsid w:val="009D508C"/>
    <w:rsid w:val="009D567F"/>
    <w:rsid w:val="009D5982"/>
    <w:rsid w:val="009D5FA2"/>
    <w:rsid w:val="009D6117"/>
    <w:rsid w:val="009D636B"/>
    <w:rsid w:val="009D642F"/>
    <w:rsid w:val="009D6AEE"/>
    <w:rsid w:val="009D6D75"/>
    <w:rsid w:val="009D6E97"/>
    <w:rsid w:val="009D6EA8"/>
    <w:rsid w:val="009D6FE9"/>
    <w:rsid w:val="009D7011"/>
    <w:rsid w:val="009D7040"/>
    <w:rsid w:val="009D7368"/>
    <w:rsid w:val="009D76A0"/>
    <w:rsid w:val="009D76AD"/>
    <w:rsid w:val="009D76E1"/>
    <w:rsid w:val="009D77AF"/>
    <w:rsid w:val="009D7943"/>
    <w:rsid w:val="009D7BE9"/>
    <w:rsid w:val="009D7D2C"/>
    <w:rsid w:val="009E01E0"/>
    <w:rsid w:val="009E0205"/>
    <w:rsid w:val="009E042E"/>
    <w:rsid w:val="009E0623"/>
    <w:rsid w:val="009E09F8"/>
    <w:rsid w:val="009E0C48"/>
    <w:rsid w:val="009E0D40"/>
    <w:rsid w:val="009E0DDF"/>
    <w:rsid w:val="009E0E94"/>
    <w:rsid w:val="009E12A8"/>
    <w:rsid w:val="009E1309"/>
    <w:rsid w:val="009E1511"/>
    <w:rsid w:val="009E1754"/>
    <w:rsid w:val="009E19C2"/>
    <w:rsid w:val="009E1BA4"/>
    <w:rsid w:val="009E1F34"/>
    <w:rsid w:val="009E2209"/>
    <w:rsid w:val="009E23CE"/>
    <w:rsid w:val="009E2AA5"/>
    <w:rsid w:val="009E2C4D"/>
    <w:rsid w:val="009E2CD6"/>
    <w:rsid w:val="009E2CE7"/>
    <w:rsid w:val="009E3158"/>
    <w:rsid w:val="009E318C"/>
    <w:rsid w:val="009E34AD"/>
    <w:rsid w:val="009E3538"/>
    <w:rsid w:val="009E36D2"/>
    <w:rsid w:val="009E38AD"/>
    <w:rsid w:val="009E38EF"/>
    <w:rsid w:val="009E3951"/>
    <w:rsid w:val="009E3CFF"/>
    <w:rsid w:val="009E3E27"/>
    <w:rsid w:val="009E3E7B"/>
    <w:rsid w:val="009E3EE0"/>
    <w:rsid w:val="009E3EF0"/>
    <w:rsid w:val="009E40FB"/>
    <w:rsid w:val="009E42E6"/>
    <w:rsid w:val="009E458B"/>
    <w:rsid w:val="009E4A14"/>
    <w:rsid w:val="009E4C32"/>
    <w:rsid w:val="009E4E03"/>
    <w:rsid w:val="009E4E7E"/>
    <w:rsid w:val="009E5065"/>
    <w:rsid w:val="009E50B1"/>
    <w:rsid w:val="009E51D9"/>
    <w:rsid w:val="009E5290"/>
    <w:rsid w:val="009E53E5"/>
    <w:rsid w:val="009E54FB"/>
    <w:rsid w:val="009E5521"/>
    <w:rsid w:val="009E5687"/>
    <w:rsid w:val="009E5753"/>
    <w:rsid w:val="009E5951"/>
    <w:rsid w:val="009E5AF8"/>
    <w:rsid w:val="009E5E1D"/>
    <w:rsid w:val="009E5F00"/>
    <w:rsid w:val="009E6223"/>
    <w:rsid w:val="009E6467"/>
    <w:rsid w:val="009E653A"/>
    <w:rsid w:val="009E65AB"/>
    <w:rsid w:val="009E6868"/>
    <w:rsid w:val="009E68A7"/>
    <w:rsid w:val="009E6EAA"/>
    <w:rsid w:val="009E7446"/>
    <w:rsid w:val="009E755D"/>
    <w:rsid w:val="009E756C"/>
    <w:rsid w:val="009E763E"/>
    <w:rsid w:val="009E764D"/>
    <w:rsid w:val="009E7700"/>
    <w:rsid w:val="009E7CDB"/>
    <w:rsid w:val="009F0085"/>
    <w:rsid w:val="009F01FC"/>
    <w:rsid w:val="009F020E"/>
    <w:rsid w:val="009F039F"/>
    <w:rsid w:val="009F05B9"/>
    <w:rsid w:val="009F0896"/>
    <w:rsid w:val="009F0953"/>
    <w:rsid w:val="009F0A80"/>
    <w:rsid w:val="009F0ACB"/>
    <w:rsid w:val="009F0C27"/>
    <w:rsid w:val="009F0E19"/>
    <w:rsid w:val="009F0E84"/>
    <w:rsid w:val="009F0EE3"/>
    <w:rsid w:val="009F1057"/>
    <w:rsid w:val="009F10A2"/>
    <w:rsid w:val="009F1402"/>
    <w:rsid w:val="009F1502"/>
    <w:rsid w:val="009F17BE"/>
    <w:rsid w:val="009F18AC"/>
    <w:rsid w:val="009F1A09"/>
    <w:rsid w:val="009F1A72"/>
    <w:rsid w:val="009F1B64"/>
    <w:rsid w:val="009F1B7B"/>
    <w:rsid w:val="009F1DA0"/>
    <w:rsid w:val="009F1F27"/>
    <w:rsid w:val="009F1F87"/>
    <w:rsid w:val="009F1FF8"/>
    <w:rsid w:val="009F201F"/>
    <w:rsid w:val="009F20B1"/>
    <w:rsid w:val="009F251D"/>
    <w:rsid w:val="009F2562"/>
    <w:rsid w:val="009F266C"/>
    <w:rsid w:val="009F27A6"/>
    <w:rsid w:val="009F2B13"/>
    <w:rsid w:val="009F2C83"/>
    <w:rsid w:val="009F3049"/>
    <w:rsid w:val="009F3101"/>
    <w:rsid w:val="009F311E"/>
    <w:rsid w:val="009F32C0"/>
    <w:rsid w:val="009F33C5"/>
    <w:rsid w:val="009F34FA"/>
    <w:rsid w:val="009F37B9"/>
    <w:rsid w:val="009F397A"/>
    <w:rsid w:val="009F3BE7"/>
    <w:rsid w:val="009F3BED"/>
    <w:rsid w:val="009F3CF8"/>
    <w:rsid w:val="009F412B"/>
    <w:rsid w:val="009F4316"/>
    <w:rsid w:val="009F4357"/>
    <w:rsid w:val="009F4372"/>
    <w:rsid w:val="009F4380"/>
    <w:rsid w:val="009F4641"/>
    <w:rsid w:val="009F4752"/>
    <w:rsid w:val="009F47C6"/>
    <w:rsid w:val="009F4B27"/>
    <w:rsid w:val="009F4C9A"/>
    <w:rsid w:val="009F4EE1"/>
    <w:rsid w:val="009F51C2"/>
    <w:rsid w:val="009F51D2"/>
    <w:rsid w:val="009F5694"/>
    <w:rsid w:val="009F592C"/>
    <w:rsid w:val="009F5B22"/>
    <w:rsid w:val="009F5C34"/>
    <w:rsid w:val="009F62CE"/>
    <w:rsid w:val="009F650A"/>
    <w:rsid w:val="009F65A4"/>
    <w:rsid w:val="009F66CC"/>
    <w:rsid w:val="009F6857"/>
    <w:rsid w:val="009F688B"/>
    <w:rsid w:val="009F6B33"/>
    <w:rsid w:val="009F6CBA"/>
    <w:rsid w:val="009F6CFF"/>
    <w:rsid w:val="009F6F32"/>
    <w:rsid w:val="009F770F"/>
    <w:rsid w:val="009F7780"/>
    <w:rsid w:val="009F7800"/>
    <w:rsid w:val="009F7A45"/>
    <w:rsid w:val="009F7D05"/>
    <w:rsid w:val="009F7D48"/>
    <w:rsid w:val="009F7F13"/>
    <w:rsid w:val="009F7F87"/>
    <w:rsid w:val="009F7FD9"/>
    <w:rsid w:val="00A00071"/>
    <w:rsid w:val="00A0046F"/>
    <w:rsid w:val="00A004BA"/>
    <w:rsid w:val="00A005C7"/>
    <w:rsid w:val="00A0062E"/>
    <w:rsid w:val="00A007EE"/>
    <w:rsid w:val="00A0089B"/>
    <w:rsid w:val="00A008B6"/>
    <w:rsid w:val="00A00904"/>
    <w:rsid w:val="00A00D4F"/>
    <w:rsid w:val="00A00DF6"/>
    <w:rsid w:val="00A00ED8"/>
    <w:rsid w:val="00A011F6"/>
    <w:rsid w:val="00A01332"/>
    <w:rsid w:val="00A01714"/>
    <w:rsid w:val="00A01768"/>
    <w:rsid w:val="00A01856"/>
    <w:rsid w:val="00A01942"/>
    <w:rsid w:val="00A01D96"/>
    <w:rsid w:val="00A01F8C"/>
    <w:rsid w:val="00A02104"/>
    <w:rsid w:val="00A02213"/>
    <w:rsid w:val="00A022B2"/>
    <w:rsid w:val="00A023D8"/>
    <w:rsid w:val="00A02473"/>
    <w:rsid w:val="00A02477"/>
    <w:rsid w:val="00A0248F"/>
    <w:rsid w:val="00A02EDD"/>
    <w:rsid w:val="00A02FFF"/>
    <w:rsid w:val="00A03014"/>
    <w:rsid w:val="00A032E6"/>
    <w:rsid w:val="00A033EC"/>
    <w:rsid w:val="00A0344F"/>
    <w:rsid w:val="00A034F5"/>
    <w:rsid w:val="00A035D1"/>
    <w:rsid w:val="00A03829"/>
    <w:rsid w:val="00A03B64"/>
    <w:rsid w:val="00A0411F"/>
    <w:rsid w:val="00A04447"/>
    <w:rsid w:val="00A04833"/>
    <w:rsid w:val="00A04943"/>
    <w:rsid w:val="00A04969"/>
    <w:rsid w:val="00A04BDF"/>
    <w:rsid w:val="00A04D59"/>
    <w:rsid w:val="00A04FD2"/>
    <w:rsid w:val="00A050F0"/>
    <w:rsid w:val="00A0520E"/>
    <w:rsid w:val="00A052DC"/>
    <w:rsid w:val="00A05448"/>
    <w:rsid w:val="00A058BB"/>
    <w:rsid w:val="00A0591A"/>
    <w:rsid w:val="00A05A42"/>
    <w:rsid w:val="00A05D3E"/>
    <w:rsid w:val="00A060E5"/>
    <w:rsid w:val="00A06413"/>
    <w:rsid w:val="00A06577"/>
    <w:rsid w:val="00A06962"/>
    <w:rsid w:val="00A069B1"/>
    <w:rsid w:val="00A06B4E"/>
    <w:rsid w:val="00A07068"/>
    <w:rsid w:val="00A07098"/>
    <w:rsid w:val="00A07405"/>
    <w:rsid w:val="00A076EA"/>
    <w:rsid w:val="00A07768"/>
    <w:rsid w:val="00A07BD4"/>
    <w:rsid w:val="00A07E92"/>
    <w:rsid w:val="00A07F70"/>
    <w:rsid w:val="00A07F7F"/>
    <w:rsid w:val="00A10041"/>
    <w:rsid w:val="00A100E7"/>
    <w:rsid w:val="00A10168"/>
    <w:rsid w:val="00A102E2"/>
    <w:rsid w:val="00A1066D"/>
    <w:rsid w:val="00A10680"/>
    <w:rsid w:val="00A10EF5"/>
    <w:rsid w:val="00A10F62"/>
    <w:rsid w:val="00A1104C"/>
    <w:rsid w:val="00A1142A"/>
    <w:rsid w:val="00A114F4"/>
    <w:rsid w:val="00A1165C"/>
    <w:rsid w:val="00A118A6"/>
    <w:rsid w:val="00A119C3"/>
    <w:rsid w:val="00A11A55"/>
    <w:rsid w:val="00A11BC3"/>
    <w:rsid w:val="00A11D8E"/>
    <w:rsid w:val="00A11ECA"/>
    <w:rsid w:val="00A11EFF"/>
    <w:rsid w:val="00A11FF1"/>
    <w:rsid w:val="00A12216"/>
    <w:rsid w:val="00A12327"/>
    <w:rsid w:val="00A12463"/>
    <w:rsid w:val="00A125B5"/>
    <w:rsid w:val="00A127F3"/>
    <w:rsid w:val="00A129BB"/>
    <w:rsid w:val="00A12A28"/>
    <w:rsid w:val="00A12BF6"/>
    <w:rsid w:val="00A131A4"/>
    <w:rsid w:val="00A13407"/>
    <w:rsid w:val="00A13457"/>
    <w:rsid w:val="00A137DA"/>
    <w:rsid w:val="00A139DB"/>
    <w:rsid w:val="00A13A19"/>
    <w:rsid w:val="00A13BE2"/>
    <w:rsid w:val="00A13DA1"/>
    <w:rsid w:val="00A13FE0"/>
    <w:rsid w:val="00A14112"/>
    <w:rsid w:val="00A14157"/>
    <w:rsid w:val="00A14314"/>
    <w:rsid w:val="00A143E3"/>
    <w:rsid w:val="00A14570"/>
    <w:rsid w:val="00A145B2"/>
    <w:rsid w:val="00A14724"/>
    <w:rsid w:val="00A14966"/>
    <w:rsid w:val="00A14A65"/>
    <w:rsid w:val="00A14C66"/>
    <w:rsid w:val="00A14E69"/>
    <w:rsid w:val="00A14EA6"/>
    <w:rsid w:val="00A14F9B"/>
    <w:rsid w:val="00A154AA"/>
    <w:rsid w:val="00A154C4"/>
    <w:rsid w:val="00A15724"/>
    <w:rsid w:val="00A15838"/>
    <w:rsid w:val="00A15863"/>
    <w:rsid w:val="00A15C48"/>
    <w:rsid w:val="00A15C5F"/>
    <w:rsid w:val="00A15CE4"/>
    <w:rsid w:val="00A15D59"/>
    <w:rsid w:val="00A15E51"/>
    <w:rsid w:val="00A162A4"/>
    <w:rsid w:val="00A163E7"/>
    <w:rsid w:val="00A168A9"/>
    <w:rsid w:val="00A16B95"/>
    <w:rsid w:val="00A16BA9"/>
    <w:rsid w:val="00A16D13"/>
    <w:rsid w:val="00A16DB6"/>
    <w:rsid w:val="00A17048"/>
    <w:rsid w:val="00A172DD"/>
    <w:rsid w:val="00A17308"/>
    <w:rsid w:val="00A1736C"/>
    <w:rsid w:val="00A17CE2"/>
    <w:rsid w:val="00A17E63"/>
    <w:rsid w:val="00A17EA4"/>
    <w:rsid w:val="00A17F35"/>
    <w:rsid w:val="00A201EE"/>
    <w:rsid w:val="00A20215"/>
    <w:rsid w:val="00A2032B"/>
    <w:rsid w:val="00A20343"/>
    <w:rsid w:val="00A205C6"/>
    <w:rsid w:val="00A2071B"/>
    <w:rsid w:val="00A20858"/>
    <w:rsid w:val="00A20C0C"/>
    <w:rsid w:val="00A20E37"/>
    <w:rsid w:val="00A212C3"/>
    <w:rsid w:val="00A212F8"/>
    <w:rsid w:val="00A2171E"/>
    <w:rsid w:val="00A21813"/>
    <w:rsid w:val="00A2191F"/>
    <w:rsid w:val="00A21998"/>
    <w:rsid w:val="00A21B78"/>
    <w:rsid w:val="00A21C55"/>
    <w:rsid w:val="00A21CDF"/>
    <w:rsid w:val="00A21D13"/>
    <w:rsid w:val="00A21EE9"/>
    <w:rsid w:val="00A21FBF"/>
    <w:rsid w:val="00A22551"/>
    <w:rsid w:val="00A22C64"/>
    <w:rsid w:val="00A22E58"/>
    <w:rsid w:val="00A22F60"/>
    <w:rsid w:val="00A23676"/>
    <w:rsid w:val="00A236FE"/>
    <w:rsid w:val="00A238B5"/>
    <w:rsid w:val="00A238EB"/>
    <w:rsid w:val="00A23AFF"/>
    <w:rsid w:val="00A23C48"/>
    <w:rsid w:val="00A23CD3"/>
    <w:rsid w:val="00A23DF0"/>
    <w:rsid w:val="00A2426E"/>
    <w:rsid w:val="00A244D7"/>
    <w:rsid w:val="00A2488E"/>
    <w:rsid w:val="00A24A23"/>
    <w:rsid w:val="00A24A8E"/>
    <w:rsid w:val="00A24B10"/>
    <w:rsid w:val="00A24D01"/>
    <w:rsid w:val="00A250AF"/>
    <w:rsid w:val="00A250DA"/>
    <w:rsid w:val="00A2534B"/>
    <w:rsid w:val="00A255FA"/>
    <w:rsid w:val="00A2575A"/>
    <w:rsid w:val="00A2577B"/>
    <w:rsid w:val="00A25816"/>
    <w:rsid w:val="00A258F5"/>
    <w:rsid w:val="00A25BED"/>
    <w:rsid w:val="00A25BF9"/>
    <w:rsid w:val="00A25E63"/>
    <w:rsid w:val="00A26004"/>
    <w:rsid w:val="00A26175"/>
    <w:rsid w:val="00A26973"/>
    <w:rsid w:val="00A26ABA"/>
    <w:rsid w:val="00A26B28"/>
    <w:rsid w:val="00A26B36"/>
    <w:rsid w:val="00A26CC7"/>
    <w:rsid w:val="00A26CD0"/>
    <w:rsid w:val="00A26F9A"/>
    <w:rsid w:val="00A271BE"/>
    <w:rsid w:val="00A27203"/>
    <w:rsid w:val="00A273B9"/>
    <w:rsid w:val="00A274FC"/>
    <w:rsid w:val="00A27540"/>
    <w:rsid w:val="00A275F6"/>
    <w:rsid w:val="00A27717"/>
    <w:rsid w:val="00A2795A"/>
    <w:rsid w:val="00A279D1"/>
    <w:rsid w:val="00A27BED"/>
    <w:rsid w:val="00A27D79"/>
    <w:rsid w:val="00A27DB4"/>
    <w:rsid w:val="00A3026D"/>
    <w:rsid w:val="00A30328"/>
    <w:rsid w:val="00A3047D"/>
    <w:rsid w:val="00A3076B"/>
    <w:rsid w:val="00A3080D"/>
    <w:rsid w:val="00A30C97"/>
    <w:rsid w:val="00A30CF6"/>
    <w:rsid w:val="00A30E5A"/>
    <w:rsid w:val="00A30E8F"/>
    <w:rsid w:val="00A30FEE"/>
    <w:rsid w:val="00A3103E"/>
    <w:rsid w:val="00A310E8"/>
    <w:rsid w:val="00A312E1"/>
    <w:rsid w:val="00A312F4"/>
    <w:rsid w:val="00A31340"/>
    <w:rsid w:val="00A315AE"/>
    <w:rsid w:val="00A31A2A"/>
    <w:rsid w:val="00A31AD3"/>
    <w:rsid w:val="00A31E5B"/>
    <w:rsid w:val="00A31F76"/>
    <w:rsid w:val="00A31FA2"/>
    <w:rsid w:val="00A3202C"/>
    <w:rsid w:val="00A32142"/>
    <w:rsid w:val="00A3216D"/>
    <w:rsid w:val="00A3217C"/>
    <w:rsid w:val="00A32225"/>
    <w:rsid w:val="00A325DC"/>
    <w:rsid w:val="00A326B3"/>
    <w:rsid w:val="00A32E42"/>
    <w:rsid w:val="00A32FB9"/>
    <w:rsid w:val="00A33218"/>
    <w:rsid w:val="00A332E5"/>
    <w:rsid w:val="00A333FF"/>
    <w:rsid w:val="00A335BB"/>
    <w:rsid w:val="00A336FF"/>
    <w:rsid w:val="00A33708"/>
    <w:rsid w:val="00A338E3"/>
    <w:rsid w:val="00A33947"/>
    <w:rsid w:val="00A33A2B"/>
    <w:rsid w:val="00A33D14"/>
    <w:rsid w:val="00A33FB7"/>
    <w:rsid w:val="00A34000"/>
    <w:rsid w:val="00A34275"/>
    <w:rsid w:val="00A342CD"/>
    <w:rsid w:val="00A3446E"/>
    <w:rsid w:val="00A345D3"/>
    <w:rsid w:val="00A346E2"/>
    <w:rsid w:val="00A34AB2"/>
    <w:rsid w:val="00A34B5F"/>
    <w:rsid w:val="00A354EB"/>
    <w:rsid w:val="00A35648"/>
    <w:rsid w:val="00A356AB"/>
    <w:rsid w:val="00A35755"/>
    <w:rsid w:val="00A35A0B"/>
    <w:rsid w:val="00A35D60"/>
    <w:rsid w:val="00A35D89"/>
    <w:rsid w:val="00A35DF1"/>
    <w:rsid w:val="00A35E33"/>
    <w:rsid w:val="00A35EF5"/>
    <w:rsid w:val="00A368C9"/>
    <w:rsid w:val="00A36978"/>
    <w:rsid w:val="00A36FBF"/>
    <w:rsid w:val="00A37184"/>
    <w:rsid w:val="00A373BF"/>
    <w:rsid w:val="00A374EC"/>
    <w:rsid w:val="00A3752F"/>
    <w:rsid w:val="00A37739"/>
    <w:rsid w:val="00A3793A"/>
    <w:rsid w:val="00A37ADE"/>
    <w:rsid w:val="00A37C0A"/>
    <w:rsid w:val="00A37D74"/>
    <w:rsid w:val="00A37DFA"/>
    <w:rsid w:val="00A37EEE"/>
    <w:rsid w:val="00A37F54"/>
    <w:rsid w:val="00A40409"/>
    <w:rsid w:val="00A4045C"/>
    <w:rsid w:val="00A4049C"/>
    <w:rsid w:val="00A40658"/>
    <w:rsid w:val="00A407BD"/>
    <w:rsid w:val="00A40AAD"/>
    <w:rsid w:val="00A40C16"/>
    <w:rsid w:val="00A40DDD"/>
    <w:rsid w:val="00A40E2D"/>
    <w:rsid w:val="00A40E50"/>
    <w:rsid w:val="00A40ED1"/>
    <w:rsid w:val="00A41543"/>
    <w:rsid w:val="00A416A8"/>
    <w:rsid w:val="00A419C0"/>
    <w:rsid w:val="00A41B3A"/>
    <w:rsid w:val="00A41CAD"/>
    <w:rsid w:val="00A41D87"/>
    <w:rsid w:val="00A41E74"/>
    <w:rsid w:val="00A42012"/>
    <w:rsid w:val="00A42060"/>
    <w:rsid w:val="00A420EB"/>
    <w:rsid w:val="00A422F3"/>
    <w:rsid w:val="00A423B4"/>
    <w:rsid w:val="00A42584"/>
    <w:rsid w:val="00A425C5"/>
    <w:rsid w:val="00A4278E"/>
    <w:rsid w:val="00A4284A"/>
    <w:rsid w:val="00A42EC4"/>
    <w:rsid w:val="00A42FB8"/>
    <w:rsid w:val="00A4319E"/>
    <w:rsid w:val="00A431B5"/>
    <w:rsid w:val="00A431E1"/>
    <w:rsid w:val="00A433CA"/>
    <w:rsid w:val="00A433DA"/>
    <w:rsid w:val="00A43691"/>
    <w:rsid w:val="00A437FA"/>
    <w:rsid w:val="00A43976"/>
    <w:rsid w:val="00A439CF"/>
    <w:rsid w:val="00A4423C"/>
    <w:rsid w:val="00A4430B"/>
    <w:rsid w:val="00A4455E"/>
    <w:rsid w:val="00A445C2"/>
    <w:rsid w:val="00A445D8"/>
    <w:rsid w:val="00A44899"/>
    <w:rsid w:val="00A44A75"/>
    <w:rsid w:val="00A44CC3"/>
    <w:rsid w:val="00A44EA8"/>
    <w:rsid w:val="00A45156"/>
    <w:rsid w:val="00A451E6"/>
    <w:rsid w:val="00A451FA"/>
    <w:rsid w:val="00A4522B"/>
    <w:rsid w:val="00A45303"/>
    <w:rsid w:val="00A45443"/>
    <w:rsid w:val="00A456CC"/>
    <w:rsid w:val="00A459AD"/>
    <w:rsid w:val="00A45BB5"/>
    <w:rsid w:val="00A45D37"/>
    <w:rsid w:val="00A46138"/>
    <w:rsid w:val="00A461CF"/>
    <w:rsid w:val="00A463A9"/>
    <w:rsid w:val="00A466CD"/>
    <w:rsid w:val="00A467EE"/>
    <w:rsid w:val="00A46938"/>
    <w:rsid w:val="00A46988"/>
    <w:rsid w:val="00A46BF0"/>
    <w:rsid w:val="00A46D7F"/>
    <w:rsid w:val="00A46DD5"/>
    <w:rsid w:val="00A4756D"/>
    <w:rsid w:val="00A47883"/>
    <w:rsid w:val="00A47A8C"/>
    <w:rsid w:val="00A47DBF"/>
    <w:rsid w:val="00A47E49"/>
    <w:rsid w:val="00A50252"/>
    <w:rsid w:val="00A5040B"/>
    <w:rsid w:val="00A5044F"/>
    <w:rsid w:val="00A50462"/>
    <w:rsid w:val="00A504B2"/>
    <w:rsid w:val="00A5069D"/>
    <w:rsid w:val="00A506F6"/>
    <w:rsid w:val="00A50784"/>
    <w:rsid w:val="00A50852"/>
    <w:rsid w:val="00A5085E"/>
    <w:rsid w:val="00A50B50"/>
    <w:rsid w:val="00A50CFD"/>
    <w:rsid w:val="00A50FE9"/>
    <w:rsid w:val="00A51109"/>
    <w:rsid w:val="00A511B9"/>
    <w:rsid w:val="00A511E3"/>
    <w:rsid w:val="00A51256"/>
    <w:rsid w:val="00A51726"/>
    <w:rsid w:val="00A51861"/>
    <w:rsid w:val="00A51980"/>
    <w:rsid w:val="00A519AB"/>
    <w:rsid w:val="00A519AD"/>
    <w:rsid w:val="00A51D2C"/>
    <w:rsid w:val="00A51E43"/>
    <w:rsid w:val="00A51EB8"/>
    <w:rsid w:val="00A52217"/>
    <w:rsid w:val="00A52232"/>
    <w:rsid w:val="00A52540"/>
    <w:rsid w:val="00A525F3"/>
    <w:rsid w:val="00A525FC"/>
    <w:rsid w:val="00A5268A"/>
    <w:rsid w:val="00A5274D"/>
    <w:rsid w:val="00A52818"/>
    <w:rsid w:val="00A5283E"/>
    <w:rsid w:val="00A52A0A"/>
    <w:rsid w:val="00A52A3C"/>
    <w:rsid w:val="00A52E0D"/>
    <w:rsid w:val="00A52EEB"/>
    <w:rsid w:val="00A52F4D"/>
    <w:rsid w:val="00A53276"/>
    <w:rsid w:val="00A532E0"/>
    <w:rsid w:val="00A53422"/>
    <w:rsid w:val="00A534F9"/>
    <w:rsid w:val="00A53694"/>
    <w:rsid w:val="00A5396D"/>
    <w:rsid w:val="00A53B51"/>
    <w:rsid w:val="00A53B84"/>
    <w:rsid w:val="00A53CCB"/>
    <w:rsid w:val="00A53DC9"/>
    <w:rsid w:val="00A540C8"/>
    <w:rsid w:val="00A540D0"/>
    <w:rsid w:val="00A54146"/>
    <w:rsid w:val="00A542AD"/>
    <w:rsid w:val="00A547D3"/>
    <w:rsid w:val="00A54855"/>
    <w:rsid w:val="00A54909"/>
    <w:rsid w:val="00A549C7"/>
    <w:rsid w:val="00A549E7"/>
    <w:rsid w:val="00A54A41"/>
    <w:rsid w:val="00A54B95"/>
    <w:rsid w:val="00A55144"/>
    <w:rsid w:val="00A55288"/>
    <w:rsid w:val="00A55291"/>
    <w:rsid w:val="00A55303"/>
    <w:rsid w:val="00A555AE"/>
    <w:rsid w:val="00A55777"/>
    <w:rsid w:val="00A557AE"/>
    <w:rsid w:val="00A557E4"/>
    <w:rsid w:val="00A55884"/>
    <w:rsid w:val="00A5590A"/>
    <w:rsid w:val="00A55A05"/>
    <w:rsid w:val="00A55C21"/>
    <w:rsid w:val="00A55D7F"/>
    <w:rsid w:val="00A55E16"/>
    <w:rsid w:val="00A55E53"/>
    <w:rsid w:val="00A55E71"/>
    <w:rsid w:val="00A560CD"/>
    <w:rsid w:val="00A565C1"/>
    <w:rsid w:val="00A569BC"/>
    <w:rsid w:val="00A569E8"/>
    <w:rsid w:val="00A56A12"/>
    <w:rsid w:val="00A56A20"/>
    <w:rsid w:val="00A56BC0"/>
    <w:rsid w:val="00A56C16"/>
    <w:rsid w:val="00A56C81"/>
    <w:rsid w:val="00A56CC5"/>
    <w:rsid w:val="00A5723D"/>
    <w:rsid w:val="00A574F9"/>
    <w:rsid w:val="00A57644"/>
    <w:rsid w:val="00A579CF"/>
    <w:rsid w:val="00A57BB6"/>
    <w:rsid w:val="00A6009F"/>
    <w:rsid w:val="00A60551"/>
    <w:rsid w:val="00A6071D"/>
    <w:rsid w:val="00A6098E"/>
    <w:rsid w:val="00A60A70"/>
    <w:rsid w:val="00A60AD7"/>
    <w:rsid w:val="00A60DCD"/>
    <w:rsid w:val="00A61120"/>
    <w:rsid w:val="00A61576"/>
    <w:rsid w:val="00A61790"/>
    <w:rsid w:val="00A617A1"/>
    <w:rsid w:val="00A61A7B"/>
    <w:rsid w:val="00A61B5C"/>
    <w:rsid w:val="00A61BDC"/>
    <w:rsid w:val="00A623BE"/>
    <w:rsid w:val="00A62452"/>
    <w:rsid w:val="00A626AB"/>
    <w:rsid w:val="00A62A44"/>
    <w:rsid w:val="00A62C81"/>
    <w:rsid w:val="00A62DC1"/>
    <w:rsid w:val="00A62DF0"/>
    <w:rsid w:val="00A62EED"/>
    <w:rsid w:val="00A635E6"/>
    <w:rsid w:val="00A63C90"/>
    <w:rsid w:val="00A63CFD"/>
    <w:rsid w:val="00A63DA7"/>
    <w:rsid w:val="00A63E94"/>
    <w:rsid w:val="00A64138"/>
    <w:rsid w:val="00A644B2"/>
    <w:rsid w:val="00A64B91"/>
    <w:rsid w:val="00A64BA3"/>
    <w:rsid w:val="00A65000"/>
    <w:rsid w:val="00A651EA"/>
    <w:rsid w:val="00A653AB"/>
    <w:rsid w:val="00A6545E"/>
    <w:rsid w:val="00A65B7C"/>
    <w:rsid w:val="00A65E5D"/>
    <w:rsid w:val="00A66142"/>
    <w:rsid w:val="00A661A5"/>
    <w:rsid w:val="00A668D4"/>
    <w:rsid w:val="00A66B22"/>
    <w:rsid w:val="00A66BD3"/>
    <w:rsid w:val="00A66C58"/>
    <w:rsid w:val="00A67107"/>
    <w:rsid w:val="00A6727D"/>
    <w:rsid w:val="00A6749D"/>
    <w:rsid w:val="00A674C2"/>
    <w:rsid w:val="00A675CA"/>
    <w:rsid w:val="00A67812"/>
    <w:rsid w:val="00A6788B"/>
    <w:rsid w:val="00A678EC"/>
    <w:rsid w:val="00A67C27"/>
    <w:rsid w:val="00A67C87"/>
    <w:rsid w:val="00A67D37"/>
    <w:rsid w:val="00A67E03"/>
    <w:rsid w:val="00A70244"/>
    <w:rsid w:val="00A70647"/>
    <w:rsid w:val="00A707AB"/>
    <w:rsid w:val="00A70D49"/>
    <w:rsid w:val="00A70F84"/>
    <w:rsid w:val="00A7117B"/>
    <w:rsid w:val="00A71203"/>
    <w:rsid w:val="00A712B9"/>
    <w:rsid w:val="00A71391"/>
    <w:rsid w:val="00A714F0"/>
    <w:rsid w:val="00A71770"/>
    <w:rsid w:val="00A71773"/>
    <w:rsid w:val="00A718FF"/>
    <w:rsid w:val="00A71ADB"/>
    <w:rsid w:val="00A71E72"/>
    <w:rsid w:val="00A72170"/>
    <w:rsid w:val="00A722BD"/>
    <w:rsid w:val="00A722DC"/>
    <w:rsid w:val="00A727B5"/>
    <w:rsid w:val="00A728E8"/>
    <w:rsid w:val="00A72B71"/>
    <w:rsid w:val="00A72E36"/>
    <w:rsid w:val="00A72FBC"/>
    <w:rsid w:val="00A73017"/>
    <w:rsid w:val="00A738D9"/>
    <w:rsid w:val="00A73A8B"/>
    <w:rsid w:val="00A73BAE"/>
    <w:rsid w:val="00A74025"/>
    <w:rsid w:val="00A741E3"/>
    <w:rsid w:val="00A7455A"/>
    <w:rsid w:val="00A74AEA"/>
    <w:rsid w:val="00A74BA2"/>
    <w:rsid w:val="00A74CBF"/>
    <w:rsid w:val="00A74DD2"/>
    <w:rsid w:val="00A7504C"/>
    <w:rsid w:val="00A750BD"/>
    <w:rsid w:val="00A75272"/>
    <w:rsid w:val="00A752C1"/>
    <w:rsid w:val="00A752F9"/>
    <w:rsid w:val="00A7538B"/>
    <w:rsid w:val="00A756B1"/>
    <w:rsid w:val="00A75838"/>
    <w:rsid w:val="00A759BB"/>
    <w:rsid w:val="00A75AB3"/>
    <w:rsid w:val="00A75D0F"/>
    <w:rsid w:val="00A75E8F"/>
    <w:rsid w:val="00A75EA0"/>
    <w:rsid w:val="00A75ECB"/>
    <w:rsid w:val="00A75F60"/>
    <w:rsid w:val="00A76014"/>
    <w:rsid w:val="00A76021"/>
    <w:rsid w:val="00A761C4"/>
    <w:rsid w:val="00A76221"/>
    <w:rsid w:val="00A7644E"/>
    <w:rsid w:val="00A7647C"/>
    <w:rsid w:val="00A764C2"/>
    <w:rsid w:val="00A764EC"/>
    <w:rsid w:val="00A76653"/>
    <w:rsid w:val="00A7668A"/>
    <w:rsid w:val="00A766AF"/>
    <w:rsid w:val="00A766FB"/>
    <w:rsid w:val="00A76753"/>
    <w:rsid w:val="00A76764"/>
    <w:rsid w:val="00A76C56"/>
    <w:rsid w:val="00A76D40"/>
    <w:rsid w:val="00A770CA"/>
    <w:rsid w:val="00A770DA"/>
    <w:rsid w:val="00A77252"/>
    <w:rsid w:val="00A7752A"/>
    <w:rsid w:val="00A77614"/>
    <w:rsid w:val="00A77954"/>
    <w:rsid w:val="00A77990"/>
    <w:rsid w:val="00A77CA7"/>
    <w:rsid w:val="00A80081"/>
    <w:rsid w:val="00A8014F"/>
    <w:rsid w:val="00A8019E"/>
    <w:rsid w:val="00A8034F"/>
    <w:rsid w:val="00A80376"/>
    <w:rsid w:val="00A803DF"/>
    <w:rsid w:val="00A8044C"/>
    <w:rsid w:val="00A804FA"/>
    <w:rsid w:val="00A80511"/>
    <w:rsid w:val="00A80514"/>
    <w:rsid w:val="00A806D6"/>
    <w:rsid w:val="00A806EB"/>
    <w:rsid w:val="00A806F9"/>
    <w:rsid w:val="00A8075E"/>
    <w:rsid w:val="00A8076C"/>
    <w:rsid w:val="00A81168"/>
    <w:rsid w:val="00A811A7"/>
    <w:rsid w:val="00A81250"/>
    <w:rsid w:val="00A81264"/>
    <w:rsid w:val="00A81526"/>
    <w:rsid w:val="00A817DE"/>
    <w:rsid w:val="00A81B9E"/>
    <w:rsid w:val="00A81CE5"/>
    <w:rsid w:val="00A81FB0"/>
    <w:rsid w:val="00A81FD6"/>
    <w:rsid w:val="00A82143"/>
    <w:rsid w:val="00A82236"/>
    <w:rsid w:val="00A822BD"/>
    <w:rsid w:val="00A82415"/>
    <w:rsid w:val="00A8245F"/>
    <w:rsid w:val="00A825F4"/>
    <w:rsid w:val="00A82930"/>
    <w:rsid w:val="00A82969"/>
    <w:rsid w:val="00A831CD"/>
    <w:rsid w:val="00A833D5"/>
    <w:rsid w:val="00A8358C"/>
    <w:rsid w:val="00A838EF"/>
    <w:rsid w:val="00A83974"/>
    <w:rsid w:val="00A83997"/>
    <w:rsid w:val="00A83A6E"/>
    <w:rsid w:val="00A83D57"/>
    <w:rsid w:val="00A84008"/>
    <w:rsid w:val="00A8418C"/>
    <w:rsid w:val="00A8430D"/>
    <w:rsid w:val="00A845C6"/>
    <w:rsid w:val="00A8491D"/>
    <w:rsid w:val="00A84972"/>
    <w:rsid w:val="00A84B29"/>
    <w:rsid w:val="00A84CBE"/>
    <w:rsid w:val="00A84F51"/>
    <w:rsid w:val="00A84F94"/>
    <w:rsid w:val="00A852F8"/>
    <w:rsid w:val="00A8563E"/>
    <w:rsid w:val="00A859E9"/>
    <w:rsid w:val="00A85ADB"/>
    <w:rsid w:val="00A85F54"/>
    <w:rsid w:val="00A8633A"/>
    <w:rsid w:val="00A86441"/>
    <w:rsid w:val="00A8664B"/>
    <w:rsid w:val="00A867AC"/>
    <w:rsid w:val="00A8699E"/>
    <w:rsid w:val="00A86B4E"/>
    <w:rsid w:val="00A86D16"/>
    <w:rsid w:val="00A86D1E"/>
    <w:rsid w:val="00A86EE9"/>
    <w:rsid w:val="00A871DA"/>
    <w:rsid w:val="00A87274"/>
    <w:rsid w:val="00A872E5"/>
    <w:rsid w:val="00A873A6"/>
    <w:rsid w:val="00A8744E"/>
    <w:rsid w:val="00A8751A"/>
    <w:rsid w:val="00A877A9"/>
    <w:rsid w:val="00A877D0"/>
    <w:rsid w:val="00A877E6"/>
    <w:rsid w:val="00A879E1"/>
    <w:rsid w:val="00A87A4B"/>
    <w:rsid w:val="00A87E6A"/>
    <w:rsid w:val="00A901D7"/>
    <w:rsid w:val="00A9053F"/>
    <w:rsid w:val="00A905C9"/>
    <w:rsid w:val="00A90B3A"/>
    <w:rsid w:val="00A91065"/>
    <w:rsid w:val="00A91108"/>
    <w:rsid w:val="00A9117D"/>
    <w:rsid w:val="00A913C6"/>
    <w:rsid w:val="00A917BE"/>
    <w:rsid w:val="00A917E2"/>
    <w:rsid w:val="00A918A6"/>
    <w:rsid w:val="00A91B67"/>
    <w:rsid w:val="00A91C1F"/>
    <w:rsid w:val="00A92040"/>
    <w:rsid w:val="00A920A7"/>
    <w:rsid w:val="00A92481"/>
    <w:rsid w:val="00A925D7"/>
    <w:rsid w:val="00A92716"/>
    <w:rsid w:val="00A92766"/>
    <w:rsid w:val="00A92799"/>
    <w:rsid w:val="00A9286C"/>
    <w:rsid w:val="00A92875"/>
    <w:rsid w:val="00A9290F"/>
    <w:rsid w:val="00A92B8F"/>
    <w:rsid w:val="00A92CB7"/>
    <w:rsid w:val="00A92DED"/>
    <w:rsid w:val="00A93032"/>
    <w:rsid w:val="00A93695"/>
    <w:rsid w:val="00A93801"/>
    <w:rsid w:val="00A93930"/>
    <w:rsid w:val="00A93B0C"/>
    <w:rsid w:val="00A93B86"/>
    <w:rsid w:val="00A93DD6"/>
    <w:rsid w:val="00A93DDD"/>
    <w:rsid w:val="00A93E28"/>
    <w:rsid w:val="00A93E76"/>
    <w:rsid w:val="00A93EDA"/>
    <w:rsid w:val="00A94062"/>
    <w:rsid w:val="00A940FE"/>
    <w:rsid w:val="00A94279"/>
    <w:rsid w:val="00A9429D"/>
    <w:rsid w:val="00A9438D"/>
    <w:rsid w:val="00A943B9"/>
    <w:rsid w:val="00A946DE"/>
    <w:rsid w:val="00A94AA4"/>
    <w:rsid w:val="00A94B40"/>
    <w:rsid w:val="00A94C7A"/>
    <w:rsid w:val="00A94DC5"/>
    <w:rsid w:val="00A94F84"/>
    <w:rsid w:val="00A9508B"/>
    <w:rsid w:val="00A9513E"/>
    <w:rsid w:val="00A95497"/>
    <w:rsid w:val="00A956F6"/>
    <w:rsid w:val="00A95719"/>
    <w:rsid w:val="00A9583B"/>
    <w:rsid w:val="00A959F9"/>
    <w:rsid w:val="00A95E11"/>
    <w:rsid w:val="00A9605B"/>
    <w:rsid w:val="00A961AD"/>
    <w:rsid w:val="00A9646B"/>
    <w:rsid w:val="00A966FB"/>
    <w:rsid w:val="00A96B03"/>
    <w:rsid w:val="00A96B5C"/>
    <w:rsid w:val="00A96BA8"/>
    <w:rsid w:val="00A96D03"/>
    <w:rsid w:val="00A96F40"/>
    <w:rsid w:val="00A97011"/>
    <w:rsid w:val="00A97047"/>
    <w:rsid w:val="00A971DF"/>
    <w:rsid w:val="00A97391"/>
    <w:rsid w:val="00A9751A"/>
    <w:rsid w:val="00A97767"/>
    <w:rsid w:val="00A9788E"/>
    <w:rsid w:val="00A97B0E"/>
    <w:rsid w:val="00A97B2C"/>
    <w:rsid w:val="00A97D98"/>
    <w:rsid w:val="00A97DE6"/>
    <w:rsid w:val="00A97EF5"/>
    <w:rsid w:val="00A97FBD"/>
    <w:rsid w:val="00AA0083"/>
    <w:rsid w:val="00AA0108"/>
    <w:rsid w:val="00AA0129"/>
    <w:rsid w:val="00AA01DA"/>
    <w:rsid w:val="00AA0311"/>
    <w:rsid w:val="00AA05D2"/>
    <w:rsid w:val="00AA08C3"/>
    <w:rsid w:val="00AA09F2"/>
    <w:rsid w:val="00AA0A56"/>
    <w:rsid w:val="00AA0D2D"/>
    <w:rsid w:val="00AA0DE2"/>
    <w:rsid w:val="00AA1081"/>
    <w:rsid w:val="00AA111B"/>
    <w:rsid w:val="00AA12A7"/>
    <w:rsid w:val="00AA1470"/>
    <w:rsid w:val="00AA148B"/>
    <w:rsid w:val="00AA163E"/>
    <w:rsid w:val="00AA17C1"/>
    <w:rsid w:val="00AA1FA0"/>
    <w:rsid w:val="00AA2010"/>
    <w:rsid w:val="00AA25F1"/>
    <w:rsid w:val="00AA2648"/>
    <w:rsid w:val="00AA2682"/>
    <w:rsid w:val="00AA2693"/>
    <w:rsid w:val="00AA291E"/>
    <w:rsid w:val="00AA2A33"/>
    <w:rsid w:val="00AA2D97"/>
    <w:rsid w:val="00AA2DC6"/>
    <w:rsid w:val="00AA2E00"/>
    <w:rsid w:val="00AA2FCC"/>
    <w:rsid w:val="00AA317F"/>
    <w:rsid w:val="00AA3648"/>
    <w:rsid w:val="00AA36C7"/>
    <w:rsid w:val="00AA3B67"/>
    <w:rsid w:val="00AA3D5B"/>
    <w:rsid w:val="00AA3F6C"/>
    <w:rsid w:val="00AA3FDE"/>
    <w:rsid w:val="00AA412C"/>
    <w:rsid w:val="00AA42D4"/>
    <w:rsid w:val="00AA43AF"/>
    <w:rsid w:val="00AA43EC"/>
    <w:rsid w:val="00AA46C3"/>
    <w:rsid w:val="00AA46EF"/>
    <w:rsid w:val="00AA481F"/>
    <w:rsid w:val="00AA4B3D"/>
    <w:rsid w:val="00AA4BFC"/>
    <w:rsid w:val="00AA4FF4"/>
    <w:rsid w:val="00AA5055"/>
    <w:rsid w:val="00AA5299"/>
    <w:rsid w:val="00AA546C"/>
    <w:rsid w:val="00AA55E8"/>
    <w:rsid w:val="00AA5602"/>
    <w:rsid w:val="00AA58D2"/>
    <w:rsid w:val="00AA595B"/>
    <w:rsid w:val="00AA5AB7"/>
    <w:rsid w:val="00AA5C03"/>
    <w:rsid w:val="00AA608E"/>
    <w:rsid w:val="00AA612F"/>
    <w:rsid w:val="00AA6359"/>
    <w:rsid w:val="00AA6B71"/>
    <w:rsid w:val="00AA6BEB"/>
    <w:rsid w:val="00AA6C03"/>
    <w:rsid w:val="00AA6C63"/>
    <w:rsid w:val="00AA6CC8"/>
    <w:rsid w:val="00AA6CD0"/>
    <w:rsid w:val="00AA6D5A"/>
    <w:rsid w:val="00AA6DF6"/>
    <w:rsid w:val="00AA714B"/>
    <w:rsid w:val="00AA71A4"/>
    <w:rsid w:val="00AA73FF"/>
    <w:rsid w:val="00AA75DD"/>
    <w:rsid w:val="00AA7768"/>
    <w:rsid w:val="00AA7842"/>
    <w:rsid w:val="00AA7B3D"/>
    <w:rsid w:val="00AA7E5A"/>
    <w:rsid w:val="00AA7E7A"/>
    <w:rsid w:val="00AA7EDE"/>
    <w:rsid w:val="00AA7EF2"/>
    <w:rsid w:val="00AB0211"/>
    <w:rsid w:val="00AB0287"/>
    <w:rsid w:val="00AB0704"/>
    <w:rsid w:val="00AB0897"/>
    <w:rsid w:val="00AB0955"/>
    <w:rsid w:val="00AB09A8"/>
    <w:rsid w:val="00AB09B6"/>
    <w:rsid w:val="00AB0A01"/>
    <w:rsid w:val="00AB0CEB"/>
    <w:rsid w:val="00AB0D53"/>
    <w:rsid w:val="00AB1153"/>
    <w:rsid w:val="00AB11E8"/>
    <w:rsid w:val="00AB12AC"/>
    <w:rsid w:val="00AB13F3"/>
    <w:rsid w:val="00AB1427"/>
    <w:rsid w:val="00AB149A"/>
    <w:rsid w:val="00AB16F5"/>
    <w:rsid w:val="00AB18CC"/>
    <w:rsid w:val="00AB1ABC"/>
    <w:rsid w:val="00AB1D04"/>
    <w:rsid w:val="00AB1D30"/>
    <w:rsid w:val="00AB1FB2"/>
    <w:rsid w:val="00AB20DB"/>
    <w:rsid w:val="00AB212A"/>
    <w:rsid w:val="00AB2185"/>
    <w:rsid w:val="00AB219D"/>
    <w:rsid w:val="00AB25C4"/>
    <w:rsid w:val="00AB2765"/>
    <w:rsid w:val="00AB2E45"/>
    <w:rsid w:val="00AB325D"/>
    <w:rsid w:val="00AB3468"/>
    <w:rsid w:val="00AB3577"/>
    <w:rsid w:val="00AB35D7"/>
    <w:rsid w:val="00AB38C1"/>
    <w:rsid w:val="00AB3A77"/>
    <w:rsid w:val="00AB3C87"/>
    <w:rsid w:val="00AB3D05"/>
    <w:rsid w:val="00AB3E03"/>
    <w:rsid w:val="00AB3EF1"/>
    <w:rsid w:val="00AB42A6"/>
    <w:rsid w:val="00AB43CC"/>
    <w:rsid w:val="00AB45FD"/>
    <w:rsid w:val="00AB4806"/>
    <w:rsid w:val="00AB48B3"/>
    <w:rsid w:val="00AB4AA8"/>
    <w:rsid w:val="00AB5189"/>
    <w:rsid w:val="00AB5365"/>
    <w:rsid w:val="00AB542E"/>
    <w:rsid w:val="00AB547D"/>
    <w:rsid w:val="00AB5522"/>
    <w:rsid w:val="00AB5822"/>
    <w:rsid w:val="00AB59D2"/>
    <w:rsid w:val="00AB5ACB"/>
    <w:rsid w:val="00AB5B0C"/>
    <w:rsid w:val="00AB611C"/>
    <w:rsid w:val="00AB62EA"/>
    <w:rsid w:val="00AB657E"/>
    <w:rsid w:val="00AB670F"/>
    <w:rsid w:val="00AB6BB1"/>
    <w:rsid w:val="00AB751D"/>
    <w:rsid w:val="00AB7589"/>
    <w:rsid w:val="00AB78BB"/>
    <w:rsid w:val="00AB7DBE"/>
    <w:rsid w:val="00AB7DF1"/>
    <w:rsid w:val="00AB7E07"/>
    <w:rsid w:val="00AC0051"/>
    <w:rsid w:val="00AC00B3"/>
    <w:rsid w:val="00AC0130"/>
    <w:rsid w:val="00AC0266"/>
    <w:rsid w:val="00AC0662"/>
    <w:rsid w:val="00AC067B"/>
    <w:rsid w:val="00AC0719"/>
    <w:rsid w:val="00AC0820"/>
    <w:rsid w:val="00AC0963"/>
    <w:rsid w:val="00AC0AFF"/>
    <w:rsid w:val="00AC0C69"/>
    <w:rsid w:val="00AC0E6A"/>
    <w:rsid w:val="00AC0FC2"/>
    <w:rsid w:val="00AC105F"/>
    <w:rsid w:val="00AC106F"/>
    <w:rsid w:val="00AC10E2"/>
    <w:rsid w:val="00AC13B8"/>
    <w:rsid w:val="00AC153C"/>
    <w:rsid w:val="00AC1606"/>
    <w:rsid w:val="00AC1687"/>
    <w:rsid w:val="00AC1699"/>
    <w:rsid w:val="00AC1B13"/>
    <w:rsid w:val="00AC1D9D"/>
    <w:rsid w:val="00AC1FC2"/>
    <w:rsid w:val="00AC2502"/>
    <w:rsid w:val="00AC27EE"/>
    <w:rsid w:val="00AC28B6"/>
    <w:rsid w:val="00AC2D13"/>
    <w:rsid w:val="00AC2D58"/>
    <w:rsid w:val="00AC2E7D"/>
    <w:rsid w:val="00AC2F1C"/>
    <w:rsid w:val="00AC2FD8"/>
    <w:rsid w:val="00AC3149"/>
    <w:rsid w:val="00AC3275"/>
    <w:rsid w:val="00AC36A3"/>
    <w:rsid w:val="00AC381F"/>
    <w:rsid w:val="00AC3A92"/>
    <w:rsid w:val="00AC3B45"/>
    <w:rsid w:val="00AC3EB5"/>
    <w:rsid w:val="00AC3F56"/>
    <w:rsid w:val="00AC415C"/>
    <w:rsid w:val="00AC41E9"/>
    <w:rsid w:val="00AC436D"/>
    <w:rsid w:val="00AC46BB"/>
    <w:rsid w:val="00AC4710"/>
    <w:rsid w:val="00AC47B0"/>
    <w:rsid w:val="00AC4C93"/>
    <w:rsid w:val="00AC4F0E"/>
    <w:rsid w:val="00AC5301"/>
    <w:rsid w:val="00AC549D"/>
    <w:rsid w:val="00AC5542"/>
    <w:rsid w:val="00AC5628"/>
    <w:rsid w:val="00AC57F2"/>
    <w:rsid w:val="00AC587E"/>
    <w:rsid w:val="00AC58DA"/>
    <w:rsid w:val="00AC592B"/>
    <w:rsid w:val="00AC5A7A"/>
    <w:rsid w:val="00AC5A9D"/>
    <w:rsid w:val="00AC5AB8"/>
    <w:rsid w:val="00AC5B47"/>
    <w:rsid w:val="00AC5BE0"/>
    <w:rsid w:val="00AC5D2A"/>
    <w:rsid w:val="00AC61B9"/>
    <w:rsid w:val="00AC6242"/>
    <w:rsid w:val="00AC62E0"/>
    <w:rsid w:val="00AC63C5"/>
    <w:rsid w:val="00AC63D7"/>
    <w:rsid w:val="00AC644B"/>
    <w:rsid w:val="00AC6599"/>
    <w:rsid w:val="00AC67A1"/>
    <w:rsid w:val="00AC68F1"/>
    <w:rsid w:val="00AC6940"/>
    <w:rsid w:val="00AC69E8"/>
    <w:rsid w:val="00AC6AF6"/>
    <w:rsid w:val="00AC6D3B"/>
    <w:rsid w:val="00AC6EF5"/>
    <w:rsid w:val="00AC6F11"/>
    <w:rsid w:val="00AC70BF"/>
    <w:rsid w:val="00AC70D5"/>
    <w:rsid w:val="00AC71F6"/>
    <w:rsid w:val="00AC7279"/>
    <w:rsid w:val="00AC7457"/>
    <w:rsid w:val="00AC777E"/>
    <w:rsid w:val="00AC793E"/>
    <w:rsid w:val="00AC7999"/>
    <w:rsid w:val="00AC79AE"/>
    <w:rsid w:val="00AC7AE6"/>
    <w:rsid w:val="00AC7B42"/>
    <w:rsid w:val="00AC7C27"/>
    <w:rsid w:val="00AC7E56"/>
    <w:rsid w:val="00AC7ED8"/>
    <w:rsid w:val="00AD006C"/>
    <w:rsid w:val="00AD00DB"/>
    <w:rsid w:val="00AD0416"/>
    <w:rsid w:val="00AD056D"/>
    <w:rsid w:val="00AD0C95"/>
    <w:rsid w:val="00AD0E96"/>
    <w:rsid w:val="00AD1026"/>
    <w:rsid w:val="00AD11A1"/>
    <w:rsid w:val="00AD1252"/>
    <w:rsid w:val="00AD12ED"/>
    <w:rsid w:val="00AD14B9"/>
    <w:rsid w:val="00AD16EB"/>
    <w:rsid w:val="00AD1756"/>
    <w:rsid w:val="00AD2059"/>
    <w:rsid w:val="00AD27DF"/>
    <w:rsid w:val="00AD2955"/>
    <w:rsid w:val="00AD2B57"/>
    <w:rsid w:val="00AD2BDC"/>
    <w:rsid w:val="00AD2E3F"/>
    <w:rsid w:val="00AD30CE"/>
    <w:rsid w:val="00AD3639"/>
    <w:rsid w:val="00AD3676"/>
    <w:rsid w:val="00AD3702"/>
    <w:rsid w:val="00AD394A"/>
    <w:rsid w:val="00AD3ABA"/>
    <w:rsid w:val="00AD3B8E"/>
    <w:rsid w:val="00AD3CA8"/>
    <w:rsid w:val="00AD3DC8"/>
    <w:rsid w:val="00AD402A"/>
    <w:rsid w:val="00AD41E5"/>
    <w:rsid w:val="00AD4442"/>
    <w:rsid w:val="00AD44DA"/>
    <w:rsid w:val="00AD4584"/>
    <w:rsid w:val="00AD45B8"/>
    <w:rsid w:val="00AD48C2"/>
    <w:rsid w:val="00AD4A21"/>
    <w:rsid w:val="00AD4AB0"/>
    <w:rsid w:val="00AD4AB3"/>
    <w:rsid w:val="00AD4AF3"/>
    <w:rsid w:val="00AD4EF3"/>
    <w:rsid w:val="00AD4F0D"/>
    <w:rsid w:val="00AD4F21"/>
    <w:rsid w:val="00AD532F"/>
    <w:rsid w:val="00AD5800"/>
    <w:rsid w:val="00AD5BDE"/>
    <w:rsid w:val="00AD61F3"/>
    <w:rsid w:val="00AD63A4"/>
    <w:rsid w:val="00AD6441"/>
    <w:rsid w:val="00AD6612"/>
    <w:rsid w:val="00AD67B6"/>
    <w:rsid w:val="00AD6A14"/>
    <w:rsid w:val="00AD6A1C"/>
    <w:rsid w:val="00AD6ACD"/>
    <w:rsid w:val="00AD6B3B"/>
    <w:rsid w:val="00AD6BEB"/>
    <w:rsid w:val="00AD708C"/>
    <w:rsid w:val="00AD7190"/>
    <w:rsid w:val="00AD726A"/>
    <w:rsid w:val="00AD72B8"/>
    <w:rsid w:val="00AD73D8"/>
    <w:rsid w:val="00AD740F"/>
    <w:rsid w:val="00AD76B6"/>
    <w:rsid w:val="00AD7874"/>
    <w:rsid w:val="00AD798E"/>
    <w:rsid w:val="00AD7B7A"/>
    <w:rsid w:val="00AD7C21"/>
    <w:rsid w:val="00AD7C5A"/>
    <w:rsid w:val="00AD7D19"/>
    <w:rsid w:val="00AD7E6E"/>
    <w:rsid w:val="00AE016E"/>
    <w:rsid w:val="00AE0203"/>
    <w:rsid w:val="00AE03EF"/>
    <w:rsid w:val="00AE043E"/>
    <w:rsid w:val="00AE06AF"/>
    <w:rsid w:val="00AE0A13"/>
    <w:rsid w:val="00AE0CBB"/>
    <w:rsid w:val="00AE0D24"/>
    <w:rsid w:val="00AE0E35"/>
    <w:rsid w:val="00AE1018"/>
    <w:rsid w:val="00AE126E"/>
    <w:rsid w:val="00AE1565"/>
    <w:rsid w:val="00AE1577"/>
    <w:rsid w:val="00AE1609"/>
    <w:rsid w:val="00AE1832"/>
    <w:rsid w:val="00AE1D3C"/>
    <w:rsid w:val="00AE20BC"/>
    <w:rsid w:val="00AE230B"/>
    <w:rsid w:val="00AE2564"/>
    <w:rsid w:val="00AE2570"/>
    <w:rsid w:val="00AE26EF"/>
    <w:rsid w:val="00AE2714"/>
    <w:rsid w:val="00AE27A6"/>
    <w:rsid w:val="00AE2895"/>
    <w:rsid w:val="00AE2907"/>
    <w:rsid w:val="00AE293A"/>
    <w:rsid w:val="00AE2B86"/>
    <w:rsid w:val="00AE2C98"/>
    <w:rsid w:val="00AE2D29"/>
    <w:rsid w:val="00AE2E10"/>
    <w:rsid w:val="00AE2E34"/>
    <w:rsid w:val="00AE2E78"/>
    <w:rsid w:val="00AE2EA0"/>
    <w:rsid w:val="00AE2ED6"/>
    <w:rsid w:val="00AE2FF1"/>
    <w:rsid w:val="00AE326F"/>
    <w:rsid w:val="00AE3632"/>
    <w:rsid w:val="00AE3893"/>
    <w:rsid w:val="00AE3A8D"/>
    <w:rsid w:val="00AE4783"/>
    <w:rsid w:val="00AE480B"/>
    <w:rsid w:val="00AE4A1B"/>
    <w:rsid w:val="00AE4A54"/>
    <w:rsid w:val="00AE4A6C"/>
    <w:rsid w:val="00AE4D11"/>
    <w:rsid w:val="00AE4F32"/>
    <w:rsid w:val="00AE5306"/>
    <w:rsid w:val="00AE5419"/>
    <w:rsid w:val="00AE58B6"/>
    <w:rsid w:val="00AE5CCF"/>
    <w:rsid w:val="00AE644C"/>
    <w:rsid w:val="00AE6468"/>
    <w:rsid w:val="00AE6707"/>
    <w:rsid w:val="00AE6B4E"/>
    <w:rsid w:val="00AE6E8A"/>
    <w:rsid w:val="00AE7082"/>
    <w:rsid w:val="00AE7261"/>
    <w:rsid w:val="00AE75E1"/>
    <w:rsid w:val="00AE7630"/>
    <w:rsid w:val="00AE768D"/>
    <w:rsid w:val="00AE7A2C"/>
    <w:rsid w:val="00AE7B76"/>
    <w:rsid w:val="00AE7C28"/>
    <w:rsid w:val="00AE7FA0"/>
    <w:rsid w:val="00AE7FAD"/>
    <w:rsid w:val="00AF08D3"/>
    <w:rsid w:val="00AF0A60"/>
    <w:rsid w:val="00AF0AEE"/>
    <w:rsid w:val="00AF0CBB"/>
    <w:rsid w:val="00AF0E98"/>
    <w:rsid w:val="00AF0FC6"/>
    <w:rsid w:val="00AF12A6"/>
    <w:rsid w:val="00AF1566"/>
    <w:rsid w:val="00AF15BD"/>
    <w:rsid w:val="00AF1E42"/>
    <w:rsid w:val="00AF1E4F"/>
    <w:rsid w:val="00AF2040"/>
    <w:rsid w:val="00AF20AB"/>
    <w:rsid w:val="00AF2241"/>
    <w:rsid w:val="00AF228E"/>
    <w:rsid w:val="00AF260F"/>
    <w:rsid w:val="00AF26BE"/>
    <w:rsid w:val="00AF2712"/>
    <w:rsid w:val="00AF276E"/>
    <w:rsid w:val="00AF2AE5"/>
    <w:rsid w:val="00AF3146"/>
    <w:rsid w:val="00AF351F"/>
    <w:rsid w:val="00AF3654"/>
    <w:rsid w:val="00AF37EE"/>
    <w:rsid w:val="00AF38D9"/>
    <w:rsid w:val="00AF3A8D"/>
    <w:rsid w:val="00AF3AD4"/>
    <w:rsid w:val="00AF4140"/>
    <w:rsid w:val="00AF456A"/>
    <w:rsid w:val="00AF45BA"/>
    <w:rsid w:val="00AF45F4"/>
    <w:rsid w:val="00AF4DB5"/>
    <w:rsid w:val="00AF515E"/>
    <w:rsid w:val="00AF5168"/>
    <w:rsid w:val="00AF53FF"/>
    <w:rsid w:val="00AF54B1"/>
    <w:rsid w:val="00AF54E7"/>
    <w:rsid w:val="00AF5BC4"/>
    <w:rsid w:val="00AF61F0"/>
    <w:rsid w:val="00AF6513"/>
    <w:rsid w:val="00AF6561"/>
    <w:rsid w:val="00AF6AFF"/>
    <w:rsid w:val="00AF6D05"/>
    <w:rsid w:val="00AF6F0E"/>
    <w:rsid w:val="00AF6F62"/>
    <w:rsid w:val="00AF75A5"/>
    <w:rsid w:val="00AF77FB"/>
    <w:rsid w:val="00AF78B9"/>
    <w:rsid w:val="00AF78C9"/>
    <w:rsid w:val="00AF798B"/>
    <w:rsid w:val="00B00023"/>
    <w:rsid w:val="00B001C9"/>
    <w:rsid w:val="00B004B4"/>
    <w:rsid w:val="00B006D0"/>
    <w:rsid w:val="00B00871"/>
    <w:rsid w:val="00B009FB"/>
    <w:rsid w:val="00B00A35"/>
    <w:rsid w:val="00B00B5C"/>
    <w:rsid w:val="00B00C82"/>
    <w:rsid w:val="00B00E81"/>
    <w:rsid w:val="00B00FE5"/>
    <w:rsid w:val="00B00FF9"/>
    <w:rsid w:val="00B01081"/>
    <w:rsid w:val="00B012C8"/>
    <w:rsid w:val="00B0155E"/>
    <w:rsid w:val="00B01A5A"/>
    <w:rsid w:val="00B01B24"/>
    <w:rsid w:val="00B01C30"/>
    <w:rsid w:val="00B01CF3"/>
    <w:rsid w:val="00B01D69"/>
    <w:rsid w:val="00B01FE7"/>
    <w:rsid w:val="00B01FEC"/>
    <w:rsid w:val="00B0201E"/>
    <w:rsid w:val="00B02093"/>
    <w:rsid w:val="00B02406"/>
    <w:rsid w:val="00B0269A"/>
    <w:rsid w:val="00B02954"/>
    <w:rsid w:val="00B02A51"/>
    <w:rsid w:val="00B02A86"/>
    <w:rsid w:val="00B02D22"/>
    <w:rsid w:val="00B02EC2"/>
    <w:rsid w:val="00B03515"/>
    <w:rsid w:val="00B0362D"/>
    <w:rsid w:val="00B039A9"/>
    <w:rsid w:val="00B03A4C"/>
    <w:rsid w:val="00B03C7C"/>
    <w:rsid w:val="00B03CE0"/>
    <w:rsid w:val="00B03E27"/>
    <w:rsid w:val="00B040D0"/>
    <w:rsid w:val="00B04479"/>
    <w:rsid w:val="00B04920"/>
    <w:rsid w:val="00B04AE8"/>
    <w:rsid w:val="00B057FD"/>
    <w:rsid w:val="00B059F5"/>
    <w:rsid w:val="00B05E1B"/>
    <w:rsid w:val="00B05E41"/>
    <w:rsid w:val="00B05E69"/>
    <w:rsid w:val="00B05F45"/>
    <w:rsid w:val="00B05FC7"/>
    <w:rsid w:val="00B06336"/>
    <w:rsid w:val="00B06355"/>
    <w:rsid w:val="00B064F2"/>
    <w:rsid w:val="00B0668E"/>
    <w:rsid w:val="00B066B4"/>
    <w:rsid w:val="00B0677D"/>
    <w:rsid w:val="00B069F7"/>
    <w:rsid w:val="00B06E43"/>
    <w:rsid w:val="00B06E89"/>
    <w:rsid w:val="00B074E0"/>
    <w:rsid w:val="00B07530"/>
    <w:rsid w:val="00B07E02"/>
    <w:rsid w:val="00B1043A"/>
    <w:rsid w:val="00B1055C"/>
    <w:rsid w:val="00B106D8"/>
    <w:rsid w:val="00B11118"/>
    <w:rsid w:val="00B1113A"/>
    <w:rsid w:val="00B112C9"/>
    <w:rsid w:val="00B11376"/>
    <w:rsid w:val="00B113B9"/>
    <w:rsid w:val="00B11727"/>
    <w:rsid w:val="00B11D56"/>
    <w:rsid w:val="00B12023"/>
    <w:rsid w:val="00B12475"/>
    <w:rsid w:val="00B12561"/>
    <w:rsid w:val="00B12612"/>
    <w:rsid w:val="00B1284F"/>
    <w:rsid w:val="00B128BA"/>
    <w:rsid w:val="00B129CA"/>
    <w:rsid w:val="00B129F2"/>
    <w:rsid w:val="00B12C6F"/>
    <w:rsid w:val="00B12E3A"/>
    <w:rsid w:val="00B12E73"/>
    <w:rsid w:val="00B1300D"/>
    <w:rsid w:val="00B136B5"/>
    <w:rsid w:val="00B13859"/>
    <w:rsid w:val="00B13D6A"/>
    <w:rsid w:val="00B14342"/>
    <w:rsid w:val="00B147F2"/>
    <w:rsid w:val="00B14927"/>
    <w:rsid w:val="00B14AC9"/>
    <w:rsid w:val="00B14AE4"/>
    <w:rsid w:val="00B14E4E"/>
    <w:rsid w:val="00B14F5C"/>
    <w:rsid w:val="00B14F8F"/>
    <w:rsid w:val="00B14F9B"/>
    <w:rsid w:val="00B14FC5"/>
    <w:rsid w:val="00B1514B"/>
    <w:rsid w:val="00B15364"/>
    <w:rsid w:val="00B15366"/>
    <w:rsid w:val="00B15447"/>
    <w:rsid w:val="00B154F7"/>
    <w:rsid w:val="00B155D4"/>
    <w:rsid w:val="00B156D2"/>
    <w:rsid w:val="00B159C2"/>
    <w:rsid w:val="00B15DAC"/>
    <w:rsid w:val="00B1614A"/>
    <w:rsid w:val="00B1633D"/>
    <w:rsid w:val="00B16411"/>
    <w:rsid w:val="00B1652C"/>
    <w:rsid w:val="00B16844"/>
    <w:rsid w:val="00B16A9E"/>
    <w:rsid w:val="00B16B9C"/>
    <w:rsid w:val="00B16C5E"/>
    <w:rsid w:val="00B16EA1"/>
    <w:rsid w:val="00B16F60"/>
    <w:rsid w:val="00B17369"/>
    <w:rsid w:val="00B17372"/>
    <w:rsid w:val="00B1748C"/>
    <w:rsid w:val="00B174EE"/>
    <w:rsid w:val="00B177D3"/>
    <w:rsid w:val="00B17AA9"/>
    <w:rsid w:val="00B17EC1"/>
    <w:rsid w:val="00B17F4C"/>
    <w:rsid w:val="00B17F6A"/>
    <w:rsid w:val="00B17F9D"/>
    <w:rsid w:val="00B17FD5"/>
    <w:rsid w:val="00B200D2"/>
    <w:rsid w:val="00B202F1"/>
    <w:rsid w:val="00B2062C"/>
    <w:rsid w:val="00B20687"/>
    <w:rsid w:val="00B20826"/>
    <w:rsid w:val="00B208E4"/>
    <w:rsid w:val="00B209B2"/>
    <w:rsid w:val="00B20A46"/>
    <w:rsid w:val="00B20BA6"/>
    <w:rsid w:val="00B20CAB"/>
    <w:rsid w:val="00B20F21"/>
    <w:rsid w:val="00B211B1"/>
    <w:rsid w:val="00B21239"/>
    <w:rsid w:val="00B21609"/>
    <w:rsid w:val="00B2163D"/>
    <w:rsid w:val="00B2181D"/>
    <w:rsid w:val="00B21990"/>
    <w:rsid w:val="00B21A16"/>
    <w:rsid w:val="00B22048"/>
    <w:rsid w:val="00B2213F"/>
    <w:rsid w:val="00B22190"/>
    <w:rsid w:val="00B222F1"/>
    <w:rsid w:val="00B2246F"/>
    <w:rsid w:val="00B2274E"/>
    <w:rsid w:val="00B22854"/>
    <w:rsid w:val="00B2286E"/>
    <w:rsid w:val="00B228DD"/>
    <w:rsid w:val="00B22E31"/>
    <w:rsid w:val="00B22F3B"/>
    <w:rsid w:val="00B22F42"/>
    <w:rsid w:val="00B22FFD"/>
    <w:rsid w:val="00B23203"/>
    <w:rsid w:val="00B232FD"/>
    <w:rsid w:val="00B23500"/>
    <w:rsid w:val="00B23577"/>
    <w:rsid w:val="00B2368B"/>
    <w:rsid w:val="00B2379E"/>
    <w:rsid w:val="00B237A3"/>
    <w:rsid w:val="00B23AB3"/>
    <w:rsid w:val="00B23BC6"/>
    <w:rsid w:val="00B23C9A"/>
    <w:rsid w:val="00B23CD9"/>
    <w:rsid w:val="00B23FAC"/>
    <w:rsid w:val="00B241F0"/>
    <w:rsid w:val="00B2427D"/>
    <w:rsid w:val="00B24599"/>
    <w:rsid w:val="00B24AEF"/>
    <w:rsid w:val="00B24D5C"/>
    <w:rsid w:val="00B24E39"/>
    <w:rsid w:val="00B24ECC"/>
    <w:rsid w:val="00B25072"/>
    <w:rsid w:val="00B25078"/>
    <w:rsid w:val="00B252E5"/>
    <w:rsid w:val="00B25686"/>
    <w:rsid w:val="00B2570C"/>
    <w:rsid w:val="00B25795"/>
    <w:rsid w:val="00B25846"/>
    <w:rsid w:val="00B25AE2"/>
    <w:rsid w:val="00B25E24"/>
    <w:rsid w:val="00B25F88"/>
    <w:rsid w:val="00B25FC1"/>
    <w:rsid w:val="00B26012"/>
    <w:rsid w:val="00B26187"/>
    <w:rsid w:val="00B262C5"/>
    <w:rsid w:val="00B2665D"/>
    <w:rsid w:val="00B2685C"/>
    <w:rsid w:val="00B26A13"/>
    <w:rsid w:val="00B26B7F"/>
    <w:rsid w:val="00B26C90"/>
    <w:rsid w:val="00B26DCA"/>
    <w:rsid w:val="00B26DF3"/>
    <w:rsid w:val="00B26EBE"/>
    <w:rsid w:val="00B26EFE"/>
    <w:rsid w:val="00B26F60"/>
    <w:rsid w:val="00B26F94"/>
    <w:rsid w:val="00B27329"/>
    <w:rsid w:val="00B27768"/>
    <w:rsid w:val="00B2783D"/>
    <w:rsid w:val="00B27ADA"/>
    <w:rsid w:val="00B27CFD"/>
    <w:rsid w:val="00B27DBF"/>
    <w:rsid w:val="00B27E9A"/>
    <w:rsid w:val="00B27F9F"/>
    <w:rsid w:val="00B30046"/>
    <w:rsid w:val="00B30130"/>
    <w:rsid w:val="00B30304"/>
    <w:rsid w:val="00B30371"/>
    <w:rsid w:val="00B30442"/>
    <w:rsid w:val="00B3056C"/>
    <w:rsid w:val="00B3074B"/>
    <w:rsid w:val="00B307EB"/>
    <w:rsid w:val="00B3095B"/>
    <w:rsid w:val="00B30B5B"/>
    <w:rsid w:val="00B3136C"/>
    <w:rsid w:val="00B3136F"/>
    <w:rsid w:val="00B31BD8"/>
    <w:rsid w:val="00B32447"/>
    <w:rsid w:val="00B324FA"/>
    <w:rsid w:val="00B325C8"/>
    <w:rsid w:val="00B32A03"/>
    <w:rsid w:val="00B32A93"/>
    <w:rsid w:val="00B32BFF"/>
    <w:rsid w:val="00B32D3A"/>
    <w:rsid w:val="00B32EBF"/>
    <w:rsid w:val="00B32F30"/>
    <w:rsid w:val="00B32FDD"/>
    <w:rsid w:val="00B331E9"/>
    <w:rsid w:val="00B3326B"/>
    <w:rsid w:val="00B3343E"/>
    <w:rsid w:val="00B33677"/>
    <w:rsid w:val="00B33768"/>
    <w:rsid w:val="00B33802"/>
    <w:rsid w:val="00B339BF"/>
    <w:rsid w:val="00B33CF0"/>
    <w:rsid w:val="00B33D11"/>
    <w:rsid w:val="00B33E56"/>
    <w:rsid w:val="00B340C1"/>
    <w:rsid w:val="00B341D5"/>
    <w:rsid w:val="00B34264"/>
    <w:rsid w:val="00B34334"/>
    <w:rsid w:val="00B34372"/>
    <w:rsid w:val="00B3445A"/>
    <w:rsid w:val="00B3460C"/>
    <w:rsid w:val="00B3462D"/>
    <w:rsid w:val="00B3467E"/>
    <w:rsid w:val="00B34AAD"/>
    <w:rsid w:val="00B34E9A"/>
    <w:rsid w:val="00B34EC6"/>
    <w:rsid w:val="00B35538"/>
    <w:rsid w:val="00B3553E"/>
    <w:rsid w:val="00B355FE"/>
    <w:rsid w:val="00B35676"/>
    <w:rsid w:val="00B35A23"/>
    <w:rsid w:val="00B35BE5"/>
    <w:rsid w:val="00B35C56"/>
    <w:rsid w:val="00B35CDE"/>
    <w:rsid w:val="00B35F1B"/>
    <w:rsid w:val="00B35FA4"/>
    <w:rsid w:val="00B360AD"/>
    <w:rsid w:val="00B360E9"/>
    <w:rsid w:val="00B36168"/>
    <w:rsid w:val="00B362A0"/>
    <w:rsid w:val="00B364F0"/>
    <w:rsid w:val="00B365C9"/>
    <w:rsid w:val="00B36621"/>
    <w:rsid w:val="00B36799"/>
    <w:rsid w:val="00B368FA"/>
    <w:rsid w:val="00B36B0C"/>
    <w:rsid w:val="00B370A3"/>
    <w:rsid w:val="00B37131"/>
    <w:rsid w:val="00B3743D"/>
    <w:rsid w:val="00B374DE"/>
    <w:rsid w:val="00B37644"/>
    <w:rsid w:val="00B379FD"/>
    <w:rsid w:val="00B37EA2"/>
    <w:rsid w:val="00B37F8E"/>
    <w:rsid w:val="00B4008D"/>
    <w:rsid w:val="00B40574"/>
    <w:rsid w:val="00B40690"/>
    <w:rsid w:val="00B406AF"/>
    <w:rsid w:val="00B40822"/>
    <w:rsid w:val="00B40AAA"/>
    <w:rsid w:val="00B40AB3"/>
    <w:rsid w:val="00B40E8D"/>
    <w:rsid w:val="00B40ED1"/>
    <w:rsid w:val="00B40EE7"/>
    <w:rsid w:val="00B411D4"/>
    <w:rsid w:val="00B411FB"/>
    <w:rsid w:val="00B4132E"/>
    <w:rsid w:val="00B4133B"/>
    <w:rsid w:val="00B414FB"/>
    <w:rsid w:val="00B41561"/>
    <w:rsid w:val="00B415EF"/>
    <w:rsid w:val="00B41A15"/>
    <w:rsid w:val="00B420A2"/>
    <w:rsid w:val="00B420CC"/>
    <w:rsid w:val="00B420DE"/>
    <w:rsid w:val="00B42121"/>
    <w:rsid w:val="00B4224E"/>
    <w:rsid w:val="00B42316"/>
    <w:rsid w:val="00B423DB"/>
    <w:rsid w:val="00B4246F"/>
    <w:rsid w:val="00B426F3"/>
    <w:rsid w:val="00B42852"/>
    <w:rsid w:val="00B42D78"/>
    <w:rsid w:val="00B42FE8"/>
    <w:rsid w:val="00B430D6"/>
    <w:rsid w:val="00B432D3"/>
    <w:rsid w:val="00B433DC"/>
    <w:rsid w:val="00B43562"/>
    <w:rsid w:val="00B43998"/>
    <w:rsid w:val="00B43B59"/>
    <w:rsid w:val="00B44036"/>
    <w:rsid w:val="00B446C1"/>
    <w:rsid w:val="00B447A4"/>
    <w:rsid w:val="00B44950"/>
    <w:rsid w:val="00B44C5E"/>
    <w:rsid w:val="00B44CC6"/>
    <w:rsid w:val="00B44D8A"/>
    <w:rsid w:val="00B44DAE"/>
    <w:rsid w:val="00B44DEC"/>
    <w:rsid w:val="00B45048"/>
    <w:rsid w:val="00B45272"/>
    <w:rsid w:val="00B45311"/>
    <w:rsid w:val="00B45497"/>
    <w:rsid w:val="00B454AE"/>
    <w:rsid w:val="00B454FA"/>
    <w:rsid w:val="00B459A4"/>
    <w:rsid w:val="00B46114"/>
    <w:rsid w:val="00B461B0"/>
    <w:rsid w:val="00B461D3"/>
    <w:rsid w:val="00B46475"/>
    <w:rsid w:val="00B46926"/>
    <w:rsid w:val="00B46B26"/>
    <w:rsid w:val="00B46C40"/>
    <w:rsid w:val="00B46D98"/>
    <w:rsid w:val="00B46E76"/>
    <w:rsid w:val="00B4706D"/>
    <w:rsid w:val="00B477E6"/>
    <w:rsid w:val="00B47A77"/>
    <w:rsid w:val="00B47C01"/>
    <w:rsid w:val="00B47DA0"/>
    <w:rsid w:val="00B47E79"/>
    <w:rsid w:val="00B47F4B"/>
    <w:rsid w:val="00B502C0"/>
    <w:rsid w:val="00B50843"/>
    <w:rsid w:val="00B5092B"/>
    <w:rsid w:val="00B50D5A"/>
    <w:rsid w:val="00B50DF1"/>
    <w:rsid w:val="00B50E45"/>
    <w:rsid w:val="00B50F98"/>
    <w:rsid w:val="00B50FCF"/>
    <w:rsid w:val="00B50FF6"/>
    <w:rsid w:val="00B51008"/>
    <w:rsid w:val="00B5105B"/>
    <w:rsid w:val="00B511A1"/>
    <w:rsid w:val="00B51252"/>
    <w:rsid w:val="00B5141B"/>
    <w:rsid w:val="00B515D9"/>
    <w:rsid w:val="00B51649"/>
    <w:rsid w:val="00B516DF"/>
    <w:rsid w:val="00B51958"/>
    <w:rsid w:val="00B51A97"/>
    <w:rsid w:val="00B51AAF"/>
    <w:rsid w:val="00B51AB4"/>
    <w:rsid w:val="00B51BCC"/>
    <w:rsid w:val="00B51C9C"/>
    <w:rsid w:val="00B51D14"/>
    <w:rsid w:val="00B52064"/>
    <w:rsid w:val="00B523C5"/>
    <w:rsid w:val="00B5247A"/>
    <w:rsid w:val="00B5250A"/>
    <w:rsid w:val="00B528A1"/>
    <w:rsid w:val="00B528B3"/>
    <w:rsid w:val="00B52A15"/>
    <w:rsid w:val="00B52FB4"/>
    <w:rsid w:val="00B53001"/>
    <w:rsid w:val="00B530A1"/>
    <w:rsid w:val="00B530FD"/>
    <w:rsid w:val="00B53170"/>
    <w:rsid w:val="00B534C0"/>
    <w:rsid w:val="00B53510"/>
    <w:rsid w:val="00B53625"/>
    <w:rsid w:val="00B536B6"/>
    <w:rsid w:val="00B53724"/>
    <w:rsid w:val="00B5379F"/>
    <w:rsid w:val="00B53827"/>
    <w:rsid w:val="00B53989"/>
    <w:rsid w:val="00B53A72"/>
    <w:rsid w:val="00B53D26"/>
    <w:rsid w:val="00B53D77"/>
    <w:rsid w:val="00B53D8B"/>
    <w:rsid w:val="00B53E20"/>
    <w:rsid w:val="00B54247"/>
    <w:rsid w:val="00B54395"/>
    <w:rsid w:val="00B54447"/>
    <w:rsid w:val="00B54527"/>
    <w:rsid w:val="00B54665"/>
    <w:rsid w:val="00B5475B"/>
    <w:rsid w:val="00B54DF8"/>
    <w:rsid w:val="00B54E30"/>
    <w:rsid w:val="00B54E33"/>
    <w:rsid w:val="00B54E7E"/>
    <w:rsid w:val="00B54ED4"/>
    <w:rsid w:val="00B54F1B"/>
    <w:rsid w:val="00B54F9B"/>
    <w:rsid w:val="00B54FAA"/>
    <w:rsid w:val="00B5510E"/>
    <w:rsid w:val="00B551D0"/>
    <w:rsid w:val="00B55570"/>
    <w:rsid w:val="00B55637"/>
    <w:rsid w:val="00B55A8B"/>
    <w:rsid w:val="00B55FF3"/>
    <w:rsid w:val="00B5613E"/>
    <w:rsid w:val="00B56172"/>
    <w:rsid w:val="00B56370"/>
    <w:rsid w:val="00B56541"/>
    <w:rsid w:val="00B565AA"/>
    <w:rsid w:val="00B565D6"/>
    <w:rsid w:val="00B5678D"/>
    <w:rsid w:val="00B567A8"/>
    <w:rsid w:val="00B56C11"/>
    <w:rsid w:val="00B56E54"/>
    <w:rsid w:val="00B571E6"/>
    <w:rsid w:val="00B5743C"/>
    <w:rsid w:val="00B5745D"/>
    <w:rsid w:val="00B579A2"/>
    <w:rsid w:val="00B57AEF"/>
    <w:rsid w:val="00B57FEB"/>
    <w:rsid w:val="00B60005"/>
    <w:rsid w:val="00B6018B"/>
    <w:rsid w:val="00B6034B"/>
    <w:rsid w:val="00B60368"/>
    <w:rsid w:val="00B6039E"/>
    <w:rsid w:val="00B60485"/>
    <w:rsid w:val="00B6053D"/>
    <w:rsid w:val="00B605AE"/>
    <w:rsid w:val="00B6067A"/>
    <w:rsid w:val="00B60801"/>
    <w:rsid w:val="00B60821"/>
    <w:rsid w:val="00B609F3"/>
    <w:rsid w:val="00B60A55"/>
    <w:rsid w:val="00B60AFF"/>
    <w:rsid w:val="00B60C55"/>
    <w:rsid w:val="00B61183"/>
    <w:rsid w:val="00B61211"/>
    <w:rsid w:val="00B61282"/>
    <w:rsid w:val="00B615D5"/>
    <w:rsid w:val="00B616E4"/>
    <w:rsid w:val="00B61802"/>
    <w:rsid w:val="00B618CB"/>
    <w:rsid w:val="00B61C16"/>
    <w:rsid w:val="00B61C9D"/>
    <w:rsid w:val="00B61D29"/>
    <w:rsid w:val="00B61D39"/>
    <w:rsid w:val="00B61EEB"/>
    <w:rsid w:val="00B62197"/>
    <w:rsid w:val="00B622DD"/>
    <w:rsid w:val="00B6263E"/>
    <w:rsid w:val="00B62934"/>
    <w:rsid w:val="00B62A28"/>
    <w:rsid w:val="00B62C32"/>
    <w:rsid w:val="00B62E5B"/>
    <w:rsid w:val="00B62FDA"/>
    <w:rsid w:val="00B632D4"/>
    <w:rsid w:val="00B6335E"/>
    <w:rsid w:val="00B634B7"/>
    <w:rsid w:val="00B63685"/>
    <w:rsid w:val="00B6368B"/>
    <w:rsid w:val="00B63AE1"/>
    <w:rsid w:val="00B63E9C"/>
    <w:rsid w:val="00B63F3C"/>
    <w:rsid w:val="00B6423D"/>
    <w:rsid w:val="00B64291"/>
    <w:rsid w:val="00B64356"/>
    <w:rsid w:val="00B64949"/>
    <w:rsid w:val="00B649BB"/>
    <w:rsid w:val="00B649D3"/>
    <w:rsid w:val="00B64B71"/>
    <w:rsid w:val="00B64D94"/>
    <w:rsid w:val="00B65013"/>
    <w:rsid w:val="00B6505D"/>
    <w:rsid w:val="00B65191"/>
    <w:rsid w:val="00B65226"/>
    <w:rsid w:val="00B652DC"/>
    <w:rsid w:val="00B653B3"/>
    <w:rsid w:val="00B65597"/>
    <w:rsid w:val="00B6561E"/>
    <w:rsid w:val="00B65BE7"/>
    <w:rsid w:val="00B65BF2"/>
    <w:rsid w:val="00B65D75"/>
    <w:rsid w:val="00B65F3E"/>
    <w:rsid w:val="00B66208"/>
    <w:rsid w:val="00B66412"/>
    <w:rsid w:val="00B6643E"/>
    <w:rsid w:val="00B6674E"/>
    <w:rsid w:val="00B667C5"/>
    <w:rsid w:val="00B6690A"/>
    <w:rsid w:val="00B66997"/>
    <w:rsid w:val="00B669AA"/>
    <w:rsid w:val="00B669F8"/>
    <w:rsid w:val="00B66A8F"/>
    <w:rsid w:val="00B66D0C"/>
    <w:rsid w:val="00B66D8A"/>
    <w:rsid w:val="00B66EDE"/>
    <w:rsid w:val="00B6703E"/>
    <w:rsid w:val="00B670C4"/>
    <w:rsid w:val="00B670F5"/>
    <w:rsid w:val="00B6781D"/>
    <w:rsid w:val="00B67D82"/>
    <w:rsid w:val="00B7008D"/>
    <w:rsid w:val="00B700CA"/>
    <w:rsid w:val="00B702B5"/>
    <w:rsid w:val="00B702D5"/>
    <w:rsid w:val="00B7030D"/>
    <w:rsid w:val="00B703B2"/>
    <w:rsid w:val="00B706FB"/>
    <w:rsid w:val="00B70C3D"/>
    <w:rsid w:val="00B70C9B"/>
    <w:rsid w:val="00B70F58"/>
    <w:rsid w:val="00B713E9"/>
    <w:rsid w:val="00B71510"/>
    <w:rsid w:val="00B715AA"/>
    <w:rsid w:val="00B717D6"/>
    <w:rsid w:val="00B7188B"/>
    <w:rsid w:val="00B71A38"/>
    <w:rsid w:val="00B71B02"/>
    <w:rsid w:val="00B71C24"/>
    <w:rsid w:val="00B72073"/>
    <w:rsid w:val="00B72247"/>
    <w:rsid w:val="00B72490"/>
    <w:rsid w:val="00B726D6"/>
    <w:rsid w:val="00B72707"/>
    <w:rsid w:val="00B72BAF"/>
    <w:rsid w:val="00B72F30"/>
    <w:rsid w:val="00B72F8E"/>
    <w:rsid w:val="00B73043"/>
    <w:rsid w:val="00B73990"/>
    <w:rsid w:val="00B73AF5"/>
    <w:rsid w:val="00B74037"/>
    <w:rsid w:val="00B74066"/>
    <w:rsid w:val="00B74241"/>
    <w:rsid w:val="00B743D1"/>
    <w:rsid w:val="00B744DF"/>
    <w:rsid w:val="00B746EE"/>
    <w:rsid w:val="00B74CE7"/>
    <w:rsid w:val="00B74DCA"/>
    <w:rsid w:val="00B74F5E"/>
    <w:rsid w:val="00B754A6"/>
    <w:rsid w:val="00B7564E"/>
    <w:rsid w:val="00B75921"/>
    <w:rsid w:val="00B759F9"/>
    <w:rsid w:val="00B75A50"/>
    <w:rsid w:val="00B75B01"/>
    <w:rsid w:val="00B75DED"/>
    <w:rsid w:val="00B75E25"/>
    <w:rsid w:val="00B75E72"/>
    <w:rsid w:val="00B76024"/>
    <w:rsid w:val="00B760F6"/>
    <w:rsid w:val="00B766CF"/>
    <w:rsid w:val="00B76926"/>
    <w:rsid w:val="00B76C7E"/>
    <w:rsid w:val="00B76CAF"/>
    <w:rsid w:val="00B76D5E"/>
    <w:rsid w:val="00B76DE2"/>
    <w:rsid w:val="00B76E26"/>
    <w:rsid w:val="00B77748"/>
    <w:rsid w:val="00B77A26"/>
    <w:rsid w:val="00B77BBD"/>
    <w:rsid w:val="00B77C5D"/>
    <w:rsid w:val="00B77C7F"/>
    <w:rsid w:val="00B77F77"/>
    <w:rsid w:val="00B80093"/>
    <w:rsid w:val="00B80178"/>
    <w:rsid w:val="00B80405"/>
    <w:rsid w:val="00B80409"/>
    <w:rsid w:val="00B80478"/>
    <w:rsid w:val="00B8049E"/>
    <w:rsid w:val="00B806AC"/>
    <w:rsid w:val="00B809F6"/>
    <w:rsid w:val="00B80E22"/>
    <w:rsid w:val="00B8111A"/>
    <w:rsid w:val="00B8121D"/>
    <w:rsid w:val="00B81351"/>
    <w:rsid w:val="00B81489"/>
    <w:rsid w:val="00B8149C"/>
    <w:rsid w:val="00B8178D"/>
    <w:rsid w:val="00B8194B"/>
    <w:rsid w:val="00B81AC0"/>
    <w:rsid w:val="00B81B43"/>
    <w:rsid w:val="00B81E6E"/>
    <w:rsid w:val="00B81F69"/>
    <w:rsid w:val="00B8203F"/>
    <w:rsid w:val="00B821B8"/>
    <w:rsid w:val="00B8226C"/>
    <w:rsid w:val="00B8241B"/>
    <w:rsid w:val="00B8249F"/>
    <w:rsid w:val="00B8260A"/>
    <w:rsid w:val="00B82916"/>
    <w:rsid w:val="00B82B06"/>
    <w:rsid w:val="00B82C7D"/>
    <w:rsid w:val="00B82DE5"/>
    <w:rsid w:val="00B837EC"/>
    <w:rsid w:val="00B83943"/>
    <w:rsid w:val="00B84067"/>
    <w:rsid w:val="00B840C4"/>
    <w:rsid w:val="00B84480"/>
    <w:rsid w:val="00B84910"/>
    <w:rsid w:val="00B84996"/>
    <w:rsid w:val="00B84A01"/>
    <w:rsid w:val="00B84B26"/>
    <w:rsid w:val="00B84BBA"/>
    <w:rsid w:val="00B84DAC"/>
    <w:rsid w:val="00B850D3"/>
    <w:rsid w:val="00B850ED"/>
    <w:rsid w:val="00B853FA"/>
    <w:rsid w:val="00B854A0"/>
    <w:rsid w:val="00B855C2"/>
    <w:rsid w:val="00B85720"/>
    <w:rsid w:val="00B857DE"/>
    <w:rsid w:val="00B8596F"/>
    <w:rsid w:val="00B85A65"/>
    <w:rsid w:val="00B86120"/>
    <w:rsid w:val="00B86418"/>
    <w:rsid w:val="00B86704"/>
    <w:rsid w:val="00B8686F"/>
    <w:rsid w:val="00B86926"/>
    <w:rsid w:val="00B86A79"/>
    <w:rsid w:val="00B86E78"/>
    <w:rsid w:val="00B86FCB"/>
    <w:rsid w:val="00B87083"/>
    <w:rsid w:val="00B871CF"/>
    <w:rsid w:val="00B87231"/>
    <w:rsid w:val="00B87476"/>
    <w:rsid w:val="00B87478"/>
    <w:rsid w:val="00B87531"/>
    <w:rsid w:val="00B876CA"/>
    <w:rsid w:val="00B87722"/>
    <w:rsid w:val="00B877CF"/>
    <w:rsid w:val="00B87AB9"/>
    <w:rsid w:val="00B87D4B"/>
    <w:rsid w:val="00B87DE2"/>
    <w:rsid w:val="00B87FF5"/>
    <w:rsid w:val="00B9004B"/>
    <w:rsid w:val="00B9020F"/>
    <w:rsid w:val="00B90519"/>
    <w:rsid w:val="00B90731"/>
    <w:rsid w:val="00B90C56"/>
    <w:rsid w:val="00B90F8D"/>
    <w:rsid w:val="00B91081"/>
    <w:rsid w:val="00B911B2"/>
    <w:rsid w:val="00B912D7"/>
    <w:rsid w:val="00B9130D"/>
    <w:rsid w:val="00B9148C"/>
    <w:rsid w:val="00B91511"/>
    <w:rsid w:val="00B9161A"/>
    <w:rsid w:val="00B9192C"/>
    <w:rsid w:val="00B91A15"/>
    <w:rsid w:val="00B91B5F"/>
    <w:rsid w:val="00B91B72"/>
    <w:rsid w:val="00B91BBE"/>
    <w:rsid w:val="00B91C47"/>
    <w:rsid w:val="00B91D5B"/>
    <w:rsid w:val="00B9202D"/>
    <w:rsid w:val="00B9204A"/>
    <w:rsid w:val="00B9237A"/>
    <w:rsid w:val="00B92830"/>
    <w:rsid w:val="00B9289A"/>
    <w:rsid w:val="00B92E3E"/>
    <w:rsid w:val="00B92EED"/>
    <w:rsid w:val="00B930DA"/>
    <w:rsid w:val="00B93157"/>
    <w:rsid w:val="00B93330"/>
    <w:rsid w:val="00B93380"/>
    <w:rsid w:val="00B933F5"/>
    <w:rsid w:val="00B934AC"/>
    <w:rsid w:val="00B934CC"/>
    <w:rsid w:val="00B935C7"/>
    <w:rsid w:val="00B93941"/>
    <w:rsid w:val="00B93E39"/>
    <w:rsid w:val="00B93EC3"/>
    <w:rsid w:val="00B942C5"/>
    <w:rsid w:val="00B9444C"/>
    <w:rsid w:val="00B94504"/>
    <w:rsid w:val="00B94841"/>
    <w:rsid w:val="00B9491A"/>
    <w:rsid w:val="00B94A92"/>
    <w:rsid w:val="00B94CB9"/>
    <w:rsid w:val="00B94D04"/>
    <w:rsid w:val="00B94D96"/>
    <w:rsid w:val="00B94E26"/>
    <w:rsid w:val="00B94EDD"/>
    <w:rsid w:val="00B94F51"/>
    <w:rsid w:val="00B94F6A"/>
    <w:rsid w:val="00B94FC2"/>
    <w:rsid w:val="00B95033"/>
    <w:rsid w:val="00B951D1"/>
    <w:rsid w:val="00B9550E"/>
    <w:rsid w:val="00B95737"/>
    <w:rsid w:val="00B95784"/>
    <w:rsid w:val="00B95DF3"/>
    <w:rsid w:val="00B95E38"/>
    <w:rsid w:val="00B9610E"/>
    <w:rsid w:val="00B9657C"/>
    <w:rsid w:val="00B96668"/>
    <w:rsid w:val="00B968BF"/>
    <w:rsid w:val="00B969AB"/>
    <w:rsid w:val="00B96DB3"/>
    <w:rsid w:val="00B97293"/>
    <w:rsid w:val="00B97349"/>
    <w:rsid w:val="00B9747D"/>
    <w:rsid w:val="00B974CB"/>
    <w:rsid w:val="00B976DA"/>
    <w:rsid w:val="00B977C8"/>
    <w:rsid w:val="00B97998"/>
    <w:rsid w:val="00B9799C"/>
    <w:rsid w:val="00B97D2A"/>
    <w:rsid w:val="00BA033B"/>
    <w:rsid w:val="00BA07C0"/>
    <w:rsid w:val="00BA07F5"/>
    <w:rsid w:val="00BA0AB2"/>
    <w:rsid w:val="00BA1987"/>
    <w:rsid w:val="00BA19B3"/>
    <w:rsid w:val="00BA19C1"/>
    <w:rsid w:val="00BA1A48"/>
    <w:rsid w:val="00BA1AF7"/>
    <w:rsid w:val="00BA1B43"/>
    <w:rsid w:val="00BA1DF5"/>
    <w:rsid w:val="00BA2094"/>
    <w:rsid w:val="00BA2132"/>
    <w:rsid w:val="00BA2171"/>
    <w:rsid w:val="00BA21B8"/>
    <w:rsid w:val="00BA2B21"/>
    <w:rsid w:val="00BA2EE7"/>
    <w:rsid w:val="00BA30F9"/>
    <w:rsid w:val="00BA37D2"/>
    <w:rsid w:val="00BA38B2"/>
    <w:rsid w:val="00BA39D0"/>
    <w:rsid w:val="00BA3AE4"/>
    <w:rsid w:val="00BA3B0F"/>
    <w:rsid w:val="00BA4149"/>
    <w:rsid w:val="00BA446B"/>
    <w:rsid w:val="00BA45A8"/>
    <w:rsid w:val="00BA45D5"/>
    <w:rsid w:val="00BA49C5"/>
    <w:rsid w:val="00BA4A4F"/>
    <w:rsid w:val="00BA4C8F"/>
    <w:rsid w:val="00BA4F85"/>
    <w:rsid w:val="00BA5038"/>
    <w:rsid w:val="00BA52EE"/>
    <w:rsid w:val="00BA5422"/>
    <w:rsid w:val="00BA5691"/>
    <w:rsid w:val="00BA58FC"/>
    <w:rsid w:val="00BA5AFA"/>
    <w:rsid w:val="00BA5CAA"/>
    <w:rsid w:val="00BA5E00"/>
    <w:rsid w:val="00BA5E80"/>
    <w:rsid w:val="00BA5F9C"/>
    <w:rsid w:val="00BA642A"/>
    <w:rsid w:val="00BA64AC"/>
    <w:rsid w:val="00BA6632"/>
    <w:rsid w:val="00BA6D7A"/>
    <w:rsid w:val="00BA71F5"/>
    <w:rsid w:val="00BA766D"/>
    <w:rsid w:val="00BA7793"/>
    <w:rsid w:val="00BA78AC"/>
    <w:rsid w:val="00BA79EE"/>
    <w:rsid w:val="00BA7AA3"/>
    <w:rsid w:val="00BA7DC7"/>
    <w:rsid w:val="00BA7E69"/>
    <w:rsid w:val="00BA7F4F"/>
    <w:rsid w:val="00BA7F7A"/>
    <w:rsid w:val="00BB0239"/>
    <w:rsid w:val="00BB0354"/>
    <w:rsid w:val="00BB04AA"/>
    <w:rsid w:val="00BB04B8"/>
    <w:rsid w:val="00BB073C"/>
    <w:rsid w:val="00BB0CFB"/>
    <w:rsid w:val="00BB100C"/>
    <w:rsid w:val="00BB10CE"/>
    <w:rsid w:val="00BB10F4"/>
    <w:rsid w:val="00BB114C"/>
    <w:rsid w:val="00BB14BF"/>
    <w:rsid w:val="00BB162D"/>
    <w:rsid w:val="00BB1831"/>
    <w:rsid w:val="00BB1836"/>
    <w:rsid w:val="00BB184A"/>
    <w:rsid w:val="00BB198B"/>
    <w:rsid w:val="00BB1998"/>
    <w:rsid w:val="00BB1A51"/>
    <w:rsid w:val="00BB1B81"/>
    <w:rsid w:val="00BB1E71"/>
    <w:rsid w:val="00BB2148"/>
    <w:rsid w:val="00BB233C"/>
    <w:rsid w:val="00BB235D"/>
    <w:rsid w:val="00BB238F"/>
    <w:rsid w:val="00BB2423"/>
    <w:rsid w:val="00BB24C8"/>
    <w:rsid w:val="00BB2558"/>
    <w:rsid w:val="00BB26CA"/>
    <w:rsid w:val="00BB2A65"/>
    <w:rsid w:val="00BB2C0A"/>
    <w:rsid w:val="00BB2DBC"/>
    <w:rsid w:val="00BB30A9"/>
    <w:rsid w:val="00BB321C"/>
    <w:rsid w:val="00BB3258"/>
    <w:rsid w:val="00BB3412"/>
    <w:rsid w:val="00BB3690"/>
    <w:rsid w:val="00BB3CE4"/>
    <w:rsid w:val="00BB3D96"/>
    <w:rsid w:val="00BB43B1"/>
    <w:rsid w:val="00BB44E7"/>
    <w:rsid w:val="00BB46F8"/>
    <w:rsid w:val="00BB4745"/>
    <w:rsid w:val="00BB4CF7"/>
    <w:rsid w:val="00BB4D9B"/>
    <w:rsid w:val="00BB4E19"/>
    <w:rsid w:val="00BB4FF1"/>
    <w:rsid w:val="00BB516A"/>
    <w:rsid w:val="00BB5245"/>
    <w:rsid w:val="00BB52D5"/>
    <w:rsid w:val="00BB54CB"/>
    <w:rsid w:val="00BB57E6"/>
    <w:rsid w:val="00BB5A00"/>
    <w:rsid w:val="00BB5C44"/>
    <w:rsid w:val="00BB5C46"/>
    <w:rsid w:val="00BB5C85"/>
    <w:rsid w:val="00BB5C87"/>
    <w:rsid w:val="00BB5D77"/>
    <w:rsid w:val="00BB5FE8"/>
    <w:rsid w:val="00BB6174"/>
    <w:rsid w:val="00BB61A1"/>
    <w:rsid w:val="00BB65A5"/>
    <w:rsid w:val="00BB66E6"/>
    <w:rsid w:val="00BB68DA"/>
    <w:rsid w:val="00BB6E2C"/>
    <w:rsid w:val="00BB6EE3"/>
    <w:rsid w:val="00BB7051"/>
    <w:rsid w:val="00BB708C"/>
    <w:rsid w:val="00BB708D"/>
    <w:rsid w:val="00BB735D"/>
    <w:rsid w:val="00BB7543"/>
    <w:rsid w:val="00BB7678"/>
    <w:rsid w:val="00BB795B"/>
    <w:rsid w:val="00BB7A2A"/>
    <w:rsid w:val="00BB7BC4"/>
    <w:rsid w:val="00BB7C39"/>
    <w:rsid w:val="00BB7FCB"/>
    <w:rsid w:val="00BC0037"/>
    <w:rsid w:val="00BC0288"/>
    <w:rsid w:val="00BC0314"/>
    <w:rsid w:val="00BC03FE"/>
    <w:rsid w:val="00BC07D8"/>
    <w:rsid w:val="00BC0912"/>
    <w:rsid w:val="00BC0978"/>
    <w:rsid w:val="00BC09FA"/>
    <w:rsid w:val="00BC0A38"/>
    <w:rsid w:val="00BC0C2F"/>
    <w:rsid w:val="00BC0E0C"/>
    <w:rsid w:val="00BC195E"/>
    <w:rsid w:val="00BC19EE"/>
    <w:rsid w:val="00BC1A27"/>
    <w:rsid w:val="00BC1A5B"/>
    <w:rsid w:val="00BC1FD1"/>
    <w:rsid w:val="00BC2164"/>
    <w:rsid w:val="00BC227B"/>
    <w:rsid w:val="00BC246F"/>
    <w:rsid w:val="00BC2750"/>
    <w:rsid w:val="00BC28EB"/>
    <w:rsid w:val="00BC2929"/>
    <w:rsid w:val="00BC318E"/>
    <w:rsid w:val="00BC3398"/>
    <w:rsid w:val="00BC33F2"/>
    <w:rsid w:val="00BC3403"/>
    <w:rsid w:val="00BC34E2"/>
    <w:rsid w:val="00BC3737"/>
    <w:rsid w:val="00BC3BD5"/>
    <w:rsid w:val="00BC3E41"/>
    <w:rsid w:val="00BC3F8A"/>
    <w:rsid w:val="00BC4883"/>
    <w:rsid w:val="00BC493A"/>
    <w:rsid w:val="00BC4A92"/>
    <w:rsid w:val="00BC4C7E"/>
    <w:rsid w:val="00BC4CF9"/>
    <w:rsid w:val="00BC51FE"/>
    <w:rsid w:val="00BC52CA"/>
    <w:rsid w:val="00BC52F0"/>
    <w:rsid w:val="00BC54F1"/>
    <w:rsid w:val="00BC57B5"/>
    <w:rsid w:val="00BC58F0"/>
    <w:rsid w:val="00BC5F4B"/>
    <w:rsid w:val="00BC6067"/>
    <w:rsid w:val="00BC65E9"/>
    <w:rsid w:val="00BC6993"/>
    <w:rsid w:val="00BC6C5F"/>
    <w:rsid w:val="00BC6CED"/>
    <w:rsid w:val="00BC6D78"/>
    <w:rsid w:val="00BC6DD0"/>
    <w:rsid w:val="00BC708D"/>
    <w:rsid w:val="00BC737B"/>
    <w:rsid w:val="00BC7673"/>
    <w:rsid w:val="00BC7735"/>
    <w:rsid w:val="00BC77B2"/>
    <w:rsid w:val="00BC7A5A"/>
    <w:rsid w:val="00BC7D37"/>
    <w:rsid w:val="00BC7DF4"/>
    <w:rsid w:val="00BC7E10"/>
    <w:rsid w:val="00BC7F1F"/>
    <w:rsid w:val="00BD0065"/>
    <w:rsid w:val="00BD01C7"/>
    <w:rsid w:val="00BD05EE"/>
    <w:rsid w:val="00BD0833"/>
    <w:rsid w:val="00BD0985"/>
    <w:rsid w:val="00BD09B6"/>
    <w:rsid w:val="00BD0A07"/>
    <w:rsid w:val="00BD0D7C"/>
    <w:rsid w:val="00BD0E59"/>
    <w:rsid w:val="00BD136E"/>
    <w:rsid w:val="00BD1437"/>
    <w:rsid w:val="00BD153B"/>
    <w:rsid w:val="00BD15C4"/>
    <w:rsid w:val="00BD1825"/>
    <w:rsid w:val="00BD1C0B"/>
    <w:rsid w:val="00BD1DA2"/>
    <w:rsid w:val="00BD1DD8"/>
    <w:rsid w:val="00BD1F80"/>
    <w:rsid w:val="00BD1FE1"/>
    <w:rsid w:val="00BD2036"/>
    <w:rsid w:val="00BD2158"/>
    <w:rsid w:val="00BD238C"/>
    <w:rsid w:val="00BD26A7"/>
    <w:rsid w:val="00BD2843"/>
    <w:rsid w:val="00BD295B"/>
    <w:rsid w:val="00BD2AF4"/>
    <w:rsid w:val="00BD2CEE"/>
    <w:rsid w:val="00BD338A"/>
    <w:rsid w:val="00BD33B1"/>
    <w:rsid w:val="00BD354B"/>
    <w:rsid w:val="00BD3569"/>
    <w:rsid w:val="00BD3597"/>
    <w:rsid w:val="00BD3724"/>
    <w:rsid w:val="00BD38D8"/>
    <w:rsid w:val="00BD3A11"/>
    <w:rsid w:val="00BD3BCF"/>
    <w:rsid w:val="00BD3DFB"/>
    <w:rsid w:val="00BD3F2D"/>
    <w:rsid w:val="00BD44D4"/>
    <w:rsid w:val="00BD451A"/>
    <w:rsid w:val="00BD46C0"/>
    <w:rsid w:val="00BD49C7"/>
    <w:rsid w:val="00BD4A25"/>
    <w:rsid w:val="00BD4C3D"/>
    <w:rsid w:val="00BD4C40"/>
    <w:rsid w:val="00BD4D58"/>
    <w:rsid w:val="00BD4D5B"/>
    <w:rsid w:val="00BD53DE"/>
    <w:rsid w:val="00BD54F4"/>
    <w:rsid w:val="00BD5663"/>
    <w:rsid w:val="00BD567E"/>
    <w:rsid w:val="00BD580A"/>
    <w:rsid w:val="00BD58B9"/>
    <w:rsid w:val="00BD5ADA"/>
    <w:rsid w:val="00BD5D92"/>
    <w:rsid w:val="00BD625C"/>
    <w:rsid w:val="00BD6650"/>
    <w:rsid w:val="00BD677B"/>
    <w:rsid w:val="00BD6824"/>
    <w:rsid w:val="00BD6912"/>
    <w:rsid w:val="00BD6984"/>
    <w:rsid w:val="00BD6A1C"/>
    <w:rsid w:val="00BD6B10"/>
    <w:rsid w:val="00BD6B35"/>
    <w:rsid w:val="00BD6B51"/>
    <w:rsid w:val="00BD6C59"/>
    <w:rsid w:val="00BD6C7E"/>
    <w:rsid w:val="00BD6E95"/>
    <w:rsid w:val="00BD7050"/>
    <w:rsid w:val="00BD730D"/>
    <w:rsid w:val="00BD7384"/>
    <w:rsid w:val="00BD7492"/>
    <w:rsid w:val="00BD7572"/>
    <w:rsid w:val="00BD75C8"/>
    <w:rsid w:val="00BD7AA8"/>
    <w:rsid w:val="00BD7F64"/>
    <w:rsid w:val="00BE01A6"/>
    <w:rsid w:val="00BE0449"/>
    <w:rsid w:val="00BE0543"/>
    <w:rsid w:val="00BE0642"/>
    <w:rsid w:val="00BE07E6"/>
    <w:rsid w:val="00BE0A5F"/>
    <w:rsid w:val="00BE0AB4"/>
    <w:rsid w:val="00BE0B17"/>
    <w:rsid w:val="00BE0BA0"/>
    <w:rsid w:val="00BE0C5D"/>
    <w:rsid w:val="00BE0E0D"/>
    <w:rsid w:val="00BE0F84"/>
    <w:rsid w:val="00BE14C6"/>
    <w:rsid w:val="00BE1509"/>
    <w:rsid w:val="00BE18B7"/>
    <w:rsid w:val="00BE1912"/>
    <w:rsid w:val="00BE193C"/>
    <w:rsid w:val="00BE1A13"/>
    <w:rsid w:val="00BE1C66"/>
    <w:rsid w:val="00BE1E49"/>
    <w:rsid w:val="00BE1E9B"/>
    <w:rsid w:val="00BE1F45"/>
    <w:rsid w:val="00BE204E"/>
    <w:rsid w:val="00BE2399"/>
    <w:rsid w:val="00BE24F8"/>
    <w:rsid w:val="00BE2663"/>
    <w:rsid w:val="00BE27B8"/>
    <w:rsid w:val="00BE28AB"/>
    <w:rsid w:val="00BE2AE3"/>
    <w:rsid w:val="00BE2B33"/>
    <w:rsid w:val="00BE2CFA"/>
    <w:rsid w:val="00BE2DC7"/>
    <w:rsid w:val="00BE2E81"/>
    <w:rsid w:val="00BE30A8"/>
    <w:rsid w:val="00BE31DB"/>
    <w:rsid w:val="00BE3242"/>
    <w:rsid w:val="00BE337F"/>
    <w:rsid w:val="00BE397E"/>
    <w:rsid w:val="00BE4016"/>
    <w:rsid w:val="00BE42C0"/>
    <w:rsid w:val="00BE4381"/>
    <w:rsid w:val="00BE43B5"/>
    <w:rsid w:val="00BE4470"/>
    <w:rsid w:val="00BE470D"/>
    <w:rsid w:val="00BE474B"/>
    <w:rsid w:val="00BE482F"/>
    <w:rsid w:val="00BE48A5"/>
    <w:rsid w:val="00BE4B0B"/>
    <w:rsid w:val="00BE4D61"/>
    <w:rsid w:val="00BE4E06"/>
    <w:rsid w:val="00BE4F02"/>
    <w:rsid w:val="00BE4FA2"/>
    <w:rsid w:val="00BE50B7"/>
    <w:rsid w:val="00BE547F"/>
    <w:rsid w:val="00BE5813"/>
    <w:rsid w:val="00BE588D"/>
    <w:rsid w:val="00BE5C2B"/>
    <w:rsid w:val="00BE5D45"/>
    <w:rsid w:val="00BE5D81"/>
    <w:rsid w:val="00BE5DFF"/>
    <w:rsid w:val="00BE5E1B"/>
    <w:rsid w:val="00BE5F2E"/>
    <w:rsid w:val="00BE605F"/>
    <w:rsid w:val="00BE60AC"/>
    <w:rsid w:val="00BE6223"/>
    <w:rsid w:val="00BE62EC"/>
    <w:rsid w:val="00BE6411"/>
    <w:rsid w:val="00BE6515"/>
    <w:rsid w:val="00BE651C"/>
    <w:rsid w:val="00BE694B"/>
    <w:rsid w:val="00BE69A4"/>
    <w:rsid w:val="00BE6B16"/>
    <w:rsid w:val="00BE6F2F"/>
    <w:rsid w:val="00BE71A8"/>
    <w:rsid w:val="00BE724F"/>
    <w:rsid w:val="00BE75E2"/>
    <w:rsid w:val="00BE7B61"/>
    <w:rsid w:val="00BE7CC1"/>
    <w:rsid w:val="00BE7FDE"/>
    <w:rsid w:val="00BF0245"/>
    <w:rsid w:val="00BF04B7"/>
    <w:rsid w:val="00BF05C9"/>
    <w:rsid w:val="00BF0636"/>
    <w:rsid w:val="00BF079B"/>
    <w:rsid w:val="00BF0AC4"/>
    <w:rsid w:val="00BF0B93"/>
    <w:rsid w:val="00BF0DF5"/>
    <w:rsid w:val="00BF1034"/>
    <w:rsid w:val="00BF11B9"/>
    <w:rsid w:val="00BF13C4"/>
    <w:rsid w:val="00BF18EB"/>
    <w:rsid w:val="00BF1B69"/>
    <w:rsid w:val="00BF1BD1"/>
    <w:rsid w:val="00BF1CF7"/>
    <w:rsid w:val="00BF1D16"/>
    <w:rsid w:val="00BF1D17"/>
    <w:rsid w:val="00BF1DFD"/>
    <w:rsid w:val="00BF2046"/>
    <w:rsid w:val="00BF20F0"/>
    <w:rsid w:val="00BF23C0"/>
    <w:rsid w:val="00BF2418"/>
    <w:rsid w:val="00BF248B"/>
    <w:rsid w:val="00BF27DE"/>
    <w:rsid w:val="00BF2CBA"/>
    <w:rsid w:val="00BF2D1A"/>
    <w:rsid w:val="00BF2FE7"/>
    <w:rsid w:val="00BF3330"/>
    <w:rsid w:val="00BF3557"/>
    <w:rsid w:val="00BF36CB"/>
    <w:rsid w:val="00BF3779"/>
    <w:rsid w:val="00BF3801"/>
    <w:rsid w:val="00BF3B40"/>
    <w:rsid w:val="00BF3BB4"/>
    <w:rsid w:val="00BF3CED"/>
    <w:rsid w:val="00BF3DF5"/>
    <w:rsid w:val="00BF4141"/>
    <w:rsid w:val="00BF41FC"/>
    <w:rsid w:val="00BF4231"/>
    <w:rsid w:val="00BF43B1"/>
    <w:rsid w:val="00BF43B7"/>
    <w:rsid w:val="00BF443B"/>
    <w:rsid w:val="00BF4521"/>
    <w:rsid w:val="00BF4621"/>
    <w:rsid w:val="00BF485E"/>
    <w:rsid w:val="00BF4966"/>
    <w:rsid w:val="00BF49C6"/>
    <w:rsid w:val="00BF4C48"/>
    <w:rsid w:val="00BF4D60"/>
    <w:rsid w:val="00BF4FD9"/>
    <w:rsid w:val="00BF502D"/>
    <w:rsid w:val="00BF522E"/>
    <w:rsid w:val="00BF547D"/>
    <w:rsid w:val="00BF56CF"/>
    <w:rsid w:val="00BF57BE"/>
    <w:rsid w:val="00BF587D"/>
    <w:rsid w:val="00BF58E8"/>
    <w:rsid w:val="00BF5A43"/>
    <w:rsid w:val="00BF5B48"/>
    <w:rsid w:val="00BF5BE5"/>
    <w:rsid w:val="00BF5D58"/>
    <w:rsid w:val="00BF60B4"/>
    <w:rsid w:val="00BF617A"/>
    <w:rsid w:val="00BF61FF"/>
    <w:rsid w:val="00BF6385"/>
    <w:rsid w:val="00BF65D6"/>
    <w:rsid w:val="00BF664B"/>
    <w:rsid w:val="00BF6BAE"/>
    <w:rsid w:val="00BF6BC3"/>
    <w:rsid w:val="00BF6E7E"/>
    <w:rsid w:val="00BF6EED"/>
    <w:rsid w:val="00BF6F57"/>
    <w:rsid w:val="00BF6FDC"/>
    <w:rsid w:val="00BF7082"/>
    <w:rsid w:val="00BF7240"/>
    <w:rsid w:val="00BF736E"/>
    <w:rsid w:val="00BF73F5"/>
    <w:rsid w:val="00BF7591"/>
    <w:rsid w:val="00BF766E"/>
    <w:rsid w:val="00BF7802"/>
    <w:rsid w:val="00BF7877"/>
    <w:rsid w:val="00BF7B00"/>
    <w:rsid w:val="00BF7B43"/>
    <w:rsid w:val="00BF7FD7"/>
    <w:rsid w:val="00C00113"/>
    <w:rsid w:val="00C001F5"/>
    <w:rsid w:val="00C0037F"/>
    <w:rsid w:val="00C00473"/>
    <w:rsid w:val="00C005BA"/>
    <w:rsid w:val="00C005FA"/>
    <w:rsid w:val="00C00718"/>
    <w:rsid w:val="00C00764"/>
    <w:rsid w:val="00C007D4"/>
    <w:rsid w:val="00C00807"/>
    <w:rsid w:val="00C00B1C"/>
    <w:rsid w:val="00C00F86"/>
    <w:rsid w:val="00C01097"/>
    <w:rsid w:val="00C0117F"/>
    <w:rsid w:val="00C012E4"/>
    <w:rsid w:val="00C01627"/>
    <w:rsid w:val="00C01A09"/>
    <w:rsid w:val="00C01B98"/>
    <w:rsid w:val="00C01BF3"/>
    <w:rsid w:val="00C01C95"/>
    <w:rsid w:val="00C01CB6"/>
    <w:rsid w:val="00C01CD2"/>
    <w:rsid w:val="00C01DE8"/>
    <w:rsid w:val="00C01E83"/>
    <w:rsid w:val="00C023EC"/>
    <w:rsid w:val="00C0249E"/>
    <w:rsid w:val="00C02710"/>
    <w:rsid w:val="00C02C60"/>
    <w:rsid w:val="00C02F33"/>
    <w:rsid w:val="00C0315B"/>
    <w:rsid w:val="00C03275"/>
    <w:rsid w:val="00C0349B"/>
    <w:rsid w:val="00C03658"/>
    <w:rsid w:val="00C037EA"/>
    <w:rsid w:val="00C039ED"/>
    <w:rsid w:val="00C03E2E"/>
    <w:rsid w:val="00C04AD9"/>
    <w:rsid w:val="00C04BB6"/>
    <w:rsid w:val="00C04CF8"/>
    <w:rsid w:val="00C04E4A"/>
    <w:rsid w:val="00C04E7D"/>
    <w:rsid w:val="00C04F0F"/>
    <w:rsid w:val="00C04F9D"/>
    <w:rsid w:val="00C051E3"/>
    <w:rsid w:val="00C054EF"/>
    <w:rsid w:val="00C0555C"/>
    <w:rsid w:val="00C05727"/>
    <w:rsid w:val="00C0589A"/>
    <w:rsid w:val="00C05B35"/>
    <w:rsid w:val="00C05C10"/>
    <w:rsid w:val="00C06095"/>
    <w:rsid w:val="00C0630B"/>
    <w:rsid w:val="00C06413"/>
    <w:rsid w:val="00C06546"/>
    <w:rsid w:val="00C06B52"/>
    <w:rsid w:val="00C06D9C"/>
    <w:rsid w:val="00C06DB2"/>
    <w:rsid w:val="00C06EB8"/>
    <w:rsid w:val="00C07016"/>
    <w:rsid w:val="00C07372"/>
    <w:rsid w:val="00C07566"/>
    <w:rsid w:val="00C07610"/>
    <w:rsid w:val="00C07823"/>
    <w:rsid w:val="00C07913"/>
    <w:rsid w:val="00C0795D"/>
    <w:rsid w:val="00C079F8"/>
    <w:rsid w:val="00C1000A"/>
    <w:rsid w:val="00C102C7"/>
    <w:rsid w:val="00C1037E"/>
    <w:rsid w:val="00C1049B"/>
    <w:rsid w:val="00C104B6"/>
    <w:rsid w:val="00C10541"/>
    <w:rsid w:val="00C10B95"/>
    <w:rsid w:val="00C10C17"/>
    <w:rsid w:val="00C10CD5"/>
    <w:rsid w:val="00C10E14"/>
    <w:rsid w:val="00C10F39"/>
    <w:rsid w:val="00C10F94"/>
    <w:rsid w:val="00C1115A"/>
    <w:rsid w:val="00C113B0"/>
    <w:rsid w:val="00C1146B"/>
    <w:rsid w:val="00C11783"/>
    <w:rsid w:val="00C117AC"/>
    <w:rsid w:val="00C11A3F"/>
    <w:rsid w:val="00C11E06"/>
    <w:rsid w:val="00C11E67"/>
    <w:rsid w:val="00C11EAF"/>
    <w:rsid w:val="00C12016"/>
    <w:rsid w:val="00C120B5"/>
    <w:rsid w:val="00C121CB"/>
    <w:rsid w:val="00C12452"/>
    <w:rsid w:val="00C124E4"/>
    <w:rsid w:val="00C12685"/>
    <w:rsid w:val="00C12731"/>
    <w:rsid w:val="00C128B2"/>
    <w:rsid w:val="00C128CA"/>
    <w:rsid w:val="00C12A92"/>
    <w:rsid w:val="00C12B0B"/>
    <w:rsid w:val="00C12BEC"/>
    <w:rsid w:val="00C12DB3"/>
    <w:rsid w:val="00C12DF3"/>
    <w:rsid w:val="00C13018"/>
    <w:rsid w:val="00C134F7"/>
    <w:rsid w:val="00C13875"/>
    <w:rsid w:val="00C138A3"/>
    <w:rsid w:val="00C13A05"/>
    <w:rsid w:val="00C13A68"/>
    <w:rsid w:val="00C13A71"/>
    <w:rsid w:val="00C13AFA"/>
    <w:rsid w:val="00C13D8D"/>
    <w:rsid w:val="00C13DBF"/>
    <w:rsid w:val="00C14010"/>
    <w:rsid w:val="00C14253"/>
    <w:rsid w:val="00C142F3"/>
    <w:rsid w:val="00C14308"/>
    <w:rsid w:val="00C143C1"/>
    <w:rsid w:val="00C143C9"/>
    <w:rsid w:val="00C146ED"/>
    <w:rsid w:val="00C147E1"/>
    <w:rsid w:val="00C149D5"/>
    <w:rsid w:val="00C14A57"/>
    <w:rsid w:val="00C14B35"/>
    <w:rsid w:val="00C14E40"/>
    <w:rsid w:val="00C14E41"/>
    <w:rsid w:val="00C151EE"/>
    <w:rsid w:val="00C152DC"/>
    <w:rsid w:val="00C1559E"/>
    <w:rsid w:val="00C15740"/>
    <w:rsid w:val="00C15852"/>
    <w:rsid w:val="00C158C1"/>
    <w:rsid w:val="00C15958"/>
    <w:rsid w:val="00C15A54"/>
    <w:rsid w:val="00C15A5C"/>
    <w:rsid w:val="00C15A8B"/>
    <w:rsid w:val="00C15E92"/>
    <w:rsid w:val="00C15F1D"/>
    <w:rsid w:val="00C16012"/>
    <w:rsid w:val="00C16178"/>
    <w:rsid w:val="00C17539"/>
    <w:rsid w:val="00C175A1"/>
    <w:rsid w:val="00C175B2"/>
    <w:rsid w:val="00C17828"/>
    <w:rsid w:val="00C17D07"/>
    <w:rsid w:val="00C17ED7"/>
    <w:rsid w:val="00C201B1"/>
    <w:rsid w:val="00C20286"/>
    <w:rsid w:val="00C20358"/>
    <w:rsid w:val="00C20452"/>
    <w:rsid w:val="00C20479"/>
    <w:rsid w:val="00C204F6"/>
    <w:rsid w:val="00C205E5"/>
    <w:rsid w:val="00C20A68"/>
    <w:rsid w:val="00C20BE1"/>
    <w:rsid w:val="00C20D82"/>
    <w:rsid w:val="00C20E60"/>
    <w:rsid w:val="00C20ED1"/>
    <w:rsid w:val="00C210EF"/>
    <w:rsid w:val="00C21140"/>
    <w:rsid w:val="00C21865"/>
    <w:rsid w:val="00C2190A"/>
    <w:rsid w:val="00C21988"/>
    <w:rsid w:val="00C21A1A"/>
    <w:rsid w:val="00C21C34"/>
    <w:rsid w:val="00C21D49"/>
    <w:rsid w:val="00C221EC"/>
    <w:rsid w:val="00C22249"/>
    <w:rsid w:val="00C226C9"/>
    <w:rsid w:val="00C226CD"/>
    <w:rsid w:val="00C229B7"/>
    <w:rsid w:val="00C22BF3"/>
    <w:rsid w:val="00C22DD4"/>
    <w:rsid w:val="00C22DE6"/>
    <w:rsid w:val="00C22E24"/>
    <w:rsid w:val="00C230C2"/>
    <w:rsid w:val="00C23254"/>
    <w:rsid w:val="00C2332A"/>
    <w:rsid w:val="00C23573"/>
    <w:rsid w:val="00C2361F"/>
    <w:rsid w:val="00C236BA"/>
    <w:rsid w:val="00C23822"/>
    <w:rsid w:val="00C239EF"/>
    <w:rsid w:val="00C23A38"/>
    <w:rsid w:val="00C23B53"/>
    <w:rsid w:val="00C23B5A"/>
    <w:rsid w:val="00C23B9A"/>
    <w:rsid w:val="00C23CF5"/>
    <w:rsid w:val="00C23FE9"/>
    <w:rsid w:val="00C2405A"/>
    <w:rsid w:val="00C241E3"/>
    <w:rsid w:val="00C243B2"/>
    <w:rsid w:val="00C24559"/>
    <w:rsid w:val="00C24638"/>
    <w:rsid w:val="00C248FF"/>
    <w:rsid w:val="00C24918"/>
    <w:rsid w:val="00C24996"/>
    <w:rsid w:val="00C24D56"/>
    <w:rsid w:val="00C251AA"/>
    <w:rsid w:val="00C25917"/>
    <w:rsid w:val="00C25993"/>
    <w:rsid w:val="00C25BF1"/>
    <w:rsid w:val="00C25C4D"/>
    <w:rsid w:val="00C25E73"/>
    <w:rsid w:val="00C25FE8"/>
    <w:rsid w:val="00C2616C"/>
    <w:rsid w:val="00C26360"/>
    <w:rsid w:val="00C26590"/>
    <w:rsid w:val="00C26B5B"/>
    <w:rsid w:val="00C26E08"/>
    <w:rsid w:val="00C26F48"/>
    <w:rsid w:val="00C26FB5"/>
    <w:rsid w:val="00C26FFB"/>
    <w:rsid w:val="00C27113"/>
    <w:rsid w:val="00C271CF"/>
    <w:rsid w:val="00C27265"/>
    <w:rsid w:val="00C273F2"/>
    <w:rsid w:val="00C2749B"/>
    <w:rsid w:val="00C276D9"/>
    <w:rsid w:val="00C27729"/>
    <w:rsid w:val="00C2798C"/>
    <w:rsid w:val="00C27A15"/>
    <w:rsid w:val="00C27A33"/>
    <w:rsid w:val="00C27B7F"/>
    <w:rsid w:val="00C27BC3"/>
    <w:rsid w:val="00C27EA9"/>
    <w:rsid w:val="00C27FB6"/>
    <w:rsid w:val="00C3012B"/>
    <w:rsid w:val="00C301E4"/>
    <w:rsid w:val="00C30511"/>
    <w:rsid w:val="00C3059B"/>
    <w:rsid w:val="00C305B4"/>
    <w:rsid w:val="00C307FF"/>
    <w:rsid w:val="00C309FC"/>
    <w:rsid w:val="00C30F25"/>
    <w:rsid w:val="00C30F27"/>
    <w:rsid w:val="00C31025"/>
    <w:rsid w:val="00C310C2"/>
    <w:rsid w:val="00C318C5"/>
    <w:rsid w:val="00C31C92"/>
    <w:rsid w:val="00C31D63"/>
    <w:rsid w:val="00C31FD3"/>
    <w:rsid w:val="00C32107"/>
    <w:rsid w:val="00C32108"/>
    <w:rsid w:val="00C32112"/>
    <w:rsid w:val="00C321E8"/>
    <w:rsid w:val="00C3224E"/>
    <w:rsid w:val="00C3231B"/>
    <w:rsid w:val="00C32512"/>
    <w:rsid w:val="00C32747"/>
    <w:rsid w:val="00C32769"/>
    <w:rsid w:val="00C32915"/>
    <w:rsid w:val="00C3291E"/>
    <w:rsid w:val="00C3291F"/>
    <w:rsid w:val="00C32B20"/>
    <w:rsid w:val="00C32C1D"/>
    <w:rsid w:val="00C32DF1"/>
    <w:rsid w:val="00C32E94"/>
    <w:rsid w:val="00C33231"/>
    <w:rsid w:val="00C336A7"/>
    <w:rsid w:val="00C3371D"/>
    <w:rsid w:val="00C33BD0"/>
    <w:rsid w:val="00C33D64"/>
    <w:rsid w:val="00C33DDF"/>
    <w:rsid w:val="00C33F42"/>
    <w:rsid w:val="00C33F4E"/>
    <w:rsid w:val="00C34121"/>
    <w:rsid w:val="00C34186"/>
    <w:rsid w:val="00C34415"/>
    <w:rsid w:val="00C34444"/>
    <w:rsid w:val="00C344DD"/>
    <w:rsid w:val="00C345E5"/>
    <w:rsid w:val="00C34AAD"/>
    <w:rsid w:val="00C34C5C"/>
    <w:rsid w:val="00C34DBF"/>
    <w:rsid w:val="00C34E50"/>
    <w:rsid w:val="00C350B6"/>
    <w:rsid w:val="00C3537D"/>
    <w:rsid w:val="00C3538D"/>
    <w:rsid w:val="00C35536"/>
    <w:rsid w:val="00C355F1"/>
    <w:rsid w:val="00C35697"/>
    <w:rsid w:val="00C359F2"/>
    <w:rsid w:val="00C35AFE"/>
    <w:rsid w:val="00C35B65"/>
    <w:rsid w:val="00C35BCF"/>
    <w:rsid w:val="00C35D6D"/>
    <w:rsid w:val="00C35DB3"/>
    <w:rsid w:val="00C35F51"/>
    <w:rsid w:val="00C3615D"/>
    <w:rsid w:val="00C36191"/>
    <w:rsid w:val="00C3635B"/>
    <w:rsid w:val="00C36535"/>
    <w:rsid w:val="00C3653A"/>
    <w:rsid w:val="00C36935"/>
    <w:rsid w:val="00C36A7F"/>
    <w:rsid w:val="00C36CCB"/>
    <w:rsid w:val="00C36ECE"/>
    <w:rsid w:val="00C36FE1"/>
    <w:rsid w:val="00C37041"/>
    <w:rsid w:val="00C372E5"/>
    <w:rsid w:val="00C376F8"/>
    <w:rsid w:val="00C3778A"/>
    <w:rsid w:val="00C37801"/>
    <w:rsid w:val="00C37820"/>
    <w:rsid w:val="00C3783F"/>
    <w:rsid w:val="00C3789C"/>
    <w:rsid w:val="00C379C7"/>
    <w:rsid w:val="00C40037"/>
    <w:rsid w:val="00C400A4"/>
    <w:rsid w:val="00C400D4"/>
    <w:rsid w:val="00C40201"/>
    <w:rsid w:val="00C404FE"/>
    <w:rsid w:val="00C405FE"/>
    <w:rsid w:val="00C40755"/>
    <w:rsid w:val="00C4083B"/>
    <w:rsid w:val="00C40E94"/>
    <w:rsid w:val="00C40F03"/>
    <w:rsid w:val="00C40F37"/>
    <w:rsid w:val="00C41638"/>
    <w:rsid w:val="00C41781"/>
    <w:rsid w:val="00C417AD"/>
    <w:rsid w:val="00C41A24"/>
    <w:rsid w:val="00C41B2F"/>
    <w:rsid w:val="00C41D25"/>
    <w:rsid w:val="00C41DF4"/>
    <w:rsid w:val="00C41E0A"/>
    <w:rsid w:val="00C41F54"/>
    <w:rsid w:val="00C42188"/>
    <w:rsid w:val="00C42216"/>
    <w:rsid w:val="00C42520"/>
    <w:rsid w:val="00C425A1"/>
    <w:rsid w:val="00C4264E"/>
    <w:rsid w:val="00C426A8"/>
    <w:rsid w:val="00C42954"/>
    <w:rsid w:val="00C42D85"/>
    <w:rsid w:val="00C42E30"/>
    <w:rsid w:val="00C42FBC"/>
    <w:rsid w:val="00C43098"/>
    <w:rsid w:val="00C4318D"/>
    <w:rsid w:val="00C4375E"/>
    <w:rsid w:val="00C43820"/>
    <w:rsid w:val="00C43872"/>
    <w:rsid w:val="00C43F70"/>
    <w:rsid w:val="00C43FDB"/>
    <w:rsid w:val="00C440E2"/>
    <w:rsid w:val="00C444AB"/>
    <w:rsid w:val="00C4453D"/>
    <w:rsid w:val="00C44652"/>
    <w:rsid w:val="00C44796"/>
    <w:rsid w:val="00C44862"/>
    <w:rsid w:val="00C448C1"/>
    <w:rsid w:val="00C4493D"/>
    <w:rsid w:val="00C44BC6"/>
    <w:rsid w:val="00C44D2D"/>
    <w:rsid w:val="00C44E16"/>
    <w:rsid w:val="00C44E2A"/>
    <w:rsid w:val="00C4505E"/>
    <w:rsid w:val="00C4514A"/>
    <w:rsid w:val="00C451AC"/>
    <w:rsid w:val="00C454E6"/>
    <w:rsid w:val="00C45611"/>
    <w:rsid w:val="00C45626"/>
    <w:rsid w:val="00C45BDE"/>
    <w:rsid w:val="00C45E30"/>
    <w:rsid w:val="00C45E8B"/>
    <w:rsid w:val="00C45EF3"/>
    <w:rsid w:val="00C45FCE"/>
    <w:rsid w:val="00C4617A"/>
    <w:rsid w:val="00C462B1"/>
    <w:rsid w:val="00C46348"/>
    <w:rsid w:val="00C4639B"/>
    <w:rsid w:val="00C46401"/>
    <w:rsid w:val="00C4649D"/>
    <w:rsid w:val="00C464D9"/>
    <w:rsid w:val="00C467AF"/>
    <w:rsid w:val="00C4696E"/>
    <w:rsid w:val="00C46A32"/>
    <w:rsid w:val="00C46A3E"/>
    <w:rsid w:val="00C46C8A"/>
    <w:rsid w:val="00C46CB7"/>
    <w:rsid w:val="00C46F04"/>
    <w:rsid w:val="00C46F9E"/>
    <w:rsid w:val="00C4709D"/>
    <w:rsid w:val="00C471BB"/>
    <w:rsid w:val="00C47736"/>
    <w:rsid w:val="00C47753"/>
    <w:rsid w:val="00C47B30"/>
    <w:rsid w:val="00C500C5"/>
    <w:rsid w:val="00C5018B"/>
    <w:rsid w:val="00C50739"/>
    <w:rsid w:val="00C507D2"/>
    <w:rsid w:val="00C50910"/>
    <w:rsid w:val="00C509E6"/>
    <w:rsid w:val="00C50A48"/>
    <w:rsid w:val="00C50AC5"/>
    <w:rsid w:val="00C51078"/>
    <w:rsid w:val="00C510D9"/>
    <w:rsid w:val="00C516B8"/>
    <w:rsid w:val="00C5185F"/>
    <w:rsid w:val="00C51869"/>
    <w:rsid w:val="00C51948"/>
    <w:rsid w:val="00C51ADB"/>
    <w:rsid w:val="00C520CE"/>
    <w:rsid w:val="00C522C7"/>
    <w:rsid w:val="00C52342"/>
    <w:rsid w:val="00C52646"/>
    <w:rsid w:val="00C529BE"/>
    <w:rsid w:val="00C52D51"/>
    <w:rsid w:val="00C52EF5"/>
    <w:rsid w:val="00C52F7C"/>
    <w:rsid w:val="00C52FEC"/>
    <w:rsid w:val="00C531FE"/>
    <w:rsid w:val="00C53544"/>
    <w:rsid w:val="00C53705"/>
    <w:rsid w:val="00C53932"/>
    <w:rsid w:val="00C53BCD"/>
    <w:rsid w:val="00C53F9E"/>
    <w:rsid w:val="00C5413E"/>
    <w:rsid w:val="00C5443E"/>
    <w:rsid w:val="00C5443F"/>
    <w:rsid w:val="00C54B9D"/>
    <w:rsid w:val="00C54BC1"/>
    <w:rsid w:val="00C54BFC"/>
    <w:rsid w:val="00C54C62"/>
    <w:rsid w:val="00C54DB0"/>
    <w:rsid w:val="00C54EB6"/>
    <w:rsid w:val="00C5505E"/>
    <w:rsid w:val="00C55091"/>
    <w:rsid w:val="00C550CA"/>
    <w:rsid w:val="00C5548E"/>
    <w:rsid w:val="00C5592F"/>
    <w:rsid w:val="00C55BF8"/>
    <w:rsid w:val="00C55D40"/>
    <w:rsid w:val="00C55DF6"/>
    <w:rsid w:val="00C56119"/>
    <w:rsid w:val="00C56200"/>
    <w:rsid w:val="00C56257"/>
    <w:rsid w:val="00C562E5"/>
    <w:rsid w:val="00C56441"/>
    <w:rsid w:val="00C567B6"/>
    <w:rsid w:val="00C56801"/>
    <w:rsid w:val="00C56959"/>
    <w:rsid w:val="00C56BCF"/>
    <w:rsid w:val="00C56CA7"/>
    <w:rsid w:val="00C5707F"/>
    <w:rsid w:val="00C5729A"/>
    <w:rsid w:val="00C5739A"/>
    <w:rsid w:val="00C574FC"/>
    <w:rsid w:val="00C57675"/>
    <w:rsid w:val="00C57744"/>
    <w:rsid w:val="00C57903"/>
    <w:rsid w:val="00C5797F"/>
    <w:rsid w:val="00C57BE8"/>
    <w:rsid w:val="00C57C8F"/>
    <w:rsid w:val="00C57D08"/>
    <w:rsid w:val="00C57E2D"/>
    <w:rsid w:val="00C57E45"/>
    <w:rsid w:val="00C57FCA"/>
    <w:rsid w:val="00C60156"/>
    <w:rsid w:val="00C603AD"/>
    <w:rsid w:val="00C6064A"/>
    <w:rsid w:val="00C60B1C"/>
    <w:rsid w:val="00C60BB9"/>
    <w:rsid w:val="00C60D06"/>
    <w:rsid w:val="00C610EB"/>
    <w:rsid w:val="00C6113A"/>
    <w:rsid w:val="00C614A3"/>
    <w:rsid w:val="00C618AF"/>
    <w:rsid w:val="00C61919"/>
    <w:rsid w:val="00C61B8E"/>
    <w:rsid w:val="00C61BC0"/>
    <w:rsid w:val="00C61CDF"/>
    <w:rsid w:val="00C61DAC"/>
    <w:rsid w:val="00C61F23"/>
    <w:rsid w:val="00C62370"/>
    <w:rsid w:val="00C6257D"/>
    <w:rsid w:val="00C62B20"/>
    <w:rsid w:val="00C62CF8"/>
    <w:rsid w:val="00C62EBB"/>
    <w:rsid w:val="00C633F4"/>
    <w:rsid w:val="00C63408"/>
    <w:rsid w:val="00C63498"/>
    <w:rsid w:val="00C639D6"/>
    <w:rsid w:val="00C63CAC"/>
    <w:rsid w:val="00C63E28"/>
    <w:rsid w:val="00C6408B"/>
    <w:rsid w:val="00C640D6"/>
    <w:rsid w:val="00C64123"/>
    <w:rsid w:val="00C6420C"/>
    <w:rsid w:val="00C64369"/>
    <w:rsid w:val="00C64373"/>
    <w:rsid w:val="00C64549"/>
    <w:rsid w:val="00C645C5"/>
    <w:rsid w:val="00C64665"/>
    <w:rsid w:val="00C646FE"/>
    <w:rsid w:val="00C64793"/>
    <w:rsid w:val="00C647A6"/>
    <w:rsid w:val="00C649E4"/>
    <w:rsid w:val="00C64AC0"/>
    <w:rsid w:val="00C64B39"/>
    <w:rsid w:val="00C64D5B"/>
    <w:rsid w:val="00C64DAB"/>
    <w:rsid w:val="00C64E27"/>
    <w:rsid w:val="00C65134"/>
    <w:rsid w:val="00C651D3"/>
    <w:rsid w:val="00C653A2"/>
    <w:rsid w:val="00C655A1"/>
    <w:rsid w:val="00C6580C"/>
    <w:rsid w:val="00C65BF0"/>
    <w:rsid w:val="00C65C27"/>
    <w:rsid w:val="00C65C68"/>
    <w:rsid w:val="00C66620"/>
    <w:rsid w:val="00C66735"/>
    <w:rsid w:val="00C6673E"/>
    <w:rsid w:val="00C66B9F"/>
    <w:rsid w:val="00C66BFA"/>
    <w:rsid w:val="00C670FF"/>
    <w:rsid w:val="00C6727A"/>
    <w:rsid w:val="00C675A7"/>
    <w:rsid w:val="00C67653"/>
    <w:rsid w:val="00C676D7"/>
    <w:rsid w:val="00C67754"/>
    <w:rsid w:val="00C677FE"/>
    <w:rsid w:val="00C67B97"/>
    <w:rsid w:val="00C67C43"/>
    <w:rsid w:val="00C67C47"/>
    <w:rsid w:val="00C67FD0"/>
    <w:rsid w:val="00C704E9"/>
    <w:rsid w:val="00C704F7"/>
    <w:rsid w:val="00C7083E"/>
    <w:rsid w:val="00C70997"/>
    <w:rsid w:val="00C709A0"/>
    <w:rsid w:val="00C70AEA"/>
    <w:rsid w:val="00C70C98"/>
    <w:rsid w:val="00C70FFD"/>
    <w:rsid w:val="00C711E9"/>
    <w:rsid w:val="00C71446"/>
    <w:rsid w:val="00C71602"/>
    <w:rsid w:val="00C7161E"/>
    <w:rsid w:val="00C716A9"/>
    <w:rsid w:val="00C71712"/>
    <w:rsid w:val="00C71C30"/>
    <w:rsid w:val="00C71C85"/>
    <w:rsid w:val="00C71F5F"/>
    <w:rsid w:val="00C724D2"/>
    <w:rsid w:val="00C726F2"/>
    <w:rsid w:val="00C72746"/>
    <w:rsid w:val="00C72C8F"/>
    <w:rsid w:val="00C72CFB"/>
    <w:rsid w:val="00C72E83"/>
    <w:rsid w:val="00C7308D"/>
    <w:rsid w:val="00C732CF"/>
    <w:rsid w:val="00C7332D"/>
    <w:rsid w:val="00C735D8"/>
    <w:rsid w:val="00C735F7"/>
    <w:rsid w:val="00C73790"/>
    <w:rsid w:val="00C73869"/>
    <w:rsid w:val="00C7397F"/>
    <w:rsid w:val="00C739BA"/>
    <w:rsid w:val="00C739D6"/>
    <w:rsid w:val="00C73D37"/>
    <w:rsid w:val="00C73E36"/>
    <w:rsid w:val="00C73FF4"/>
    <w:rsid w:val="00C74120"/>
    <w:rsid w:val="00C74135"/>
    <w:rsid w:val="00C742D5"/>
    <w:rsid w:val="00C74554"/>
    <w:rsid w:val="00C746C4"/>
    <w:rsid w:val="00C747FC"/>
    <w:rsid w:val="00C748A2"/>
    <w:rsid w:val="00C74B1C"/>
    <w:rsid w:val="00C74CBF"/>
    <w:rsid w:val="00C74D5F"/>
    <w:rsid w:val="00C74E78"/>
    <w:rsid w:val="00C74EF9"/>
    <w:rsid w:val="00C74F1D"/>
    <w:rsid w:val="00C75266"/>
    <w:rsid w:val="00C76076"/>
    <w:rsid w:val="00C76094"/>
    <w:rsid w:val="00C760FB"/>
    <w:rsid w:val="00C76204"/>
    <w:rsid w:val="00C76285"/>
    <w:rsid w:val="00C76318"/>
    <w:rsid w:val="00C765A0"/>
    <w:rsid w:val="00C76A75"/>
    <w:rsid w:val="00C76BF0"/>
    <w:rsid w:val="00C76CE2"/>
    <w:rsid w:val="00C76D3B"/>
    <w:rsid w:val="00C77028"/>
    <w:rsid w:val="00C770EB"/>
    <w:rsid w:val="00C77261"/>
    <w:rsid w:val="00C772CF"/>
    <w:rsid w:val="00C776CB"/>
    <w:rsid w:val="00C779DC"/>
    <w:rsid w:val="00C77B6C"/>
    <w:rsid w:val="00C77B8F"/>
    <w:rsid w:val="00C77CF8"/>
    <w:rsid w:val="00C77D63"/>
    <w:rsid w:val="00C8010A"/>
    <w:rsid w:val="00C80301"/>
    <w:rsid w:val="00C80457"/>
    <w:rsid w:val="00C8052D"/>
    <w:rsid w:val="00C80616"/>
    <w:rsid w:val="00C807F8"/>
    <w:rsid w:val="00C80A86"/>
    <w:rsid w:val="00C80C56"/>
    <w:rsid w:val="00C80CDF"/>
    <w:rsid w:val="00C80FD3"/>
    <w:rsid w:val="00C810FE"/>
    <w:rsid w:val="00C811C2"/>
    <w:rsid w:val="00C81341"/>
    <w:rsid w:val="00C81368"/>
    <w:rsid w:val="00C81816"/>
    <w:rsid w:val="00C81A77"/>
    <w:rsid w:val="00C81E0B"/>
    <w:rsid w:val="00C81E7F"/>
    <w:rsid w:val="00C82138"/>
    <w:rsid w:val="00C8224C"/>
    <w:rsid w:val="00C822F3"/>
    <w:rsid w:val="00C8249F"/>
    <w:rsid w:val="00C82787"/>
    <w:rsid w:val="00C82B01"/>
    <w:rsid w:val="00C82B5E"/>
    <w:rsid w:val="00C82BD9"/>
    <w:rsid w:val="00C832B5"/>
    <w:rsid w:val="00C8337C"/>
    <w:rsid w:val="00C83437"/>
    <w:rsid w:val="00C8345B"/>
    <w:rsid w:val="00C834D5"/>
    <w:rsid w:val="00C834F8"/>
    <w:rsid w:val="00C8367A"/>
    <w:rsid w:val="00C8376F"/>
    <w:rsid w:val="00C837F5"/>
    <w:rsid w:val="00C83BA4"/>
    <w:rsid w:val="00C83BC1"/>
    <w:rsid w:val="00C83BC9"/>
    <w:rsid w:val="00C84384"/>
    <w:rsid w:val="00C847D0"/>
    <w:rsid w:val="00C84AC8"/>
    <w:rsid w:val="00C84D77"/>
    <w:rsid w:val="00C84E12"/>
    <w:rsid w:val="00C84E48"/>
    <w:rsid w:val="00C850AB"/>
    <w:rsid w:val="00C8514F"/>
    <w:rsid w:val="00C85416"/>
    <w:rsid w:val="00C8551C"/>
    <w:rsid w:val="00C8555C"/>
    <w:rsid w:val="00C85569"/>
    <w:rsid w:val="00C8562B"/>
    <w:rsid w:val="00C85664"/>
    <w:rsid w:val="00C85727"/>
    <w:rsid w:val="00C85D1F"/>
    <w:rsid w:val="00C85E86"/>
    <w:rsid w:val="00C86126"/>
    <w:rsid w:val="00C86390"/>
    <w:rsid w:val="00C863F5"/>
    <w:rsid w:val="00C864C6"/>
    <w:rsid w:val="00C865FF"/>
    <w:rsid w:val="00C869AC"/>
    <w:rsid w:val="00C86A79"/>
    <w:rsid w:val="00C86ADF"/>
    <w:rsid w:val="00C86D67"/>
    <w:rsid w:val="00C86DE9"/>
    <w:rsid w:val="00C87086"/>
    <w:rsid w:val="00C871A3"/>
    <w:rsid w:val="00C87385"/>
    <w:rsid w:val="00C87527"/>
    <w:rsid w:val="00C8756A"/>
    <w:rsid w:val="00C875CC"/>
    <w:rsid w:val="00C8766F"/>
    <w:rsid w:val="00C879F9"/>
    <w:rsid w:val="00C87ABE"/>
    <w:rsid w:val="00C87E22"/>
    <w:rsid w:val="00C9003C"/>
    <w:rsid w:val="00C905E6"/>
    <w:rsid w:val="00C905F0"/>
    <w:rsid w:val="00C90609"/>
    <w:rsid w:val="00C90849"/>
    <w:rsid w:val="00C90C40"/>
    <w:rsid w:val="00C90ED3"/>
    <w:rsid w:val="00C90F46"/>
    <w:rsid w:val="00C91346"/>
    <w:rsid w:val="00C914E5"/>
    <w:rsid w:val="00C91990"/>
    <w:rsid w:val="00C92209"/>
    <w:rsid w:val="00C9241F"/>
    <w:rsid w:val="00C924C2"/>
    <w:rsid w:val="00C924F7"/>
    <w:rsid w:val="00C9254F"/>
    <w:rsid w:val="00C92A78"/>
    <w:rsid w:val="00C92B60"/>
    <w:rsid w:val="00C92FEA"/>
    <w:rsid w:val="00C930CF"/>
    <w:rsid w:val="00C9344D"/>
    <w:rsid w:val="00C9359D"/>
    <w:rsid w:val="00C9361E"/>
    <w:rsid w:val="00C93764"/>
    <w:rsid w:val="00C93A2D"/>
    <w:rsid w:val="00C93ABE"/>
    <w:rsid w:val="00C93C10"/>
    <w:rsid w:val="00C93D1E"/>
    <w:rsid w:val="00C93DA3"/>
    <w:rsid w:val="00C93E18"/>
    <w:rsid w:val="00C93E6A"/>
    <w:rsid w:val="00C942C8"/>
    <w:rsid w:val="00C9461B"/>
    <w:rsid w:val="00C94808"/>
    <w:rsid w:val="00C94944"/>
    <w:rsid w:val="00C949D3"/>
    <w:rsid w:val="00C94AC9"/>
    <w:rsid w:val="00C94B88"/>
    <w:rsid w:val="00C94D6A"/>
    <w:rsid w:val="00C94DCC"/>
    <w:rsid w:val="00C95155"/>
    <w:rsid w:val="00C951DE"/>
    <w:rsid w:val="00C9563C"/>
    <w:rsid w:val="00C95804"/>
    <w:rsid w:val="00C95AC5"/>
    <w:rsid w:val="00C95B2C"/>
    <w:rsid w:val="00C962F9"/>
    <w:rsid w:val="00C96393"/>
    <w:rsid w:val="00C96545"/>
    <w:rsid w:val="00C965AF"/>
    <w:rsid w:val="00C967CB"/>
    <w:rsid w:val="00C96824"/>
    <w:rsid w:val="00C96988"/>
    <w:rsid w:val="00C96ABB"/>
    <w:rsid w:val="00C96C3E"/>
    <w:rsid w:val="00C96DF4"/>
    <w:rsid w:val="00C96F8E"/>
    <w:rsid w:val="00C9717D"/>
    <w:rsid w:val="00C972F8"/>
    <w:rsid w:val="00C97377"/>
    <w:rsid w:val="00C973CE"/>
    <w:rsid w:val="00C97478"/>
    <w:rsid w:val="00C97829"/>
    <w:rsid w:val="00C97978"/>
    <w:rsid w:val="00C97C62"/>
    <w:rsid w:val="00C97C64"/>
    <w:rsid w:val="00C97DA3"/>
    <w:rsid w:val="00CA0397"/>
    <w:rsid w:val="00CA04A8"/>
    <w:rsid w:val="00CA0513"/>
    <w:rsid w:val="00CA061B"/>
    <w:rsid w:val="00CA0D21"/>
    <w:rsid w:val="00CA0E5E"/>
    <w:rsid w:val="00CA1084"/>
    <w:rsid w:val="00CA1143"/>
    <w:rsid w:val="00CA1162"/>
    <w:rsid w:val="00CA12DA"/>
    <w:rsid w:val="00CA146A"/>
    <w:rsid w:val="00CA1773"/>
    <w:rsid w:val="00CA189A"/>
    <w:rsid w:val="00CA1ED6"/>
    <w:rsid w:val="00CA225C"/>
    <w:rsid w:val="00CA22E1"/>
    <w:rsid w:val="00CA23DB"/>
    <w:rsid w:val="00CA2544"/>
    <w:rsid w:val="00CA25EB"/>
    <w:rsid w:val="00CA2ABF"/>
    <w:rsid w:val="00CA2DD0"/>
    <w:rsid w:val="00CA2E1B"/>
    <w:rsid w:val="00CA2F8C"/>
    <w:rsid w:val="00CA2FF1"/>
    <w:rsid w:val="00CA3329"/>
    <w:rsid w:val="00CA345F"/>
    <w:rsid w:val="00CA34C0"/>
    <w:rsid w:val="00CA3570"/>
    <w:rsid w:val="00CA35C1"/>
    <w:rsid w:val="00CA3ACB"/>
    <w:rsid w:val="00CA3D10"/>
    <w:rsid w:val="00CA3D8C"/>
    <w:rsid w:val="00CA443D"/>
    <w:rsid w:val="00CA4490"/>
    <w:rsid w:val="00CA44B7"/>
    <w:rsid w:val="00CA45F0"/>
    <w:rsid w:val="00CA4651"/>
    <w:rsid w:val="00CA465E"/>
    <w:rsid w:val="00CA48BE"/>
    <w:rsid w:val="00CA4A2F"/>
    <w:rsid w:val="00CA4BBA"/>
    <w:rsid w:val="00CA4FEF"/>
    <w:rsid w:val="00CA511D"/>
    <w:rsid w:val="00CA5159"/>
    <w:rsid w:val="00CA51E9"/>
    <w:rsid w:val="00CA52F6"/>
    <w:rsid w:val="00CA5351"/>
    <w:rsid w:val="00CA58E0"/>
    <w:rsid w:val="00CA5B32"/>
    <w:rsid w:val="00CA5B86"/>
    <w:rsid w:val="00CA5B87"/>
    <w:rsid w:val="00CA5CA9"/>
    <w:rsid w:val="00CA5ECE"/>
    <w:rsid w:val="00CA5F26"/>
    <w:rsid w:val="00CA6017"/>
    <w:rsid w:val="00CA6073"/>
    <w:rsid w:val="00CA6709"/>
    <w:rsid w:val="00CA6812"/>
    <w:rsid w:val="00CA691A"/>
    <w:rsid w:val="00CA6988"/>
    <w:rsid w:val="00CA6CAA"/>
    <w:rsid w:val="00CA6D98"/>
    <w:rsid w:val="00CA6DD9"/>
    <w:rsid w:val="00CA6EEF"/>
    <w:rsid w:val="00CA7015"/>
    <w:rsid w:val="00CA7059"/>
    <w:rsid w:val="00CA70A3"/>
    <w:rsid w:val="00CA727F"/>
    <w:rsid w:val="00CA7325"/>
    <w:rsid w:val="00CA740F"/>
    <w:rsid w:val="00CA754B"/>
    <w:rsid w:val="00CA75BC"/>
    <w:rsid w:val="00CA75C6"/>
    <w:rsid w:val="00CA7864"/>
    <w:rsid w:val="00CA79F8"/>
    <w:rsid w:val="00CA7B93"/>
    <w:rsid w:val="00CA7CB5"/>
    <w:rsid w:val="00CB0000"/>
    <w:rsid w:val="00CB001C"/>
    <w:rsid w:val="00CB0151"/>
    <w:rsid w:val="00CB021F"/>
    <w:rsid w:val="00CB039A"/>
    <w:rsid w:val="00CB050D"/>
    <w:rsid w:val="00CB0585"/>
    <w:rsid w:val="00CB0676"/>
    <w:rsid w:val="00CB075D"/>
    <w:rsid w:val="00CB07B9"/>
    <w:rsid w:val="00CB0CCB"/>
    <w:rsid w:val="00CB12DF"/>
    <w:rsid w:val="00CB13FA"/>
    <w:rsid w:val="00CB1452"/>
    <w:rsid w:val="00CB14B4"/>
    <w:rsid w:val="00CB1708"/>
    <w:rsid w:val="00CB17D7"/>
    <w:rsid w:val="00CB181B"/>
    <w:rsid w:val="00CB1851"/>
    <w:rsid w:val="00CB1982"/>
    <w:rsid w:val="00CB19B3"/>
    <w:rsid w:val="00CB1BA5"/>
    <w:rsid w:val="00CB1D8D"/>
    <w:rsid w:val="00CB21C8"/>
    <w:rsid w:val="00CB21F3"/>
    <w:rsid w:val="00CB25AD"/>
    <w:rsid w:val="00CB2607"/>
    <w:rsid w:val="00CB2627"/>
    <w:rsid w:val="00CB2A35"/>
    <w:rsid w:val="00CB2B37"/>
    <w:rsid w:val="00CB2C2B"/>
    <w:rsid w:val="00CB2D71"/>
    <w:rsid w:val="00CB2E3E"/>
    <w:rsid w:val="00CB2EDB"/>
    <w:rsid w:val="00CB307C"/>
    <w:rsid w:val="00CB361B"/>
    <w:rsid w:val="00CB3654"/>
    <w:rsid w:val="00CB36AB"/>
    <w:rsid w:val="00CB384A"/>
    <w:rsid w:val="00CB3C9B"/>
    <w:rsid w:val="00CB3FF9"/>
    <w:rsid w:val="00CB4233"/>
    <w:rsid w:val="00CB45C0"/>
    <w:rsid w:val="00CB512E"/>
    <w:rsid w:val="00CB5203"/>
    <w:rsid w:val="00CB537C"/>
    <w:rsid w:val="00CB53DE"/>
    <w:rsid w:val="00CB5545"/>
    <w:rsid w:val="00CB5655"/>
    <w:rsid w:val="00CB56A0"/>
    <w:rsid w:val="00CB59DB"/>
    <w:rsid w:val="00CB5FF2"/>
    <w:rsid w:val="00CB6175"/>
    <w:rsid w:val="00CB61BD"/>
    <w:rsid w:val="00CB68EF"/>
    <w:rsid w:val="00CB6941"/>
    <w:rsid w:val="00CB6983"/>
    <w:rsid w:val="00CB6C38"/>
    <w:rsid w:val="00CB6E94"/>
    <w:rsid w:val="00CB7357"/>
    <w:rsid w:val="00CB7384"/>
    <w:rsid w:val="00CB75E3"/>
    <w:rsid w:val="00CB7859"/>
    <w:rsid w:val="00CB7B3B"/>
    <w:rsid w:val="00CB7B55"/>
    <w:rsid w:val="00CB7D48"/>
    <w:rsid w:val="00CB7E52"/>
    <w:rsid w:val="00CC008B"/>
    <w:rsid w:val="00CC01C7"/>
    <w:rsid w:val="00CC0208"/>
    <w:rsid w:val="00CC04D7"/>
    <w:rsid w:val="00CC04DD"/>
    <w:rsid w:val="00CC068F"/>
    <w:rsid w:val="00CC078C"/>
    <w:rsid w:val="00CC0B40"/>
    <w:rsid w:val="00CC11C2"/>
    <w:rsid w:val="00CC1204"/>
    <w:rsid w:val="00CC1618"/>
    <w:rsid w:val="00CC1687"/>
    <w:rsid w:val="00CC173B"/>
    <w:rsid w:val="00CC17B0"/>
    <w:rsid w:val="00CC1948"/>
    <w:rsid w:val="00CC197C"/>
    <w:rsid w:val="00CC1A35"/>
    <w:rsid w:val="00CC1E21"/>
    <w:rsid w:val="00CC2053"/>
    <w:rsid w:val="00CC216D"/>
    <w:rsid w:val="00CC21A4"/>
    <w:rsid w:val="00CC241A"/>
    <w:rsid w:val="00CC24B5"/>
    <w:rsid w:val="00CC2626"/>
    <w:rsid w:val="00CC28F0"/>
    <w:rsid w:val="00CC2A7B"/>
    <w:rsid w:val="00CC2B3A"/>
    <w:rsid w:val="00CC2CB8"/>
    <w:rsid w:val="00CC2D26"/>
    <w:rsid w:val="00CC2E0E"/>
    <w:rsid w:val="00CC339C"/>
    <w:rsid w:val="00CC34BD"/>
    <w:rsid w:val="00CC35EC"/>
    <w:rsid w:val="00CC373D"/>
    <w:rsid w:val="00CC3942"/>
    <w:rsid w:val="00CC3D21"/>
    <w:rsid w:val="00CC3E17"/>
    <w:rsid w:val="00CC4173"/>
    <w:rsid w:val="00CC45DA"/>
    <w:rsid w:val="00CC47E4"/>
    <w:rsid w:val="00CC49E1"/>
    <w:rsid w:val="00CC4A02"/>
    <w:rsid w:val="00CC4C21"/>
    <w:rsid w:val="00CC50DF"/>
    <w:rsid w:val="00CC50FF"/>
    <w:rsid w:val="00CC5198"/>
    <w:rsid w:val="00CC56E4"/>
    <w:rsid w:val="00CC58F2"/>
    <w:rsid w:val="00CC5AD2"/>
    <w:rsid w:val="00CC5D5D"/>
    <w:rsid w:val="00CC5EDC"/>
    <w:rsid w:val="00CC5F36"/>
    <w:rsid w:val="00CC6157"/>
    <w:rsid w:val="00CC62D3"/>
    <w:rsid w:val="00CC686E"/>
    <w:rsid w:val="00CC6B2C"/>
    <w:rsid w:val="00CC6BEF"/>
    <w:rsid w:val="00CC6F3B"/>
    <w:rsid w:val="00CC716A"/>
    <w:rsid w:val="00CC72A3"/>
    <w:rsid w:val="00CC7355"/>
    <w:rsid w:val="00CC7489"/>
    <w:rsid w:val="00CC754F"/>
    <w:rsid w:val="00CC7801"/>
    <w:rsid w:val="00CC78E0"/>
    <w:rsid w:val="00CC7A75"/>
    <w:rsid w:val="00CC7A9E"/>
    <w:rsid w:val="00CC7ADA"/>
    <w:rsid w:val="00CC7B1F"/>
    <w:rsid w:val="00CC7BE9"/>
    <w:rsid w:val="00CC7DDD"/>
    <w:rsid w:val="00CC7ED1"/>
    <w:rsid w:val="00CD03AD"/>
    <w:rsid w:val="00CD0B1F"/>
    <w:rsid w:val="00CD0CBE"/>
    <w:rsid w:val="00CD0E0E"/>
    <w:rsid w:val="00CD118D"/>
    <w:rsid w:val="00CD11DB"/>
    <w:rsid w:val="00CD14C5"/>
    <w:rsid w:val="00CD17CF"/>
    <w:rsid w:val="00CD1901"/>
    <w:rsid w:val="00CD1DFB"/>
    <w:rsid w:val="00CD1FCC"/>
    <w:rsid w:val="00CD1FE7"/>
    <w:rsid w:val="00CD2A3C"/>
    <w:rsid w:val="00CD2A89"/>
    <w:rsid w:val="00CD2B0F"/>
    <w:rsid w:val="00CD2BF5"/>
    <w:rsid w:val="00CD2CA1"/>
    <w:rsid w:val="00CD2D3E"/>
    <w:rsid w:val="00CD2D7B"/>
    <w:rsid w:val="00CD34FC"/>
    <w:rsid w:val="00CD35F5"/>
    <w:rsid w:val="00CD36E3"/>
    <w:rsid w:val="00CD381C"/>
    <w:rsid w:val="00CD3BEA"/>
    <w:rsid w:val="00CD3F81"/>
    <w:rsid w:val="00CD407C"/>
    <w:rsid w:val="00CD425B"/>
    <w:rsid w:val="00CD43CE"/>
    <w:rsid w:val="00CD49AA"/>
    <w:rsid w:val="00CD4AF2"/>
    <w:rsid w:val="00CD4D68"/>
    <w:rsid w:val="00CD4D93"/>
    <w:rsid w:val="00CD5098"/>
    <w:rsid w:val="00CD50A9"/>
    <w:rsid w:val="00CD5353"/>
    <w:rsid w:val="00CD53C8"/>
    <w:rsid w:val="00CD578C"/>
    <w:rsid w:val="00CD5906"/>
    <w:rsid w:val="00CD5A77"/>
    <w:rsid w:val="00CD5D17"/>
    <w:rsid w:val="00CD5F68"/>
    <w:rsid w:val="00CD5F70"/>
    <w:rsid w:val="00CD6028"/>
    <w:rsid w:val="00CD6066"/>
    <w:rsid w:val="00CD6B03"/>
    <w:rsid w:val="00CD6B9B"/>
    <w:rsid w:val="00CD6D0D"/>
    <w:rsid w:val="00CD6DDC"/>
    <w:rsid w:val="00CD6EBB"/>
    <w:rsid w:val="00CD6F60"/>
    <w:rsid w:val="00CD7000"/>
    <w:rsid w:val="00CD7081"/>
    <w:rsid w:val="00CD7430"/>
    <w:rsid w:val="00CD7CA4"/>
    <w:rsid w:val="00CD7EE4"/>
    <w:rsid w:val="00CE02F0"/>
    <w:rsid w:val="00CE07F3"/>
    <w:rsid w:val="00CE103A"/>
    <w:rsid w:val="00CE1083"/>
    <w:rsid w:val="00CE121D"/>
    <w:rsid w:val="00CE183A"/>
    <w:rsid w:val="00CE1951"/>
    <w:rsid w:val="00CE19FC"/>
    <w:rsid w:val="00CE2169"/>
    <w:rsid w:val="00CE252A"/>
    <w:rsid w:val="00CE26C5"/>
    <w:rsid w:val="00CE28C4"/>
    <w:rsid w:val="00CE2946"/>
    <w:rsid w:val="00CE2AFC"/>
    <w:rsid w:val="00CE2D36"/>
    <w:rsid w:val="00CE2E36"/>
    <w:rsid w:val="00CE2F17"/>
    <w:rsid w:val="00CE3126"/>
    <w:rsid w:val="00CE31E5"/>
    <w:rsid w:val="00CE3372"/>
    <w:rsid w:val="00CE3506"/>
    <w:rsid w:val="00CE3599"/>
    <w:rsid w:val="00CE36E3"/>
    <w:rsid w:val="00CE37B4"/>
    <w:rsid w:val="00CE3A58"/>
    <w:rsid w:val="00CE3D1C"/>
    <w:rsid w:val="00CE3DCF"/>
    <w:rsid w:val="00CE3EB6"/>
    <w:rsid w:val="00CE42B1"/>
    <w:rsid w:val="00CE42B8"/>
    <w:rsid w:val="00CE4705"/>
    <w:rsid w:val="00CE47EE"/>
    <w:rsid w:val="00CE4BF5"/>
    <w:rsid w:val="00CE4C31"/>
    <w:rsid w:val="00CE5182"/>
    <w:rsid w:val="00CE519E"/>
    <w:rsid w:val="00CE5368"/>
    <w:rsid w:val="00CE589C"/>
    <w:rsid w:val="00CE5929"/>
    <w:rsid w:val="00CE5988"/>
    <w:rsid w:val="00CE59F7"/>
    <w:rsid w:val="00CE5EDC"/>
    <w:rsid w:val="00CE6093"/>
    <w:rsid w:val="00CE61E1"/>
    <w:rsid w:val="00CE6493"/>
    <w:rsid w:val="00CE6621"/>
    <w:rsid w:val="00CE6B6E"/>
    <w:rsid w:val="00CE6D09"/>
    <w:rsid w:val="00CE6DB9"/>
    <w:rsid w:val="00CE6EC2"/>
    <w:rsid w:val="00CE6F60"/>
    <w:rsid w:val="00CE7242"/>
    <w:rsid w:val="00CE72DC"/>
    <w:rsid w:val="00CE73F2"/>
    <w:rsid w:val="00CE73F3"/>
    <w:rsid w:val="00CE751D"/>
    <w:rsid w:val="00CE7555"/>
    <w:rsid w:val="00CE76AD"/>
    <w:rsid w:val="00CE76FF"/>
    <w:rsid w:val="00CE7728"/>
    <w:rsid w:val="00CE79FD"/>
    <w:rsid w:val="00CE7B06"/>
    <w:rsid w:val="00CE7EC0"/>
    <w:rsid w:val="00CE7FDF"/>
    <w:rsid w:val="00CF021E"/>
    <w:rsid w:val="00CF0522"/>
    <w:rsid w:val="00CF0696"/>
    <w:rsid w:val="00CF06CA"/>
    <w:rsid w:val="00CF0959"/>
    <w:rsid w:val="00CF0D3F"/>
    <w:rsid w:val="00CF0ECA"/>
    <w:rsid w:val="00CF10A0"/>
    <w:rsid w:val="00CF11A6"/>
    <w:rsid w:val="00CF12E9"/>
    <w:rsid w:val="00CF1691"/>
    <w:rsid w:val="00CF1737"/>
    <w:rsid w:val="00CF19AB"/>
    <w:rsid w:val="00CF1B81"/>
    <w:rsid w:val="00CF1BFC"/>
    <w:rsid w:val="00CF1C1A"/>
    <w:rsid w:val="00CF1D97"/>
    <w:rsid w:val="00CF1DFA"/>
    <w:rsid w:val="00CF2397"/>
    <w:rsid w:val="00CF271C"/>
    <w:rsid w:val="00CF2B80"/>
    <w:rsid w:val="00CF2B90"/>
    <w:rsid w:val="00CF2C53"/>
    <w:rsid w:val="00CF2C77"/>
    <w:rsid w:val="00CF2D4C"/>
    <w:rsid w:val="00CF2FE9"/>
    <w:rsid w:val="00CF31AE"/>
    <w:rsid w:val="00CF340D"/>
    <w:rsid w:val="00CF3506"/>
    <w:rsid w:val="00CF381C"/>
    <w:rsid w:val="00CF389D"/>
    <w:rsid w:val="00CF3E02"/>
    <w:rsid w:val="00CF40B8"/>
    <w:rsid w:val="00CF4465"/>
    <w:rsid w:val="00CF44FF"/>
    <w:rsid w:val="00CF4503"/>
    <w:rsid w:val="00CF4600"/>
    <w:rsid w:val="00CF46C9"/>
    <w:rsid w:val="00CF4CC7"/>
    <w:rsid w:val="00CF4DFB"/>
    <w:rsid w:val="00CF4EC7"/>
    <w:rsid w:val="00CF51BB"/>
    <w:rsid w:val="00CF52D8"/>
    <w:rsid w:val="00CF5431"/>
    <w:rsid w:val="00CF54BE"/>
    <w:rsid w:val="00CF579E"/>
    <w:rsid w:val="00CF57A6"/>
    <w:rsid w:val="00CF57AC"/>
    <w:rsid w:val="00CF5900"/>
    <w:rsid w:val="00CF59FC"/>
    <w:rsid w:val="00CF5A79"/>
    <w:rsid w:val="00CF5A8C"/>
    <w:rsid w:val="00CF5AF0"/>
    <w:rsid w:val="00CF5FA0"/>
    <w:rsid w:val="00CF6148"/>
    <w:rsid w:val="00CF631D"/>
    <w:rsid w:val="00CF6332"/>
    <w:rsid w:val="00CF639B"/>
    <w:rsid w:val="00CF682B"/>
    <w:rsid w:val="00CF69BF"/>
    <w:rsid w:val="00CF6B0D"/>
    <w:rsid w:val="00CF6B88"/>
    <w:rsid w:val="00CF6B8D"/>
    <w:rsid w:val="00CF6C0D"/>
    <w:rsid w:val="00CF6EFA"/>
    <w:rsid w:val="00CF70D0"/>
    <w:rsid w:val="00CF7279"/>
    <w:rsid w:val="00CF72A6"/>
    <w:rsid w:val="00CF7309"/>
    <w:rsid w:val="00CF74BE"/>
    <w:rsid w:val="00CF74FA"/>
    <w:rsid w:val="00CF7665"/>
    <w:rsid w:val="00CF780E"/>
    <w:rsid w:val="00CF7AB5"/>
    <w:rsid w:val="00CF7B3A"/>
    <w:rsid w:val="00CF7B4A"/>
    <w:rsid w:val="00CF7C31"/>
    <w:rsid w:val="00CF7C3D"/>
    <w:rsid w:val="00CF7CB9"/>
    <w:rsid w:val="00CF7E0C"/>
    <w:rsid w:val="00CF7E88"/>
    <w:rsid w:val="00CF7F93"/>
    <w:rsid w:val="00D000BE"/>
    <w:rsid w:val="00D00226"/>
    <w:rsid w:val="00D002AB"/>
    <w:rsid w:val="00D002CA"/>
    <w:rsid w:val="00D00490"/>
    <w:rsid w:val="00D00745"/>
    <w:rsid w:val="00D00B54"/>
    <w:rsid w:val="00D00B5D"/>
    <w:rsid w:val="00D00D51"/>
    <w:rsid w:val="00D00E74"/>
    <w:rsid w:val="00D00EC7"/>
    <w:rsid w:val="00D00F19"/>
    <w:rsid w:val="00D01319"/>
    <w:rsid w:val="00D013A4"/>
    <w:rsid w:val="00D01422"/>
    <w:rsid w:val="00D01439"/>
    <w:rsid w:val="00D0143C"/>
    <w:rsid w:val="00D01446"/>
    <w:rsid w:val="00D01496"/>
    <w:rsid w:val="00D0176C"/>
    <w:rsid w:val="00D01A22"/>
    <w:rsid w:val="00D01ABF"/>
    <w:rsid w:val="00D01BDB"/>
    <w:rsid w:val="00D01CC9"/>
    <w:rsid w:val="00D01D25"/>
    <w:rsid w:val="00D01F21"/>
    <w:rsid w:val="00D021E8"/>
    <w:rsid w:val="00D02282"/>
    <w:rsid w:val="00D025DC"/>
    <w:rsid w:val="00D02799"/>
    <w:rsid w:val="00D029FC"/>
    <w:rsid w:val="00D029FD"/>
    <w:rsid w:val="00D02B32"/>
    <w:rsid w:val="00D02BA1"/>
    <w:rsid w:val="00D02D85"/>
    <w:rsid w:val="00D03195"/>
    <w:rsid w:val="00D03244"/>
    <w:rsid w:val="00D03556"/>
    <w:rsid w:val="00D03568"/>
    <w:rsid w:val="00D0363E"/>
    <w:rsid w:val="00D03733"/>
    <w:rsid w:val="00D0391C"/>
    <w:rsid w:val="00D03C67"/>
    <w:rsid w:val="00D03CDB"/>
    <w:rsid w:val="00D03E3C"/>
    <w:rsid w:val="00D03E94"/>
    <w:rsid w:val="00D04053"/>
    <w:rsid w:val="00D040FC"/>
    <w:rsid w:val="00D04104"/>
    <w:rsid w:val="00D041D7"/>
    <w:rsid w:val="00D04383"/>
    <w:rsid w:val="00D0442D"/>
    <w:rsid w:val="00D04661"/>
    <w:rsid w:val="00D0475D"/>
    <w:rsid w:val="00D04A26"/>
    <w:rsid w:val="00D04C79"/>
    <w:rsid w:val="00D04C91"/>
    <w:rsid w:val="00D04D1C"/>
    <w:rsid w:val="00D053FF"/>
    <w:rsid w:val="00D054D6"/>
    <w:rsid w:val="00D0579D"/>
    <w:rsid w:val="00D05826"/>
    <w:rsid w:val="00D05A86"/>
    <w:rsid w:val="00D05B0B"/>
    <w:rsid w:val="00D05BE9"/>
    <w:rsid w:val="00D05C7C"/>
    <w:rsid w:val="00D05CE5"/>
    <w:rsid w:val="00D05DDB"/>
    <w:rsid w:val="00D05FA6"/>
    <w:rsid w:val="00D0601C"/>
    <w:rsid w:val="00D06258"/>
    <w:rsid w:val="00D0626F"/>
    <w:rsid w:val="00D0635B"/>
    <w:rsid w:val="00D0636F"/>
    <w:rsid w:val="00D065B4"/>
    <w:rsid w:val="00D067E9"/>
    <w:rsid w:val="00D068E6"/>
    <w:rsid w:val="00D06960"/>
    <w:rsid w:val="00D06B72"/>
    <w:rsid w:val="00D06BAD"/>
    <w:rsid w:val="00D06BEC"/>
    <w:rsid w:val="00D06C0C"/>
    <w:rsid w:val="00D07159"/>
    <w:rsid w:val="00D0779B"/>
    <w:rsid w:val="00D077C4"/>
    <w:rsid w:val="00D078A3"/>
    <w:rsid w:val="00D07AF9"/>
    <w:rsid w:val="00D07C0D"/>
    <w:rsid w:val="00D1001E"/>
    <w:rsid w:val="00D102BC"/>
    <w:rsid w:val="00D103CC"/>
    <w:rsid w:val="00D106A2"/>
    <w:rsid w:val="00D107B1"/>
    <w:rsid w:val="00D1092A"/>
    <w:rsid w:val="00D10AAE"/>
    <w:rsid w:val="00D10E2B"/>
    <w:rsid w:val="00D10E8C"/>
    <w:rsid w:val="00D10EC1"/>
    <w:rsid w:val="00D10F16"/>
    <w:rsid w:val="00D110A5"/>
    <w:rsid w:val="00D111D5"/>
    <w:rsid w:val="00D1165C"/>
    <w:rsid w:val="00D117F5"/>
    <w:rsid w:val="00D1185E"/>
    <w:rsid w:val="00D118E4"/>
    <w:rsid w:val="00D1197B"/>
    <w:rsid w:val="00D11BFA"/>
    <w:rsid w:val="00D11FB6"/>
    <w:rsid w:val="00D11FDA"/>
    <w:rsid w:val="00D120C2"/>
    <w:rsid w:val="00D121B5"/>
    <w:rsid w:val="00D124BD"/>
    <w:rsid w:val="00D126C8"/>
    <w:rsid w:val="00D1285F"/>
    <w:rsid w:val="00D12928"/>
    <w:rsid w:val="00D12A83"/>
    <w:rsid w:val="00D12BFF"/>
    <w:rsid w:val="00D12D1B"/>
    <w:rsid w:val="00D12F85"/>
    <w:rsid w:val="00D13158"/>
    <w:rsid w:val="00D13202"/>
    <w:rsid w:val="00D13604"/>
    <w:rsid w:val="00D13806"/>
    <w:rsid w:val="00D1385C"/>
    <w:rsid w:val="00D13E6B"/>
    <w:rsid w:val="00D13FFC"/>
    <w:rsid w:val="00D1416B"/>
    <w:rsid w:val="00D147E4"/>
    <w:rsid w:val="00D1480F"/>
    <w:rsid w:val="00D14CBC"/>
    <w:rsid w:val="00D14F52"/>
    <w:rsid w:val="00D1511C"/>
    <w:rsid w:val="00D15143"/>
    <w:rsid w:val="00D15194"/>
    <w:rsid w:val="00D15385"/>
    <w:rsid w:val="00D15427"/>
    <w:rsid w:val="00D1548F"/>
    <w:rsid w:val="00D154EE"/>
    <w:rsid w:val="00D159A5"/>
    <w:rsid w:val="00D15D47"/>
    <w:rsid w:val="00D15DCC"/>
    <w:rsid w:val="00D15DD9"/>
    <w:rsid w:val="00D16284"/>
    <w:rsid w:val="00D16727"/>
    <w:rsid w:val="00D168F1"/>
    <w:rsid w:val="00D16D97"/>
    <w:rsid w:val="00D16DBF"/>
    <w:rsid w:val="00D171B5"/>
    <w:rsid w:val="00D1743C"/>
    <w:rsid w:val="00D1752B"/>
    <w:rsid w:val="00D17740"/>
    <w:rsid w:val="00D17984"/>
    <w:rsid w:val="00D17A48"/>
    <w:rsid w:val="00D17E3F"/>
    <w:rsid w:val="00D201A6"/>
    <w:rsid w:val="00D202C3"/>
    <w:rsid w:val="00D2080C"/>
    <w:rsid w:val="00D2086F"/>
    <w:rsid w:val="00D20961"/>
    <w:rsid w:val="00D20A04"/>
    <w:rsid w:val="00D20B54"/>
    <w:rsid w:val="00D20E54"/>
    <w:rsid w:val="00D210C1"/>
    <w:rsid w:val="00D21477"/>
    <w:rsid w:val="00D2147C"/>
    <w:rsid w:val="00D214C8"/>
    <w:rsid w:val="00D216CB"/>
    <w:rsid w:val="00D2172D"/>
    <w:rsid w:val="00D21855"/>
    <w:rsid w:val="00D21AD1"/>
    <w:rsid w:val="00D21E60"/>
    <w:rsid w:val="00D22009"/>
    <w:rsid w:val="00D2204E"/>
    <w:rsid w:val="00D22410"/>
    <w:rsid w:val="00D22675"/>
    <w:rsid w:val="00D2292F"/>
    <w:rsid w:val="00D22A77"/>
    <w:rsid w:val="00D22D6C"/>
    <w:rsid w:val="00D22EAB"/>
    <w:rsid w:val="00D2313C"/>
    <w:rsid w:val="00D2317E"/>
    <w:rsid w:val="00D231FD"/>
    <w:rsid w:val="00D23551"/>
    <w:rsid w:val="00D2357F"/>
    <w:rsid w:val="00D235D4"/>
    <w:rsid w:val="00D235FB"/>
    <w:rsid w:val="00D238F5"/>
    <w:rsid w:val="00D23B9E"/>
    <w:rsid w:val="00D23CEA"/>
    <w:rsid w:val="00D23F01"/>
    <w:rsid w:val="00D242F5"/>
    <w:rsid w:val="00D242FC"/>
    <w:rsid w:val="00D24429"/>
    <w:rsid w:val="00D24B53"/>
    <w:rsid w:val="00D24C5F"/>
    <w:rsid w:val="00D2505E"/>
    <w:rsid w:val="00D2576C"/>
    <w:rsid w:val="00D25811"/>
    <w:rsid w:val="00D25904"/>
    <w:rsid w:val="00D25B7C"/>
    <w:rsid w:val="00D25E19"/>
    <w:rsid w:val="00D25E82"/>
    <w:rsid w:val="00D2623F"/>
    <w:rsid w:val="00D262B0"/>
    <w:rsid w:val="00D265F5"/>
    <w:rsid w:val="00D26A20"/>
    <w:rsid w:val="00D26BE1"/>
    <w:rsid w:val="00D26C65"/>
    <w:rsid w:val="00D26F83"/>
    <w:rsid w:val="00D271EC"/>
    <w:rsid w:val="00D2739E"/>
    <w:rsid w:val="00D273BE"/>
    <w:rsid w:val="00D2770D"/>
    <w:rsid w:val="00D278FD"/>
    <w:rsid w:val="00D27B6D"/>
    <w:rsid w:val="00D27B88"/>
    <w:rsid w:val="00D27C94"/>
    <w:rsid w:val="00D3004E"/>
    <w:rsid w:val="00D3033B"/>
    <w:rsid w:val="00D30414"/>
    <w:rsid w:val="00D304F9"/>
    <w:rsid w:val="00D305F8"/>
    <w:rsid w:val="00D30654"/>
    <w:rsid w:val="00D306B5"/>
    <w:rsid w:val="00D306E7"/>
    <w:rsid w:val="00D30702"/>
    <w:rsid w:val="00D30747"/>
    <w:rsid w:val="00D30775"/>
    <w:rsid w:val="00D30A58"/>
    <w:rsid w:val="00D30E89"/>
    <w:rsid w:val="00D30F7E"/>
    <w:rsid w:val="00D3103F"/>
    <w:rsid w:val="00D310C2"/>
    <w:rsid w:val="00D31101"/>
    <w:rsid w:val="00D311EB"/>
    <w:rsid w:val="00D312E3"/>
    <w:rsid w:val="00D31301"/>
    <w:rsid w:val="00D31420"/>
    <w:rsid w:val="00D315DE"/>
    <w:rsid w:val="00D31763"/>
    <w:rsid w:val="00D31781"/>
    <w:rsid w:val="00D31910"/>
    <w:rsid w:val="00D31A01"/>
    <w:rsid w:val="00D31C9F"/>
    <w:rsid w:val="00D31D2C"/>
    <w:rsid w:val="00D31EA0"/>
    <w:rsid w:val="00D320FB"/>
    <w:rsid w:val="00D32419"/>
    <w:rsid w:val="00D325B6"/>
    <w:rsid w:val="00D326D8"/>
    <w:rsid w:val="00D32863"/>
    <w:rsid w:val="00D329EC"/>
    <w:rsid w:val="00D329F3"/>
    <w:rsid w:val="00D32A94"/>
    <w:rsid w:val="00D32AB9"/>
    <w:rsid w:val="00D32B0B"/>
    <w:rsid w:val="00D32B63"/>
    <w:rsid w:val="00D32DFD"/>
    <w:rsid w:val="00D33009"/>
    <w:rsid w:val="00D33011"/>
    <w:rsid w:val="00D330B3"/>
    <w:rsid w:val="00D331B7"/>
    <w:rsid w:val="00D33353"/>
    <w:rsid w:val="00D33366"/>
    <w:rsid w:val="00D335F2"/>
    <w:rsid w:val="00D338D6"/>
    <w:rsid w:val="00D338D9"/>
    <w:rsid w:val="00D33955"/>
    <w:rsid w:val="00D33959"/>
    <w:rsid w:val="00D339DE"/>
    <w:rsid w:val="00D33C00"/>
    <w:rsid w:val="00D33E9F"/>
    <w:rsid w:val="00D33EAA"/>
    <w:rsid w:val="00D34307"/>
    <w:rsid w:val="00D3437E"/>
    <w:rsid w:val="00D3450A"/>
    <w:rsid w:val="00D3473B"/>
    <w:rsid w:val="00D348CF"/>
    <w:rsid w:val="00D34A75"/>
    <w:rsid w:val="00D34E37"/>
    <w:rsid w:val="00D34F50"/>
    <w:rsid w:val="00D35085"/>
    <w:rsid w:val="00D35463"/>
    <w:rsid w:val="00D35618"/>
    <w:rsid w:val="00D35636"/>
    <w:rsid w:val="00D3586E"/>
    <w:rsid w:val="00D35B89"/>
    <w:rsid w:val="00D35D5E"/>
    <w:rsid w:val="00D35E82"/>
    <w:rsid w:val="00D3605E"/>
    <w:rsid w:val="00D3609E"/>
    <w:rsid w:val="00D360BE"/>
    <w:rsid w:val="00D36235"/>
    <w:rsid w:val="00D362D4"/>
    <w:rsid w:val="00D363EA"/>
    <w:rsid w:val="00D36432"/>
    <w:rsid w:val="00D3656F"/>
    <w:rsid w:val="00D3657D"/>
    <w:rsid w:val="00D365A9"/>
    <w:rsid w:val="00D36686"/>
    <w:rsid w:val="00D36AAD"/>
    <w:rsid w:val="00D36B10"/>
    <w:rsid w:val="00D36BD2"/>
    <w:rsid w:val="00D36E5C"/>
    <w:rsid w:val="00D3700B"/>
    <w:rsid w:val="00D37209"/>
    <w:rsid w:val="00D372A1"/>
    <w:rsid w:val="00D37365"/>
    <w:rsid w:val="00D37647"/>
    <w:rsid w:val="00D3776D"/>
    <w:rsid w:val="00D37866"/>
    <w:rsid w:val="00D37AAA"/>
    <w:rsid w:val="00D37CDE"/>
    <w:rsid w:val="00D403EA"/>
    <w:rsid w:val="00D404D1"/>
    <w:rsid w:val="00D40677"/>
    <w:rsid w:val="00D406D6"/>
    <w:rsid w:val="00D40809"/>
    <w:rsid w:val="00D409BE"/>
    <w:rsid w:val="00D40A40"/>
    <w:rsid w:val="00D40AA1"/>
    <w:rsid w:val="00D40F8F"/>
    <w:rsid w:val="00D40FD9"/>
    <w:rsid w:val="00D40FF4"/>
    <w:rsid w:val="00D4103F"/>
    <w:rsid w:val="00D4109E"/>
    <w:rsid w:val="00D4116C"/>
    <w:rsid w:val="00D411E8"/>
    <w:rsid w:val="00D41345"/>
    <w:rsid w:val="00D414A5"/>
    <w:rsid w:val="00D4162D"/>
    <w:rsid w:val="00D41A93"/>
    <w:rsid w:val="00D41CAB"/>
    <w:rsid w:val="00D41D82"/>
    <w:rsid w:val="00D41FF4"/>
    <w:rsid w:val="00D4204F"/>
    <w:rsid w:val="00D4206D"/>
    <w:rsid w:val="00D4230E"/>
    <w:rsid w:val="00D424D7"/>
    <w:rsid w:val="00D42600"/>
    <w:rsid w:val="00D42661"/>
    <w:rsid w:val="00D42802"/>
    <w:rsid w:val="00D42ED4"/>
    <w:rsid w:val="00D43061"/>
    <w:rsid w:val="00D4308E"/>
    <w:rsid w:val="00D430E2"/>
    <w:rsid w:val="00D43516"/>
    <w:rsid w:val="00D43523"/>
    <w:rsid w:val="00D4378A"/>
    <w:rsid w:val="00D43823"/>
    <w:rsid w:val="00D439F5"/>
    <w:rsid w:val="00D43BFD"/>
    <w:rsid w:val="00D43C8E"/>
    <w:rsid w:val="00D43E48"/>
    <w:rsid w:val="00D43F18"/>
    <w:rsid w:val="00D43F32"/>
    <w:rsid w:val="00D4447F"/>
    <w:rsid w:val="00D44948"/>
    <w:rsid w:val="00D449CE"/>
    <w:rsid w:val="00D44A57"/>
    <w:rsid w:val="00D44C4A"/>
    <w:rsid w:val="00D44F38"/>
    <w:rsid w:val="00D45301"/>
    <w:rsid w:val="00D458A4"/>
    <w:rsid w:val="00D458E0"/>
    <w:rsid w:val="00D45A50"/>
    <w:rsid w:val="00D45A61"/>
    <w:rsid w:val="00D45B6F"/>
    <w:rsid w:val="00D45C0A"/>
    <w:rsid w:val="00D45C7A"/>
    <w:rsid w:val="00D45CB5"/>
    <w:rsid w:val="00D45D4E"/>
    <w:rsid w:val="00D46275"/>
    <w:rsid w:val="00D462AA"/>
    <w:rsid w:val="00D4644F"/>
    <w:rsid w:val="00D464A2"/>
    <w:rsid w:val="00D464B6"/>
    <w:rsid w:val="00D46661"/>
    <w:rsid w:val="00D4668D"/>
    <w:rsid w:val="00D4668F"/>
    <w:rsid w:val="00D46780"/>
    <w:rsid w:val="00D46AC3"/>
    <w:rsid w:val="00D46C4D"/>
    <w:rsid w:val="00D46EC3"/>
    <w:rsid w:val="00D472F3"/>
    <w:rsid w:val="00D47436"/>
    <w:rsid w:val="00D47485"/>
    <w:rsid w:val="00D47633"/>
    <w:rsid w:val="00D4763B"/>
    <w:rsid w:val="00D478AA"/>
    <w:rsid w:val="00D47AA4"/>
    <w:rsid w:val="00D47DD4"/>
    <w:rsid w:val="00D50091"/>
    <w:rsid w:val="00D50158"/>
    <w:rsid w:val="00D50339"/>
    <w:rsid w:val="00D5034F"/>
    <w:rsid w:val="00D504BD"/>
    <w:rsid w:val="00D5050D"/>
    <w:rsid w:val="00D506B8"/>
    <w:rsid w:val="00D50950"/>
    <w:rsid w:val="00D50BC0"/>
    <w:rsid w:val="00D50DA1"/>
    <w:rsid w:val="00D50E36"/>
    <w:rsid w:val="00D50EE1"/>
    <w:rsid w:val="00D50F6B"/>
    <w:rsid w:val="00D50F83"/>
    <w:rsid w:val="00D50FC9"/>
    <w:rsid w:val="00D5121D"/>
    <w:rsid w:val="00D51222"/>
    <w:rsid w:val="00D51334"/>
    <w:rsid w:val="00D51371"/>
    <w:rsid w:val="00D51499"/>
    <w:rsid w:val="00D514F1"/>
    <w:rsid w:val="00D51626"/>
    <w:rsid w:val="00D51713"/>
    <w:rsid w:val="00D51A90"/>
    <w:rsid w:val="00D51DD6"/>
    <w:rsid w:val="00D51DFC"/>
    <w:rsid w:val="00D51ED7"/>
    <w:rsid w:val="00D51F08"/>
    <w:rsid w:val="00D5228D"/>
    <w:rsid w:val="00D522EE"/>
    <w:rsid w:val="00D525E7"/>
    <w:rsid w:val="00D52658"/>
    <w:rsid w:val="00D52745"/>
    <w:rsid w:val="00D52775"/>
    <w:rsid w:val="00D529D8"/>
    <w:rsid w:val="00D52A51"/>
    <w:rsid w:val="00D52AD7"/>
    <w:rsid w:val="00D52DA6"/>
    <w:rsid w:val="00D52DA7"/>
    <w:rsid w:val="00D52E6E"/>
    <w:rsid w:val="00D52FDD"/>
    <w:rsid w:val="00D53011"/>
    <w:rsid w:val="00D53147"/>
    <w:rsid w:val="00D5318D"/>
    <w:rsid w:val="00D5320C"/>
    <w:rsid w:val="00D536DC"/>
    <w:rsid w:val="00D536F0"/>
    <w:rsid w:val="00D537BE"/>
    <w:rsid w:val="00D5394B"/>
    <w:rsid w:val="00D539E0"/>
    <w:rsid w:val="00D53CC8"/>
    <w:rsid w:val="00D53D62"/>
    <w:rsid w:val="00D53E47"/>
    <w:rsid w:val="00D53F1B"/>
    <w:rsid w:val="00D53F1D"/>
    <w:rsid w:val="00D5401A"/>
    <w:rsid w:val="00D540D8"/>
    <w:rsid w:val="00D54152"/>
    <w:rsid w:val="00D543AA"/>
    <w:rsid w:val="00D5449F"/>
    <w:rsid w:val="00D545CC"/>
    <w:rsid w:val="00D54686"/>
    <w:rsid w:val="00D5472E"/>
    <w:rsid w:val="00D547A1"/>
    <w:rsid w:val="00D54887"/>
    <w:rsid w:val="00D54943"/>
    <w:rsid w:val="00D54AB0"/>
    <w:rsid w:val="00D54AB2"/>
    <w:rsid w:val="00D54B2E"/>
    <w:rsid w:val="00D54D00"/>
    <w:rsid w:val="00D54D93"/>
    <w:rsid w:val="00D550E4"/>
    <w:rsid w:val="00D551B8"/>
    <w:rsid w:val="00D5543A"/>
    <w:rsid w:val="00D5543C"/>
    <w:rsid w:val="00D555C4"/>
    <w:rsid w:val="00D55889"/>
    <w:rsid w:val="00D559DE"/>
    <w:rsid w:val="00D55AFC"/>
    <w:rsid w:val="00D55F00"/>
    <w:rsid w:val="00D55F70"/>
    <w:rsid w:val="00D56C16"/>
    <w:rsid w:val="00D56DD6"/>
    <w:rsid w:val="00D56EEC"/>
    <w:rsid w:val="00D57262"/>
    <w:rsid w:val="00D572AD"/>
    <w:rsid w:val="00D573B0"/>
    <w:rsid w:val="00D573CD"/>
    <w:rsid w:val="00D57512"/>
    <w:rsid w:val="00D575E1"/>
    <w:rsid w:val="00D579C3"/>
    <w:rsid w:val="00D57A6F"/>
    <w:rsid w:val="00D57B15"/>
    <w:rsid w:val="00D57CAA"/>
    <w:rsid w:val="00D57D23"/>
    <w:rsid w:val="00D57E30"/>
    <w:rsid w:val="00D6018A"/>
    <w:rsid w:val="00D60DA3"/>
    <w:rsid w:val="00D60E73"/>
    <w:rsid w:val="00D60FD6"/>
    <w:rsid w:val="00D61BE5"/>
    <w:rsid w:val="00D61C8C"/>
    <w:rsid w:val="00D61F26"/>
    <w:rsid w:val="00D62068"/>
    <w:rsid w:val="00D621CA"/>
    <w:rsid w:val="00D62476"/>
    <w:rsid w:val="00D627D5"/>
    <w:rsid w:val="00D62874"/>
    <w:rsid w:val="00D628FC"/>
    <w:rsid w:val="00D62A66"/>
    <w:rsid w:val="00D62C2E"/>
    <w:rsid w:val="00D62CF0"/>
    <w:rsid w:val="00D62DC5"/>
    <w:rsid w:val="00D6310F"/>
    <w:rsid w:val="00D6382A"/>
    <w:rsid w:val="00D63A56"/>
    <w:rsid w:val="00D63CC8"/>
    <w:rsid w:val="00D63CEF"/>
    <w:rsid w:val="00D64044"/>
    <w:rsid w:val="00D64129"/>
    <w:rsid w:val="00D6414E"/>
    <w:rsid w:val="00D64193"/>
    <w:rsid w:val="00D642E3"/>
    <w:rsid w:val="00D6448F"/>
    <w:rsid w:val="00D64592"/>
    <w:rsid w:val="00D64A3B"/>
    <w:rsid w:val="00D65330"/>
    <w:rsid w:val="00D653F1"/>
    <w:rsid w:val="00D6552D"/>
    <w:rsid w:val="00D65BA8"/>
    <w:rsid w:val="00D66089"/>
    <w:rsid w:val="00D66303"/>
    <w:rsid w:val="00D66325"/>
    <w:rsid w:val="00D66464"/>
    <w:rsid w:val="00D6680A"/>
    <w:rsid w:val="00D66929"/>
    <w:rsid w:val="00D66A42"/>
    <w:rsid w:val="00D66A7D"/>
    <w:rsid w:val="00D66E32"/>
    <w:rsid w:val="00D67288"/>
    <w:rsid w:val="00D67371"/>
    <w:rsid w:val="00D679A9"/>
    <w:rsid w:val="00D67A32"/>
    <w:rsid w:val="00D67D37"/>
    <w:rsid w:val="00D67F7D"/>
    <w:rsid w:val="00D701DF"/>
    <w:rsid w:val="00D706E3"/>
    <w:rsid w:val="00D706E9"/>
    <w:rsid w:val="00D70AEC"/>
    <w:rsid w:val="00D71153"/>
    <w:rsid w:val="00D71325"/>
    <w:rsid w:val="00D71893"/>
    <w:rsid w:val="00D71B00"/>
    <w:rsid w:val="00D71B20"/>
    <w:rsid w:val="00D71C05"/>
    <w:rsid w:val="00D721C5"/>
    <w:rsid w:val="00D72371"/>
    <w:rsid w:val="00D7248C"/>
    <w:rsid w:val="00D72883"/>
    <w:rsid w:val="00D7295C"/>
    <w:rsid w:val="00D729EA"/>
    <w:rsid w:val="00D72B9E"/>
    <w:rsid w:val="00D72E10"/>
    <w:rsid w:val="00D72EE2"/>
    <w:rsid w:val="00D733EE"/>
    <w:rsid w:val="00D73B75"/>
    <w:rsid w:val="00D73E38"/>
    <w:rsid w:val="00D73E65"/>
    <w:rsid w:val="00D73E83"/>
    <w:rsid w:val="00D740EB"/>
    <w:rsid w:val="00D743EF"/>
    <w:rsid w:val="00D744C1"/>
    <w:rsid w:val="00D74D32"/>
    <w:rsid w:val="00D74EA8"/>
    <w:rsid w:val="00D74FCB"/>
    <w:rsid w:val="00D75212"/>
    <w:rsid w:val="00D75220"/>
    <w:rsid w:val="00D752EE"/>
    <w:rsid w:val="00D75376"/>
    <w:rsid w:val="00D7547C"/>
    <w:rsid w:val="00D758F8"/>
    <w:rsid w:val="00D75A96"/>
    <w:rsid w:val="00D75DDB"/>
    <w:rsid w:val="00D75F62"/>
    <w:rsid w:val="00D76016"/>
    <w:rsid w:val="00D7605D"/>
    <w:rsid w:val="00D762B4"/>
    <w:rsid w:val="00D763E2"/>
    <w:rsid w:val="00D76502"/>
    <w:rsid w:val="00D76543"/>
    <w:rsid w:val="00D76678"/>
    <w:rsid w:val="00D76A8C"/>
    <w:rsid w:val="00D76C8B"/>
    <w:rsid w:val="00D76C98"/>
    <w:rsid w:val="00D76CFB"/>
    <w:rsid w:val="00D76D39"/>
    <w:rsid w:val="00D76F53"/>
    <w:rsid w:val="00D77194"/>
    <w:rsid w:val="00D77332"/>
    <w:rsid w:val="00D7765D"/>
    <w:rsid w:val="00D7798F"/>
    <w:rsid w:val="00D779AA"/>
    <w:rsid w:val="00D77B39"/>
    <w:rsid w:val="00D77CB7"/>
    <w:rsid w:val="00D77CFD"/>
    <w:rsid w:val="00D77EB0"/>
    <w:rsid w:val="00D8015D"/>
    <w:rsid w:val="00D80508"/>
    <w:rsid w:val="00D80704"/>
    <w:rsid w:val="00D808EE"/>
    <w:rsid w:val="00D80BF8"/>
    <w:rsid w:val="00D80DE4"/>
    <w:rsid w:val="00D811EA"/>
    <w:rsid w:val="00D814BD"/>
    <w:rsid w:val="00D8172D"/>
    <w:rsid w:val="00D8176A"/>
    <w:rsid w:val="00D81926"/>
    <w:rsid w:val="00D81C09"/>
    <w:rsid w:val="00D81D36"/>
    <w:rsid w:val="00D81EDD"/>
    <w:rsid w:val="00D821F3"/>
    <w:rsid w:val="00D822BC"/>
    <w:rsid w:val="00D82430"/>
    <w:rsid w:val="00D8247F"/>
    <w:rsid w:val="00D824DC"/>
    <w:rsid w:val="00D825FC"/>
    <w:rsid w:val="00D8266D"/>
    <w:rsid w:val="00D82767"/>
    <w:rsid w:val="00D827B9"/>
    <w:rsid w:val="00D82D82"/>
    <w:rsid w:val="00D82ED2"/>
    <w:rsid w:val="00D83033"/>
    <w:rsid w:val="00D83067"/>
    <w:rsid w:val="00D8353C"/>
    <w:rsid w:val="00D83581"/>
    <w:rsid w:val="00D83841"/>
    <w:rsid w:val="00D838A9"/>
    <w:rsid w:val="00D83E2B"/>
    <w:rsid w:val="00D841EB"/>
    <w:rsid w:val="00D8469D"/>
    <w:rsid w:val="00D84DD9"/>
    <w:rsid w:val="00D856B0"/>
    <w:rsid w:val="00D85A47"/>
    <w:rsid w:val="00D85C2C"/>
    <w:rsid w:val="00D86057"/>
    <w:rsid w:val="00D8655B"/>
    <w:rsid w:val="00D8673B"/>
    <w:rsid w:val="00D867F2"/>
    <w:rsid w:val="00D86956"/>
    <w:rsid w:val="00D86B49"/>
    <w:rsid w:val="00D86BA4"/>
    <w:rsid w:val="00D86C94"/>
    <w:rsid w:val="00D86D83"/>
    <w:rsid w:val="00D86DE9"/>
    <w:rsid w:val="00D86F2E"/>
    <w:rsid w:val="00D87417"/>
    <w:rsid w:val="00D875F1"/>
    <w:rsid w:val="00D875F9"/>
    <w:rsid w:val="00D87673"/>
    <w:rsid w:val="00D8770B"/>
    <w:rsid w:val="00D877BC"/>
    <w:rsid w:val="00D8795C"/>
    <w:rsid w:val="00D87BF8"/>
    <w:rsid w:val="00D87D33"/>
    <w:rsid w:val="00D902B8"/>
    <w:rsid w:val="00D903F9"/>
    <w:rsid w:val="00D90636"/>
    <w:rsid w:val="00D90734"/>
    <w:rsid w:val="00D908E7"/>
    <w:rsid w:val="00D909E2"/>
    <w:rsid w:val="00D90A60"/>
    <w:rsid w:val="00D90A7F"/>
    <w:rsid w:val="00D90E2D"/>
    <w:rsid w:val="00D90FF7"/>
    <w:rsid w:val="00D91281"/>
    <w:rsid w:val="00D914D2"/>
    <w:rsid w:val="00D9173F"/>
    <w:rsid w:val="00D917A2"/>
    <w:rsid w:val="00D91945"/>
    <w:rsid w:val="00D91E0A"/>
    <w:rsid w:val="00D91E85"/>
    <w:rsid w:val="00D9218D"/>
    <w:rsid w:val="00D927EE"/>
    <w:rsid w:val="00D92B16"/>
    <w:rsid w:val="00D92B76"/>
    <w:rsid w:val="00D92C29"/>
    <w:rsid w:val="00D92FFC"/>
    <w:rsid w:val="00D93011"/>
    <w:rsid w:val="00D93631"/>
    <w:rsid w:val="00D936B4"/>
    <w:rsid w:val="00D93726"/>
    <w:rsid w:val="00D93867"/>
    <w:rsid w:val="00D93B3B"/>
    <w:rsid w:val="00D93BFB"/>
    <w:rsid w:val="00D94086"/>
    <w:rsid w:val="00D942C6"/>
    <w:rsid w:val="00D9430A"/>
    <w:rsid w:val="00D94388"/>
    <w:rsid w:val="00D943CB"/>
    <w:rsid w:val="00D94477"/>
    <w:rsid w:val="00D9455D"/>
    <w:rsid w:val="00D945BB"/>
    <w:rsid w:val="00D9462A"/>
    <w:rsid w:val="00D94766"/>
    <w:rsid w:val="00D94865"/>
    <w:rsid w:val="00D9488E"/>
    <w:rsid w:val="00D94C12"/>
    <w:rsid w:val="00D95189"/>
    <w:rsid w:val="00D95386"/>
    <w:rsid w:val="00D9541A"/>
    <w:rsid w:val="00D954B5"/>
    <w:rsid w:val="00D95592"/>
    <w:rsid w:val="00D956D5"/>
    <w:rsid w:val="00D95B93"/>
    <w:rsid w:val="00D95BBB"/>
    <w:rsid w:val="00D95D9C"/>
    <w:rsid w:val="00D95EBE"/>
    <w:rsid w:val="00D95F7A"/>
    <w:rsid w:val="00D96030"/>
    <w:rsid w:val="00D9615F"/>
    <w:rsid w:val="00D96586"/>
    <w:rsid w:val="00D9661C"/>
    <w:rsid w:val="00D968A2"/>
    <w:rsid w:val="00D96A11"/>
    <w:rsid w:val="00D96F0E"/>
    <w:rsid w:val="00D96F2E"/>
    <w:rsid w:val="00D97027"/>
    <w:rsid w:val="00D972F9"/>
    <w:rsid w:val="00D97379"/>
    <w:rsid w:val="00D97525"/>
    <w:rsid w:val="00D975FD"/>
    <w:rsid w:val="00D97901"/>
    <w:rsid w:val="00D979A9"/>
    <w:rsid w:val="00D979D7"/>
    <w:rsid w:val="00D97B27"/>
    <w:rsid w:val="00D97B89"/>
    <w:rsid w:val="00DA00C2"/>
    <w:rsid w:val="00DA0186"/>
    <w:rsid w:val="00DA026B"/>
    <w:rsid w:val="00DA02E2"/>
    <w:rsid w:val="00DA038C"/>
    <w:rsid w:val="00DA061A"/>
    <w:rsid w:val="00DA0A4A"/>
    <w:rsid w:val="00DA0AEF"/>
    <w:rsid w:val="00DA0C0A"/>
    <w:rsid w:val="00DA0D0F"/>
    <w:rsid w:val="00DA0D29"/>
    <w:rsid w:val="00DA0D99"/>
    <w:rsid w:val="00DA0EEA"/>
    <w:rsid w:val="00DA10B9"/>
    <w:rsid w:val="00DA12D8"/>
    <w:rsid w:val="00DA170A"/>
    <w:rsid w:val="00DA19EC"/>
    <w:rsid w:val="00DA1A4C"/>
    <w:rsid w:val="00DA2212"/>
    <w:rsid w:val="00DA22F3"/>
    <w:rsid w:val="00DA25AD"/>
    <w:rsid w:val="00DA2A39"/>
    <w:rsid w:val="00DA2CF7"/>
    <w:rsid w:val="00DA3132"/>
    <w:rsid w:val="00DA316E"/>
    <w:rsid w:val="00DA320B"/>
    <w:rsid w:val="00DA330E"/>
    <w:rsid w:val="00DA3400"/>
    <w:rsid w:val="00DA344E"/>
    <w:rsid w:val="00DA3562"/>
    <w:rsid w:val="00DA3624"/>
    <w:rsid w:val="00DA36B4"/>
    <w:rsid w:val="00DA38B3"/>
    <w:rsid w:val="00DA3935"/>
    <w:rsid w:val="00DA3A32"/>
    <w:rsid w:val="00DA3ADC"/>
    <w:rsid w:val="00DA3CCF"/>
    <w:rsid w:val="00DA3D51"/>
    <w:rsid w:val="00DA3F33"/>
    <w:rsid w:val="00DA40A4"/>
    <w:rsid w:val="00DA4184"/>
    <w:rsid w:val="00DA4400"/>
    <w:rsid w:val="00DA48FF"/>
    <w:rsid w:val="00DA495B"/>
    <w:rsid w:val="00DA4F42"/>
    <w:rsid w:val="00DA5047"/>
    <w:rsid w:val="00DA5098"/>
    <w:rsid w:val="00DA5193"/>
    <w:rsid w:val="00DA55C6"/>
    <w:rsid w:val="00DA588B"/>
    <w:rsid w:val="00DA5906"/>
    <w:rsid w:val="00DA5AB2"/>
    <w:rsid w:val="00DA5FD3"/>
    <w:rsid w:val="00DA610E"/>
    <w:rsid w:val="00DA6146"/>
    <w:rsid w:val="00DA61E4"/>
    <w:rsid w:val="00DA6770"/>
    <w:rsid w:val="00DA69DD"/>
    <w:rsid w:val="00DA6A42"/>
    <w:rsid w:val="00DA6CE3"/>
    <w:rsid w:val="00DA6DAC"/>
    <w:rsid w:val="00DA6F42"/>
    <w:rsid w:val="00DA70F6"/>
    <w:rsid w:val="00DA72C0"/>
    <w:rsid w:val="00DA7339"/>
    <w:rsid w:val="00DA75C3"/>
    <w:rsid w:val="00DA7782"/>
    <w:rsid w:val="00DA7BCC"/>
    <w:rsid w:val="00DA7C19"/>
    <w:rsid w:val="00DA7C4C"/>
    <w:rsid w:val="00DA7D5A"/>
    <w:rsid w:val="00DA7F3D"/>
    <w:rsid w:val="00DB0405"/>
    <w:rsid w:val="00DB06C3"/>
    <w:rsid w:val="00DB079D"/>
    <w:rsid w:val="00DB08BB"/>
    <w:rsid w:val="00DB0F8C"/>
    <w:rsid w:val="00DB10D7"/>
    <w:rsid w:val="00DB1161"/>
    <w:rsid w:val="00DB14E0"/>
    <w:rsid w:val="00DB1568"/>
    <w:rsid w:val="00DB16D5"/>
    <w:rsid w:val="00DB181D"/>
    <w:rsid w:val="00DB1843"/>
    <w:rsid w:val="00DB18E7"/>
    <w:rsid w:val="00DB1998"/>
    <w:rsid w:val="00DB1B82"/>
    <w:rsid w:val="00DB1CD9"/>
    <w:rsid w:val="00DB1CE0"/>
    <w:rsid w:val="00DB1DE6"/>
    <w:rsid w:val="00DB1E46"/>
    <w:rsid w:val="00DB1F0B"/>
    <w:rsid w:val="00DB232C"/>
    <w:rsid w:val="00DB24F7"/>
    <w:rsid w:val="00DB2562"/>
    <w:rsid w:val="00DB26D4"/>
    <w:rsid w:val="00DB2885"/>
    <w:rsid w:val="00DB2922"/>
    <w:rsid w:val="00DB2B98"/>
    <w:rsid w:val="00DB2DD4"/>
    <w:rsid w:val="00DB2E06"/>
    <w:rsid w:val="00DB3571"/>
    <w:rsid w:val="00DB37BD"/>
    <w:rsid w:val="00DB37FB"/>
    <w:rsid w:val="00DB3B67"/>
    <w:rsid w:val="00DB3F0D"/>
    <w:rsid w:val="00DB432E"/>
    <w:rsid w:val="00DB4365"/>
    <w:rsid w:val="00DB47FC"/>
    <w:rsid w:val="00DB494B"/>
    <w:rsid w:val="00DB4A8C"/>
    <w:rsid w:val="00DB4F57"/>
    <w:rsid w:val="00DB511C"/>
    <w:rsid w:val="00DB5159"/>
    <w:rsid w:val="00DB526D"/>
    <w:rsid w:val="00DB54A6"/>
    <w:rsid w:val="00DB5509"/>
    <w:rsid w:val="00DB56C2"/>
    <w:rsid w:val="00DB57A9"/>
    <w:rsid w:val="00DB57D7"/>
    <w:rsid w:val="00DB587C"/>
    <w:rsid w:val="00DB5A5D"/>
    <w:rsid w:val="00DB5A98"/>
    <w:rsid w:val="00DB5B2C"/>
    <w:rsid w:val="00DB5D0A"/>
    <w:rsid w:val="00DB5E69"/>
    <w:rsid w:val="00DB6328"/>
    <w:rsid w:val="00DB65CA"/>
    <w:rsid w:val="00DB68FA"/>
    <w:rsid w:val="00DB6E80"/>
    <w:rsid w:val="00DB6FC0"/>
    <w:rsid w:val="00DB700B"/>
    <w:rsid w:val="00DB72AB"/>
    <w:rsid w:val="00DB72E4"/>
    <w:rsid w:val="00DB73D7"/>
    <w:rsid w:val="00DB7606"/>
    <w:rsid w:val="00DB7722"/>
    <w:rsid w:val="00DB79D1"/>
    <w:rsid w:val="00DB7A62"/>
    <w:rsid w:val="00DB7CC3"/>
    <w:rsid w:val="00DB7D0C"/>
    <w:rsid w:val="00DB7DF8"/>
    <w:rsid w:val="00DB7EF2"/>
    <w:rsid w:val="00DC01C2"/>
    <w:rsid w:val="00DC01EA"/>
    <w:rsid w:val="00DC030E"/>
    <w:rsid w:val="00DC0922"/>
    <w:rsid w:val="00DC0B41"/>
    <w:rsid w:val="00DC0C2D"/>
    <w:rsid w:val="00DC12F6"/>
    <w:rsid w:val="00DC138C"/>
    <w:rsid w:val="00DC1469"/>
    <w:rsid w:val="00DC165B"/>
    <w:rsid w:val="00DC17EF"/>
    <w:rsid w:val="00DC1A9E"/>
    <w:rsid w:val="00DC1BEE"/>
    <w:rsid w:val="00DC1F04"/>
    <w:rsid w:val="00DC1F1F"/>
    <w:rsid w:val="00DC1F5E"/>
    <w:rsid w:val="00DC1F68"/>
    <w:rsid w:val="00DC207E"/>
    <w:rsid w:val="00DC2231"/>
    <w:rsid w:val="00DC230B"/>
    <w:rsid w:val="00DC26EF"/>
    <w:rsid w:val="00DC2AB7"/>
    <w:rsid w:val="00DC2B44"/>
    <w:rsid w:val="00DC2EA1"/>
    <w:rsid w:val="00DC3168"/>
    <w:rsid w:val="00DC3266"/>
    <w:rsid w:val="00DC349F"/>
    <w:rsid w:val="00DC34B9"/>
    <w:rsid w:val="00DC3676"/>
    <w:rsid w:val="00DC3932"/>
    <w:rsid w:val="00DC3BB0"/>
    <w:rsid w:val="00DC3C0A"/>
    <w:rsid w:val="00DC3E14"/>
    <w:rsid w:val="00DC3F88"/>
    <w:rsid w:val="00DC43E4"/>
    <w:rsid w:val="00DC450E"/>
    <w:rsid w:val="00DC451D"/>
    <w:rsid w:val="00DC4682"/>
    <w:rsid w:val="00DC4AD1"/>
    <w:rsid w:val="00DC4B0B"/>
    <w:rsid w:val="00DC4F4B"/>
    <w:rsid w:val="00DC5167"/>
    <w:rsid w:val="00DC5407"/>
    <w:rsid w:val="00DC5687"/>
    <w:rsid w:val="00DC5967"/>
    <w:rsid w:val="00DC5A2D"/>
    <w:rsid w:val="00DC5A64"/>
    <w:rsid w:val="00DC5A70"/>
    <w:rsid w:val="00DC5B18"/>
    <w:rsid w:val="00DC5C87"/>
    <w:rsid w:val="00DC5CBA"/>
    <w:rsid w:val="00DC5DE2"/>
    <w:rsid w:val="00DC5F05"/>
    <w:rsid w:val="00DC5F9D"/>
    <w:rsid w:val="00DC634E"/>
    <w:rsid w:val="00DC63E9"/>
    <w:rsid w:val="00DC66CD"/>
    <w:rsid w:val="00DC689F"/>
    <w:rsid w:val="00DC6A0E"/>
    <w:rsid w:val="00DC6AA9"/>
    <w:rsid w:val="00DC6CD9"/>
    <w:rsid w:val="00DC6E2C"/>
    <w:rsid w:val="00DC6E41"/>
    <w:rsid w:val="00DC7123"/>
    <w:rsid w:val="00DC773D"/>
    <w:rsid w:val="00DC77AE"/>
    <w:rsid w:val="00DC796B"/>
    <w:rsid w:val="00DC7984"/>
    <w:rsid w:val="00DC7ACE"/>
    <w:rsid w:val="00DC7B32"/>
    <w:rsid w:val="00DC7C34"/>
    <w:rsid w:val="00DC7C5B"/>
    <w:rsid w:val="00DC7C6D"/>
    <w:rsid w:val="00DD028B"/>
    <w:rsid w:val="00DD0584"/>
    <w:rsid w:val="00DD079B"/>
    <w:rsid w:val="00DD0831"/>
    <w:rsid w:val="00DD08F2"/>
    <w:rsid w:val="00DD1450"/>
    <w:rsid w:val="00DD14DC"/>
    <w:rsid w:val="00DD1DDC"/>
    <w:rsid w:val="00DD1E14"/>
    <w:rsid w:val="00DD2067"/>
    <w:rsid w:val="00DD2068"/>
    <w:rsid w:val="00DD226E"/>
    <w:rsid w:val="00DD23F4"/>
    <w:rsid w:val="00DD2676"/>
    <w:rsid w:val="00DD28FD"/>
    <w:rsid w:val="00DD2D43"/>
    <w:rsid w:val="00DD2F99"/>
    <w:rsid w:val="00DD34B7"/>
    <w:rsid w:val="00DD38DF"/>
    <w:rsid w:val="00DD3C53"/>
    <w:rsid w:val="00DD3E1D"/>
    <w:rsid w:val="00DD3FC1"/>
    <w:rsid w:val="00DD41CB"/>
    <w:rsid w:val="00DD48EE"/>
    <w:rsid w:val="00DD4A4E"/>
    <w:rsid w:val="00DD4B28"/>
    <w:rsid w:val="00DD4B5C"/>
    <w:rsid w:val="00DD4E3D"/>
    <w:rsid w:val="00DD4E83"/>
    <w:rsid w:val="00DD519F"/>
    <w:rsid w:val="00DD552D"/>
    <w:rsid w:val="00DD554B"/>
    <w:rsid w:val="00DD5660"/>
    <w:rsid w:val="00DD57D7"/>
    <w:rsid w:val="00DD58E0"/>
    <w:rsid w:val="00DD5954"/>
    <w:rsid w:val="00DD5ECA"/>
    <w:rsid w:val="00DD5F89"/>
    <w:rsid w:val="00DD60B4"/>
    <w:rsid w:val="00DD62F6"/>
    <w:rsid w:val="00DD637C"/>
    <w:rsid w:val="00DD643B"/>
    <w:rsid w:val="00DD6465"/>
    <w:rsid w:val="00DD69B3"/>
    <w:rsid w:val="00DD6A45"/>
    <w:rsid w:val="00DD6DFC"/>
    <w:rsid w:val="00DD6E77"/>
    <w:rsid w:val="00DD72BA"/>
    <w:rsid w:val="00DD74D5"/>
    <w:rsid w:val="00DD76A4"/>
    <w:rsid w:val="00DD7895"/>
    <w:rsid w:val="00DD7908"/>
    <w:rsid w:val="00DD7A7A"/>
    <w:rsid w:val="00DD7A7D"/>
    <w:rsid w:val="00DD7C4D"/>
    <w:rsid w:val="00DD7CDE"/>
    <w:rsid w:val="00DD7F26"/>
    <w:rsid w:val="00DE003E"/>
    <w:rsid w:val="00DE009E"/>
    <w:rsid w:val="00DE0212"/>
    <w:rsid w:val="00DE030A"/>
    <w:rsid w:val="00DE050C"/>
    <w:rsid w:val="00DE061A"/>
    <w:rsid w:val="00DE0703"/>
    <w:rsid w:val="00DE070A"/>
    <w:rsid w:val="00DE07A5"/>
    <w:rsid w:val="00DE08C5"/>
    <w:rsid w:val="00DE0A98"/>
    <w:rsid w:val="00DE0B7B"/>
    <w:rsid w:val="00DE13DC"/>
    <w:rsid w:val="00DE157C"/>
    <w:rsid w:val="00DE1711"/>
    <w:rsid w:val="00DE18AF"/>
    <w:rsid w:val="00DE19DB"/>
    <w:rsid w:val="00DE1BE7"/>
    <w:rsid w:val="00DE1D19"/>
    <w:rsid w:val="00DE1DBF"/>
    <w:rsid w:val="00DE2069"/>
    <w:rsid w:val="00DE2188"/>
    <w:rsid w:val="00DE219C"/>
    <w:rsid w:val="00DE247D"/>
    <w:rsid w:val="00DE2577"/>
    <w:rsid w:val="00DE2833"/>
    <w:rsid w:val="00DE2C87"/>
    <w:rsid w:val="00DE2F4F"/>
    <w:rsid w:val="00DE340E"/>
    <w:rsid w:val="00DE3728"/>
    <w:rsid w:val="00DE3804"/>
    <w:rsid w:val="00DE390D"/>
    <w:rsid w:val="00DE3D09"/>
    <w:rsid w:val="00DE3D46"/>
    <w:rsid w:val="00DE3DE3"/>
    <w:rsid w:val="00DE3FE0"/>
    <w:rsid w:val="00DE4080"/>
    <w:rsid w:val="00DE4088"/>
    <w:rsid w:val="00DE4133"/>
    <w:rsid w:val="00DE41C8"/>
    <w:rsid w:val="00DE43A7"/>
    <w:rsid w:val="00DE47A4"/>
    <w:rsid w:val="00DE4A52"/>
    <w:rsid w:val="00DE4D30"/>
    <w:rsid w:val="00DE4E76"/>
    <w:rsid w:val="00DE524F"/>
    <w:rsid w:val="00DE5379"/>
    <w:rsid w:val="00DE54A4"/>
    <w:rsid w:val="00DE54E2"/>
    <w:rsid w:val="00DE5704"/>
    <w:rsid w:val="00DE5A3E"/>
    <w:rsid w:val="00DE5CDD"/>
    <w:rsid w:val="00DE5DCE"/>
    <w:rsid w:val="00DE610B"/>
    <w:rsid w:val="00DE63B4"/>
    <w:rsid w:val="00DE6518"/>
    <w:rsid w:val="00DE6C75"/>
    <w:rsid w:val="00DE6D24"/>
    <w:rsid w:val="00DE6FA4"/>
    <w:rsid w:val="00DE71F2"/>
    <w:rsid w:val="00DE7203"/>
    <w:rsid w:val="00DE723C"/>
    <w:rsid w:val="00DE7476"/>
    <w:rsid w:val="00DE7500"/>
    <w:rsid w:val="00DE76B8"/>
    <w:rsid w:val="00DE76F5"/>
    <w:rsid w:val="00DE78D7"/>
    <w:rsid w:val="00DE79D1"/>
    <w:rsid w:val="00DE7A40"/>
    <w:rsid w:val="00DE7A7F"/>
    <w:rsid w:val="00DE7AED"/>
    <w:rsid w:val="00DE7CE3"/>
    <w:rsid w:val="00DE7ED4"/>
    <w:rsid w:val="00DF0076"/>
    <w:rsid w:val="00DF014C"/>
    <w:rsid w:val="00DF02F8"/>
    <w:rsid w:val="00DF05DE"/>
    <w:rsid w:val="00DF0732"/>
    <w:rsid w:val="00DF0B28"/>
    <w:rsid w:val="00DF0C89"/>
    <w:rsid w:val="00DF0F1C"/>
    <w:rsid w:val="00DF0FF3"/>
    <w:rsid w:val="00DF101A"/>
    <w:rsid w:val="00DF113B"/>
    <w:rsid w:val="00DF11C6"/>
    <w:rsid w:val="00DF14D3"/>
    <w:rsid w:val="00DF17B1"/>
    <w:rsid w:val="00DF17E0"/>
    <w:rsid w:val="00DF1815"/>
    <w:rsid w:val="00DF1931"/>
    <w:rsid w:val="00DF19E2"/>
    <w:rsid w:val="00DF1C06"/>
    <w:rsid w:val="00DF1CD9"/>
    <w:rsid w:val="00DF1E45"/>
    <w:rsid w:val="00DF20A4"/>
    <w:rsid w:val="00DF22F6"/>
    <w:rsid w:val="00DF237C"/>
    <w:rsid w:val="00DF2899"/>
    <w:rsid w:val="00DF2C28"/>
    <w:rsid w:val="00DF2CEF"/>
    <w:rsid w:val="00DF2ECB"/>
    <w:rsid w:val="00DF2FEF"/>
    <w:rsid w:val="00DF33A9"/>
    <w:rsid w:val="00DF35E8"/>
    <w:rsid w:val="00DF363C"/>
    <w:rsid w:val="00DF3663"/>
    <w:rsid w:val="00DF3737"/>
    <w:rsid w:val="00DF3835"/>
    <w:rsid w:val="00DF3840"/>
    <w:rsid w:val="00DF3993"/>
    <w:rsid w:val="00DF3E08"/>
    <w:rsid w:val="00DF3E7E"/>
    <w:rsid w:val="00DF4508"/>
    <w:rsid w:val="00DF4594"/>
    <w:rsid w:val="00DF468B"/>
    <w:rsid w:val="00DF4ACB"/>
    <w:rsid w:val="00DF4C31"/>
    <w:rsid w:val="00DF4E34"/>
    <w:rsid w:val="00DF53D5"/>
    <w:rsid w:val="00DF5734"/>
    <w:rsid w:val="00DF57EA"/>
    <w:rsid w:val="00DF5902"/>
    <w:rsid w:val="00DF59E1"/>
    <w:rsid w:val="00DF5C51"/>
    <w:rsid w:val="00DF6063"/>
    <w:rsid w:val="00DF647B"/>
    <w:rsid w:val="00DF66CE"/>
    <w:rsid w:val="00DF6798"/>
    <w:rsid w:val="00DF6C56"/>
    <w:rsid w:val="00DF6CB8"/>
    <w:rsid w:val="00DF6DF3"/>
    <w:rsid w:val="00DF6E88"/>
    <w:rsid w:val="00DF708B"/>
    <w:rsid w:val="00DF7099"/>
    <w:rsid w:val="00DF7194"/>
    <w:rsid w:val="00DF728F"/>
    <w:rsid w:val="00DF739B"/>
    <w:rsid w:val="00DF765C"/>
    <w:rsid w:val="00DF78A5"/>
    <w:rsid w:val="00DF7AEB"/>
    <w:rsid w:val="00DF7CAF"/>
    <w:rsid w:val="00E00185"/>
    <w:rsid w:val="00E0035C"/>
    <w:rsid w:val="00E003D3"/>
    <w:rsid w:val="00E00613"/>
    <w:rsid w:val="00E007A4"/>
    <w:rsid w:val="00E007F2"/>
    <w:rsid w:val="00E0091F"/>
    <w:rsid w:val="00E00AC2"/>
    <w:rsid w:val="00E00C3D"/>
    <w:rsid w:val="00E00C5D"/>
    <w:rsid w:val="00E00C6C"/>
    <w:rsid w:val="00E00C75"/>
    <w:rsid w:val="00E00C7D"/>
    <w:rsid w:val="00E00CB3"/>
    <w:rsid w:val="00E00E2D"/>
    <w:rsid w:val="00E011F2"/>
    <w:rsid w:val="00E01539"/>
    <w:rsid w:val="00E019A4"/>
    <w:rsid w:val="00E01A8A"/>
    <w:rsid w:val="00E01C16"/>
    <w:rsid w:val="00E01DD4"/>
    <w:rsid w:val="00E02017"/>
    <w:rsid w:val="00E0221A"/>
    <w:rsid w:val="00E022CA"/>
    <w:rsid w:val="00E02399"/>
    <w:rsid w:val="00E0256B"/>
    <w:rsid w:val="00E02789"/>
    <w:rsid w:val="00E02889"/>
    <w:rsid w:val="00E028B5"/>
    <w:rsid w:val="00E02A9B"/>
    <w:rsid w:val="00E02B46"/>
    <w:rsid w:val="00E02BD0"/>
    <w:rsid w:val="00E02C48"/>
    <w:rsid w:val="00E02E29"/>
    <w:rsid w:val="00E02FB0"/>
    <w:rsid w:val="00E03062"/>
    <w:rsid w:val="00E03495"/>
    <w:rsid w:val="00E034A6"/>
    <w:rsid w:val="00E03671"/>
    <w:rsid w:val="00E03708"/>
    <w:rsid w:val="00E03AA5"/>
    <w:rsid w:val="00E03B81"/>
    <w:rsid w:val="00E03CFA"/>
    <w:rsid w:val="00E03D3B"/>
    <w:rsid w:val="00E0403F"/>
    <w:rsid w:val="00E0411E"/>
    <w:rsid w:val="00E0419C"/>
    <w:rsid w:val="00E04229"/>
    <w:rsid w:val="00E04934"/>
    <w:rsid w:val="00E0495F"/>
    <w:rsid w:val="00E04D41"/>
    <w:rsid w:val="00E05010"/>
    <w:rsid w:val="00E050D8"/>
    <w:rsid w:val="00E050F6"/>
    <w:rsid w:val="00E05439"/>
    <w:rsid w:val="00E054FA"/>
    <w:rsid w:val="00E05774"/>
    <w:rsid w:val="00E059D7"/>
    <w:rsid w:val="00E059FF"/>
    <w:rsid w:val="00E05AA1"/>
    <w:rsid w:val="00E05C41"/>
    <w:rsid w:val="00E05D52"/>
    <w:rsid w:val="00E05DEE"/>
    <w:rsid w:val="00E05E57"/>
    <w:rsid w:val="00E05E9D"/>
    <w:rsid w:val="00E0620C"/>
    <w:rsid w:val="00E0625A"/>
    <w:rsid w:val="00E065F5"/>
    <w:rsid w:val="00E06953"/>
    <w:rsid w:val="00E06CDF"/>
    <w:rsid w:val="00E06E5E"/>
    <w:rsid w:val="00E071A4"/>
    <w:rsid w:val="00E07292"/>
    <w:rsid w:val="00E072FC"/>
    <w:rsid w:val="00E075D4"/>
    <w:rsid w:val="00E07645"/>
    <w:rsid w:val="00E07872"/>
    <w:rsid w:val="00E07AF2"/>
    <w:rsid w:val="00E07CEF"/>
    <w:rsid w:val="00E07E61"/>
    <w:rsid w:val="00E102B2"/>
    <w:rsid w:val="00E1047C"/>
    <w:rsid w:val="00E10520"/>
    <w:rsid w:val="00E107CC"/>
    <w:rsid w:val="00E10A21"/>
    <w:rsid w:val="00E10B04"/>
    <w:rsid w:val="00E10C66"/>
    <w:rsid w:val="00E10FF0"/>
    <w:rsid w:val="00E11022"/>
    <w:rsid w:val="00E115BA"/>
    <w:rsid w:val="00E11722"/>
    <w:rsid w:val="00E11779"/>
    <w:rsid w:val="00E11878"/>
    <w:rsid w:val="00E118CB"/>
    <w:rsid w:val="00E11A4F"/>
    <w:rsid w:val="00E11D47"/>
    <w:rsid w:val="00E11DD4"/>
    <w:rsid w:val="00E11E29"/>
    <w:rsid w:val="00E12086"/>
    <w:rsid w:val="00E121E7"/>
    <w:rsid w:val="00E122B6"/>
    <w:rsid w:val="00E12514"/>
    <w:rsid w:val="00E125C1"/>
    <w:rsid w:val="00E12926"/>
    <w:rsid w:val="00E12A61"/>
    <w:rsid w:val="00E12D72"/>
    <w:rsid w:val="00E12E1A"/>
    <w:rsid w:val="00E12F6A"/>
    <w:rsid w:val="00E130C5"/>
    <w:rsid w:val="00E13147"/>
    <w:rsid w:val="00E13286"/>
    <w:rsid w:val="00E1346C"/>
    <w:rsid w:val="00E13516"/>
    <w:rsid w:val="00E135A0"/>
    <w:rsid w:val="00E13879"/>
    <w:rsid w:val="00E13CF2"/>
    <w:rsid w:val="00E13D34"/>
    <w:rsid w:val="00E1404C"/>
    <w:rsid w:val="00E14175"/>
    <w:rsid w:val="00E14355"/>
    <w:rsid w:val="00E143EB"/>
    <w:rsid w:val="00E14864"/>
    <w:rsid w:val="00E14962"/>
    <w:rsid w:val="00E149C9"/>
    <w:rsid w:val="00E14A22"/>
    <w:rsid w:val="00E14ACA"/>
    <w:rsid w:val="00E14C01"/>
    <w:rsid w:val="00E15006"/>
    <w:rsid w:val="00E1508A"/>
    <w:rsid w:val="00E151A6"/>
    <w:rsid w:val="00E151DF"/>
    <w:rsid w:val="00E15328"/>
    <w:rsid w:val="00E156AD"/>
    <w:rsid w:val="00E1572F"/>
    <w:rsid w:val="00E1593D"/>
    <w:rsid w:val="00E15991"/>
    <w:rsid w:val="00E15B2C"/>
    <w:rsid w:val="00E15D9D"/>
    <w:rsid w:val="00E16107"/>
    <w:rsid w:val="00E161F7"/>
    <w:rsid w:val="00E161F9"/>
    <w:rsid w:val="00E16308"/>
    <w:rsid w:val="00E16328"/>
    <w:rsid w:val="00E1632F"/>
    <w:rsid w:val="00E16533"/>
    <w:rsid w:val="00E167EC"/>
    <w:rsid w:val="00E169FA"/>
    <w:rsid w:val="00E16CEE"/>
    <w:rsid w:val="00E16EB9"/>
    <w:rsid w:val="00E1716E"/>
    <w:rsid w:val="00E171C2"/>
    <w:rsid w:val="00E172A8"/>
    <w:rsid w:val="00E176B4"/>
    <w:rsid w:val="00E176B9"/>
    <w:rsid w:val="00E17901"/>
    <w:rsid w:val="00E17C36"/>
    <w:rsid w:val="00E17E7C"/>
    <w:rsid w:val="00E2016E"/>
    <w:rsid w:val="00E201B4"/>
    <w:rsid w:val="00E2035D"/>
    <w:rsid w:val="00E20793"/>
    <w:rsid w:val="00E207A6"/>
    <w:rsid w:val="00E20866"/>
    <w:rsid w:val="00E20EF9"/>
    <w:rsid w:val="00E20FBE"/>
    <w:rsid w:val="00E21178"/>
    <w:rsid w:val="00E211E5"/>
    <w:rsid w:val="00E21222"/>
    <w:rsid w:val="00E21397"/>
    <w:rsid w:val="00E2158F"/>
    <w:rsid w:val="00E215A0"/>
    <w:rsid w:val="00E217CC"/>
    <w:rsid w:val="00E21999"/>
    <w:rsid w:val="00E219C1"/>
    <w:rsid w:val="00E219CF"/>
    <w:rsid w:val="00E21AB5"/>
    <w:rsid w:val="00E21FEB"/>
    <w:rsid w:val="00E2207D"/>
    <w:rsid w:val="00E220C0"/>
    <w:rsid w:val="00E220DF"/>
    <w:rsid w:val="00E2215A"/>
    <w:rsid w:val="00E22172"/>
    <w:rsid w:val="00E22417"/>
    <w:rsid w:val="00E22596"/>
    <w:rsid w:val="00E22686"/>
    <w:rsid w:val="00E226E8"/>
    <w:rsid w:val="00E228D8"/>
    <w:rsid w:val="00E22940"/>
    <w:rsid w:val="00E22B51"/>
    <w:rsid w:val="00E22C83"/>
    <w:rsid w:val="00E22CF0"/>
    <w:rsid w:val="00E22D5E"/>
    <w:rsid w:val="00E22E91"/>
    <w:rsid w:val="00E22FE7"/>
    <w:rsid w:val="00E230D6"/>
    <w:rsid w:val="00E231EC"/>
    <w:rsid w:val="00E232AB"/>
    <w:rsid w:val="00E2362E"/>
    <w:rsid w:val="00E23664"/>
    <w:rsid w:val="00E238ED"/>
    <w:rsid w:val="00E23940"/>
    <w:rsid w:val="00E23A5B"/>
    <w:rsid w:val="00E23B22"/>
    <w:rsid w:val="00E23B59"/>
    <w:rsid w:val="00E23C10"/>
    <w:rsid w:val="00E240A5"/>
    <w:rsid w:val="00E24666"/>
    <w:rsid w:val="00E246AB"/>
    <w:rsid w:val="00E24AA6"/>
    <w:rsid w:val="00E24C5C"/>
    <w:rsid w:val="00E24FAD"/>
    <w:rsid w:val="00E24FE9"/>
    <w:rsid w:val="00E250D1"/>
    <w:rsid w:val="00E2515D"/>
    <w:rsid w:val="00E251E7"/>
    <w:rsid w:val="00E252FD"/>
    <w:rsid w:val="00E253AF"/>
    <w:rsid w:val="00E25461"/>
    <w:rsid w:val="00E2548F"/>
    <w:rsid w:val="00E25B10"/>
    <w:rsid w:val="00E25C85"/>
    <w:rsid w:val="00E25F68"/>
    <w:rsid w:val="00E25F81"/>
    <w:rsid w:val="00E261DB"/>
    <w:rsid w:val="00E2629F"/>
    <w:rsid w:val="00E264A0"/>
    <w:rsid w:val="00E26502"/>
    <w:rsid w:val="00E265AB"/>
    <w:rsid w:val="00E2699D"/>
    <w:rsid w:val="00E269D7"/>
    <w:rsid w:val="00E269F3"/>
    <w:rsid w:val="00E27285"/>
    <w:rsid w:val="00E278BD"/>
    <w:rsid w:val="00E27996"/>
    <w:rsid w:val="00E279DD"/>
    <w:rsid w:val="00E27AC4"/>
    <w:rsid w:val="00E27BA1"/>
    <w:rsid w:val="00E27C94"/>
    <w:rsid w:val="00E27CEE"/>
    <w:rsid w:val="00E300B1"/>
    <w:rsid w:val="00E3034D"/>
    <w:rsid w:val="00E3049D"/>
    <w:rsid w:val="00E30743"/>
    <w:rsid w:val="00E30914"/>
    <w:rsid w:val="00E309D3"/>
    <w:rsid w:val="00E30B66"/>
    <w:rsid w:val="00E30EE0"/>
    <w:rsid w:val="00E3134B"/>
    <w:rsid w:val="00E31934"/>
    <w:rsid w:val="00E322F8"/>
    <w:rsid w:val="00E32367"/>
    <w:rsid w:val="00E32555"/>
    <w:rsid w:val="00E32908"/>
    <w:rsid w:val="00E32988"/>
    <w:rsid w:val="00E329C2"/>
    <w:rsid w:val="00E32BA6"/>
    <w:rsid w:val="00E32C9B"/>
    <w:rsid w:val="00E32CD0"/>
    <w:rsid w:val="00E32FBC"/>
    <w:rsid w:val="00E32FC0"/>
    <w:rsid w:val="00E33214"/>
    <w:rsid w:val="00E33417"/>
    <w:rsid w:val="00E33CA1"/>
    <w:rsid w:val="00E33EE9"/>
    <w:rsid w:val="00E33F09"/>
    <w:rsid w:val="00E33FA4"/>
    <w:rsid w:val="00E34194"/>
    <w:rsid w:val="00E341A2"/>
    <w:rsid w:val="00E341B9"/>
    <w:rsid w:val="00E341FB"/>
    <w:rsid w:val="00E34451"/>
    <w:rsid w:val="00E34642"/>
    <w:rsid w:val="00E34AF8"/>
    <w:rsid w:val="00E34EC8"/>
    <w:rsid w:val="00E355CB"/>
    <w:rsid w:val="00E35991"/>
    <w:rsid w:val="00E359D4"/>
    <w:rsid w:val="00E35D0F"/>
    <w:rsid w:val="00E35EE9"/>
    <w:rsid w:val="00E35EF8"/>
    <w:rsid w:val="00E36141"/>
    <w:rsid w:val="00E3624A"/>
    <w:rsid w:val="00E3681B"/>
    <w:rsid w:val="00E3691F"/>
    <w:rsid w:val="00E36933"/>
    <w:rsid w:val="00E36B4B"/>
    <w:rsid w:val="00E36B87"/>
    <w:rsid w:val="00E36D2F"/>
    <w:rsid w:val="00E36D7C"/>
    <w:rsid w:val="00E36E50"/>
    <w:rsid w:val="00E36F83"/>
    <w:rsid w:val="00E37031"/>
    <w:rsid w:val="00E370EB"/>
    <w:rsid w:val="00E37436"/>
    <w:rsid w:val="00E377F8"/>
    <w:rsid w:val="00E37901"/>
    <w:rsid w:val="00E37C39"/>
    <w:rsid w:val="00E37E7C"/>
    <w:rsid w:val="00E37E90"/>
    <w:rsid w:val="00E401D2"/>
    <w:rsid w:val="00E40210"/>
    <w:rsid w:val="00E4037A"/>
    <w:rsid w:val="00E404D1"/>
    <w:rsid w:val="00E4052F"/>
    <w:rsid w:val="00E406BD"/>
    <w:rsid w:val="00E4091D"/>
    <w:rsid w:val="00E40CD1"/>
    <w:rsid w:val="00E40E5F"/>
    <w:rsid w:val="00E40F68"/>
    <w:rsid w:val="00E41150"/>
    <w:rsid w:val="00E414A6"/>
    <w:rsid w:val="00E415C2"/>
    <w:rsid w:val="00E415D3"/>
    <w:rsid w:val="00E41930"/>
    <w:rsid w:val="00E41961"/>
    <w:rsid w:val="00E41A52"/>
    <w:rsid w:val="00E41B70"/>
    <w:rsid w:val="00E41C42"/>
    <w:rsid w:val="00E4224A"/>
    <w:rsid w:val="00E4226C"/>
    <w:rsid w:val="00E423D5"/>
    <w:rsid w:val="00E424A4"/>
    <w:rsid w:val="00E425ED"/>
    <w:rsid w:val="00E428F8"/>
    <w:rsid w:val="00E42CD5"/>
    <w:rsid w:val="00E42F64"/>
    <w:rsid w:val="00E430F6"/>
    <w:rsid w:val="00E431B0"/>
    <w:rsid w:val="00E434E2"/>
    <w:rsid w:val="00E4362E"/>
    <w:rsid w:val="00E43C39"/>
    <w:rsid w:val="00E43D62"/>
    <w:rsid w:val="00E44123"/>
    <w:rsid w:val="00E44682"/>
    <w:rsid w:val="00E446ED"/>
    <w:rsid w:val="00E44877"/>
    <w:rsid w:val="00E44E6D"/>
    <w:rsid w:val="00E44F76"/>
    <w:rsid w:val="00E451B6"/>
    <w:rsid w:val="00E45244"/>
    <w:rsid w:val="00E45404"/>
    <w:rsid w:val="00E456CD"/>
    <w:rsid w:val="00E45870"/>
    <w:rsid w:val="00E458E0"/>
    <w:rsid w:val="00E4594A"/>
    <w:rsid w:val="00E45B16"/>
    <w:rsid w:val="00E45B74"/>
    <w:rsid w:val="00E45E61"/>
    <w:rsid w:val="00E45EA4"/>
    <w:rsid w:val="00E4633A"/>
    <w:rsid w:val="00E46480"/>
    <w:rsid w:val="00E4665A"/>
    <w:rsid w:val="00E468BA"/>
    <w:rsid w:val="00E469E1"/>
    <w:rsid w:val="00E46A34"/>
    <w:rsid w:val="00E46D2D"/>
    <w:rsid w:val="00E46FFC"/>
    <w:rsid w:val="00E47049"/>
    <w:rsid w:val="00E473F0"/>
    <w:rsid w:val="00E4740A"/>
    <w:rsid w:val="00E475EB"/>
    <w:rsid w:val="00E477E2"/>
    <w:rsid w:val="00E479B8"/>
    <w:rsid w:val="00E47A76"/>
    <w:rsid w:val="00E47F25"/>
    <w:rsid w:val="00E47FAE"/>
    <w:rsid w:val="00E50121"/>
    <w:rsid w:val="00E502EB"/>
    <w:rsid w:val="00E5034C"/>
    <w:rsid w:val="00E504F7"/>
    <w:rsid w:val="00E50501"/>
    <w:rsid w:val="00E5088D"/>
    <w:rsid w:val="00E509D6"/>
    <w:rsid w:val="00E50D50"/>
    <w:rsid w:val="00E515BF"/>
    <w:rsid w:val="00E515E9"/>
    <w:rsid w:val="00E51A26"/>
    <w:rsid w:val="00E51A59"/>
    <w:rsid w:val="00E51D3B"/>
    <w:rsid w:val="00E526EF"/>
    <w:rsid w:val="00E529EC"/>
    <w:rsid w:val="00E52D5A"/>
    <w:rsid w:val="00E53007"/>
    <w:rsid w:val="00E53215"/>
    <w:rsid w:val="00E534AA"/>
    <w:rsid w:val="00E535EC"/>
    <w:rsid w:val="00E5377C"/>
    <w:rsid w:val="00E538D3"/>
    <w:rsid w:val="00E53A2E"/>
    <w:rsid w:val="00E53AED"/>
    <w:rsid w:val="00E53BD7"/>
    <w:rsid w:val="00E53CE6"/>
    <w:rsid w:val="00E53DDB"/>
    <w:rsid w:val="00E5405A"/>
    <w:rsid w:val="00E54116"/>
    <w:rsid w:val="00E5421B"/>
    <w:rsid w:val="00E5423A"/>
    <w:rsid w:val="00E542CD"/>
    <w:rsid w:val="00E544F0"/>
    <w:rsid w:val="00E544F6"/>
    <w:rsid w:val="00E5483F"/>
    <w:rsid w:val="00E5489F"/>
    <w:rsid w:val="00E549DE"/>
    <w:rsid w:val="00E54B0D"/>
    <w:rsid w:val="00E54BC6"/>
    <w:rsid w:val="00E54D0B"/>
    <w:rsid w:val="00E54D2C"/>
    <w:rsid w:val="00E54FE7"/>
    <w:rsid w:val="00E550EC"/>
    <w:rsid w:val="00E55184"/>
    <w:rsid w:val="00E552D6"/>
    <w:rsid w:val="00E5554F"/>
    <w:rsid w:val="00E555FD"/>
    <w:rsid w:val="00E5569B"/>
    <w:rsid w:val="00E55B0C"/>
    <w:rsid w:val="00E55C7A"/>
    <w:rsid w:val="00E55DD8"/>
    <w:rsid w:val="00E5618C"/>
    <w:rsid w:val="00E56747"/>
    <w:rsid w:val="00E56788"/>
    <w:rsid w:val="00E5686C"/>
    <w:rsid w:val="00E568E8"/>
    <w:rsid w:val="00E56EAE"/>
    <w:rsid w:val="00E573D3"/>
    <w:rsid w:val="00E57434"/>
    <w:rsid w:val="00E57560"/>
    <w:rsid w:val="00E5767B"/>
    <w:rsid w:val="00E57749"/>
    <w:rsid w:val="00E57BF4"/>
    <w:rsid w:val="00E57E5F"/>
    <w:rsid w:val="00E57EC3"/>
    <w:rsid w:val="00E6025C"/>
    <w:rsid w:val="00E6034B"/>
    <w:rsid w:val="00E605FE"/>
    <w:rsid w:val="00E6092E"/>
    <w:rsid w:val="00E60D82"/>
    <w:rsid w:val="00E610C2"/>
    <w:rsid w:val="00E61334"/>
    <w:rsid w:val="00E613BC"/>
    <w:rsid w:val="00E613E6"/>
    <w:rsid w:val="00E614C0"/>
    <w:rsid w:val="00E615B0"/>
    <w:rsid w:val="00E616C5"/>
    <w:rsid w:val="00E618DF"/>
    <w:rsid w:val="00E61943"/>
    <w:rsid w:val="00E61AF4"/>
    <w:rsid w:val="00E61D61"/>
    <w:rsid w:val="00E61E4F"/>
    <w:rsid w:val="00E620B3"/>
    <w:rsid w:val="00E6237A"/>
    <w:rsid w:val="00E62486"/>
    <w:rsid w:val="00E6252F"/>
    <w:rsid w:val="00E62613"/>
    <w:rsid w:val="00E6270A"/>
    <w:rsid w:val="00E628F0"/>
    <w:rsid w:val="00E6294A"/>
    <w:rsid w:val="00E62AD3"/>
    <w:rsid w:val="00E62BAE"/>
    <w:rsid w:val="00E62C4C"/>
    <w:rsid w:val="00E62E05"/>
    <w:rsid w:val="00E62FB3"/>
    <w:rsid w:val="00E6316B"/>
    <w:rsid w:val="00E63431"/>
    <w:rsid w:val="00E63601"/>
    <w:rsid w:val="00E63623"/>
    <w:rsid w:val="00E6367C"/>
    <w:rsid w:val="00E639A5"/>
    <w:rsid w:val="00E63ACC"/>
    <w:rsid w:val="00E63AFB"/>
    <w:rsid w:val="00E63DC9"/>
    <w:rsid w:val="00E63EAD"/>
    <w:rsid w:val="00E6425D"/>
    <w:rsid w:val="00E642D2"/>
    <w:rsid w:val="00E64498"/>
    <w:rsid w:val="00E644EF"/>
    <w:rsid w:val="00E645CB"/>
    <w:rsid w:val="00E64614"/>
    <w:rsid w:val="00E6475F"/>
    <w:rsid w:val="00E64A74"/>
    <w:rsid w:val="00E64B97"/>
    <w:rsid w:val="00E64D53"/>
    <w:rsid w:val="00E64DC7"/>
    <w:rsid w:val="00E64EB4"/>
    <w:rsid w:val="00E6501F"/>
    <w:rsid w:val="00E65022"/>
    <w:rsid w:val="00E65419"/>
    <w:rsid w:val="00E65C01"/>
    <w:rsid w:val="00E65C6F"/>
    <w:rsid w:val="00E65ECF"/>
    <w:rsid w:val="00E65FA7"/>
    <w:rsid w:val="00E66189"/>
    <w:rsid w:val="00E6669E"/>
    <w:rsid w:val="00E66951"/>
    <w:rsid w:val="00E669C6"/>
    <w:rsid w:val="00E6708C"/>
    <w:rsid w:val="00E675FA"/>
    <w:rsid w:val="00E67A05"/>
    <w:rsid w:val="00E67A48"/>
    <w:rsid w:val="00E67AD0"/>
    <w:rsid w:val="00E67D2E"/>
    <w:rsid w:val="00E67ED6"/>
    <w:rsid w:val="00E67F37"/>
    <w:rsid w:val="00E7025C"/>
    <w:rsid w:val="00E70418"/>
    <w:rsid w:val="00E705A3"/>
    <w:rsid w:val="00E7072C"/>
    <w:rsid w:val="00E70A8F"/>
    <w:rsid w:val="00E70AA4"/>
    <w:rsid w:val="00E70CB4"/>
    <w:rsid w:val="00E70ED0"/>
    <w:rsid w:val="00E70F42"/>
    <w:rsid w:val="00E71137"/>
    <w:rsid w:val="00E711BD"/>
    <w:rsid w:val="00E71309"/>
    <w:rsid w:val="00E715AE"/>
    <w:rsid w:val="00E71685"/>
    <w:rsid w:val="00E716D6"/>
    <w:rsid w:val="00E71740"/>
    <w:rsid w:val="00E717A3"/>
    <w:rsid w:val="00E717FC"/>
    <w:rsid w:val="00E71A16"/>
    <w:rsid w:val="00E71A25"/>
    <w:rsid w:val="00E71D11"/>
    <w:rsid w:val="00E72084"/>
    <w:rsid w:val="00E721FA"/>
    <w:rsid w:val="00E7229F"/>
    <w:rsid w:val="00E724DB"/>
    <w:rsid w:val="00E7278C"/>
    <w:rsid w:val="00E72B04"/>
    <w:rsid w:val="00E72E0E"/>
    <w:rsid w:val="00E7318A"/>
    <w:rsid w:val="00E73377"/>
    <w:rsid w:val="00E734B3"/>
    <w:rsid w:val="00E7361A"/>
    <w:rsid w:val="00E73D38"/>
    <w:rsid w:val="00E73E95"/>
    <w:rsid w:val="00E74373"/>
    <w:rsid w:val="00E74420"/>
    <w:rsid w:val="00E745AB"/>
    <w:rsid w:val="00E74988"/>
    <w:rsid w:val="00E74A56"/>
    <w:rsid w:val="00E74C8F"/>
    <w:rsid w:val="00E74DE5"/>
    <w:rsid w:val="00E7502B"/>
    <w:rsid w:val="00E75099"/>
    <w:rsid w:val="00E751B9"/>
    <w:rsid w:val="00E753B9"/>
    <w:rsid w:val="00E75626"/>
    <w:rsid w:val="00E75819"/>
    <w:rsid w:val="00E75892"/>
    <w:rsid w:val="00E7594E"/>
    <w:rsid w:val="00E75D58"/>
    <w:rsid w:val="00E75DDE"/>
    <w:rsid w:val="00E75F80"/>
    <w:rsid w:val="00E75FA2"/>
    <w:rsid w:val="00E76168"/>
    <w:rsid w:val="00E76505"/>
    <w:rsid w:val="00E76553"/>
    <w:rsid w:val="00E76704"/>
    <w:rsid w:val="00E7676E"/>
    <w:rsid w:val="00E76942"/>
    <w:rsid w:val="00E76969"/>
    <w:rsid w:val="00E76B53"/>
    <w:rsid w:val="00E76C52"/>
    <w:rsid w:val="00E76EF4"/>
    <w:rsid w:val="00E77156"/>
    <w:rsid w:val="00E77486"/>
    <w:rsid w:val="00E77537"/>
    <w:rsid w:val="00E77782"/>
    <w:rsid w:val="00E77813"/>
    <w:rsid w:val="00E778CA"/>
    <w:rsid w:val="00E77918"/>
    <w:rsid w:val="00E77CD6"/>
    <w:rsid w:val="00E77E78"/>
    <w:rsid w:val="00E80130"/>
    <w:rsid w:val="00E80396"/>
    <w:rsid w:val="00E803D1"/>
    <w:rsid w:val="00E80449"/>
    <w:rsid w:val="00E80647"/>
    <w:rsid w:val="00E806DA"/>
    <w:rsid w:val="00E80803"/>
    <w:rsid w:val="00E80A3B"/>
    <w:rsid w:val="00E80AEA"/>
    <w:rsid w:val="00E8137C"/>
    <w:rsid w:val="00E814C7"/>
    <w:rsid w:val="00E8151E"/>
    <w:rsid w:val="00E81C8F"/>
    <w:rsid w:val="00E81E2A"/>
    <w:rsid w:val="00E81E61"/>
    <w:rsid w:val="00E82234"/>
    <w:rsid w:val="00E82BA7"/>
    <w:rsid w:val="00E82E22"/>
    <w:rsid w:val="00E832DC"/>
    <w:rsid w:val="00E833D7"/>
    <w:rsid w:val="00E837CE"/>
    <w:rsid w:val="00E83820"/>
    <w:rsid w:val="00E83A94"/>
    <w:rsid w:val="00E83D64"/>
    <w:rsid w:val="00E83F33"/>
    <w:rsid w:val="00E83F85"/>
    <w:rsid w:val="00E83FCE"/>
    <w:rsid w:val="00E840C2"/>
    <w:rsid w:val="00E840D8"/>
    <w:rsid w:val="00E841E5"/>
    <w:rsid w:val="00E842CD"/>
    <w:rsid w:val="00E844FE"/>
    <w:rsid w:val="00E84825"/>
    <w:rsid w:val="00E851C6"/>
    <w:rsid w:val="00E8534D"/>
    <w:rsid w:val="00E8546A"/>
    <w:rsid w:val="00E85490"/>
    <w:rsid w:val="00E854B8"/>
    <w:rsid w:val="00E8566E"/>
    <w:rsid w:val="00E857CF"/>
    <w:rsid w:val="00E85ACB"/>
    <w:rsid w:val="00E85BF7"/>
    <w:rsid w:val="00E85D2F"/>
    <w:rsid w:val="00E85EB2"/>
    <w:rsid w:val="00E85EFD"/>
    <w:rsid w:val="00E85F0F"/>
    <w:rsid w:val="00E86027"/>
    <w:rsid w:val="00E8604B"/>
    <w:rsid w:val="00E861A7"/>
    <w:rsid w:val="00E86222"/>
    <w:rsid w:val="00E862E0"/>
    <w:rsid w:val="00E863B4"/>
    <w:rsid w:val="00E86505"/>
    <w:rsid w:val="00E86BC9"/>
    <w:rsid w:val="00E86DB5"/>
    <w:rsid w:val="00E86E56"/>
    <w:rsid w:val="00E8722D"/>
    <w:rsid w:val="00E873DA"/>
    <w:rsid w:val="00E87629"/>
    <w:rsid w:val="00E87632"/>
    <w:rsid w:val="00E87849"/>
    <w:rsid w:val="00E878C5"/>
    <w:rsid w:val="00E9000E"/>
    <w:rsid w:val="00E901FD"/>
    <w:rsid w:val="00E90371"/>
    <w:rsid w:val="00E90432"/>
    <w:rsid w:val="00E90465"/>
    <w:rsid w:val="00E90484"/>
    <w:rsid w:val="00E90519"/>
    <w:rsid w:val="00E90542"/>
    <w:rsid w:val="00E908D8"/>
    <w:rsid w:val="00E91078"/>
    <w:rsid w:val="00E910CE"/>
    <w:rsid w:val="00E9147B"/>
    <w:rsid w:val="00E916ED"/>
    <w:rsid w:val="00E9182D"/>
    <w:rsid w:val="00E91917"/>
    <w:rsid w:val="00E91A5F"/>
    <w:rsid w:val="00E91AF7"/>
    <w:rsid w:val="00E91E21"/>
    <w:rsid w:val="00E920EF"/>
    <w:rsid w:val="00E926D8"/>
    <w:rsid w:val="00E92764"/>
    <w:rsid w:val="00E927DF"/>
    <w:rsid w:val="00E92C19"/>
    <w:rsid w:val="00E92EBA"/>
    <w:rsid w:val="00E92F9E"/>
    <w:rsid w:val="00E930EC"/>
    <w:rsid w:val="00E931C7"/>
    <w:rsid w:val="00E931CD"/>
    <w:rsid w:val="00E933AA"/>
    <w:rsid w:val="00E93727"/>
    <w:rsid w:val="00E938BF"/>
    <w:rsid w:val="00E938D1"/>
    <w:rsid w:val="00E93DC5"/>
    <w:rsid w:val="00E93DEF"/>
    <w:rsid w:val="00E93ECC"/>
    <w:rsid w:val="00E94170"/>
    <w:rsid w:val="00E9421D"/>
    <w:rsid w:val="00E94276"/>
    <w:rsid w:val="00E942A1"/>
    <w:rsid w:val="00E9444D"/>
    <w:rsid w:val="00E9449A"/>
    <w:rsid w:val="00E9462F"/>
    <w:rsid w:val="00E946A2"/>
    <w:rsid w:val="00E946B8"/>
    <w:rsid w:val="00E94855"/>
    <w:rsid w:val="00E949B3"/>
    <w:rsid w:val="00E94AAB"/>
    <w:rsid w:val="00E94CFB"/>
    <w:rsid w:val="00E94E12"/>
    <w:rsid w:val="00E94ECE"/>
    <w:rsid w:val="00E95183"/>
    <w:rsid w:val="00E95297"/>
    <w:rsid w:val="00E953EE"/>
    <w:rsid w:val="00E955C9"/>
    <w:rsid w:val="00E956B2"/>
    <w:rsid w:val="00E95A96"/>
    <w:rsid w:val="00E95C5E"/>
    <w:rsid w:val="00E95E58"/>
    <w:rsid w:val="00E95FC2"/>
    <w:rsid w:val="00E96277"/>
    <w:rsid w:val="00E96320"/>
    <w:rsid w:val="00E963C6"/>
    <w:rsid w:val="00E965CB"/>
    <w:rsid w:val="00E96640"/>
    <w:rsid w:val="00E967DB"/>
    <w:rsid w:val="00E9698E"/>
    <w:rsid w:val="00E96A51"/>
    <w:rsid w:val="00E96CA0"/>
    <w:rsid w:val="00E96E52"/>
    <w:rsid w:val="00E96F77"/>
    <w:rsid w:val="00E971BA"/>
    <w:rsid w:val="00E97281"/>
    <w:rsid w:val="00E97305"/>
    <w:rsid w:val="00E97317"/>
    <w:rsid w:val="00E97670"/>
    <w:rsid w:val="00E97A15"/>
    <w:rsid w:val="00E97CB9"/>
    <w:rsid w:val="00E97CF2"/>
    <w:rsid w:val="00E97D34"/>
    <w:rsid w:val="00EA0062"/>
    <w:rsid w:val="00EA029E"/>
    <w:rsid w:val="00EA059D"/>
    <w:rsid w:val="00EA065C"/>
    <w:rsid w:val="00EA0943"/>
    <w:rsid w:val="00EA0AB2"/>
    <w:rsid w:val="00EA0B5C"/>
    <w:rsid w:val="00EA0C09"/>
    <w:rsid w:val="00EA0FD2"/>
    <w:rsid w:val="00EA13C7"/>
    <w:rsid w:val="00EA14E4"/>
    <w:rsid w:val="00EA154B"/>
    <w:rsid w:val="00EA1553"/>
    <w:rsid w:val="00EA1659"/>
    <w:rsid w:val="00EA167B"/>
    <w:rsid w:val="00EA171D"/>
    <w:rsid w:val="00EA17E4"/>
    <w:rsid w:val="00EA1AFF"/>
    <w:rsid w:val="00EA1CDF"/>
    <w:rsid w:val="00EA1D28"/>
    <w:rsid w:val="00EA1D48"/>
    <w:rsid w:val="00EA1F89"/>
    <w:rsid w:val="00EA216F"/>
    <w:rsid w:val="00EA22AB"/>
    <w:rsid w:val="00EA2866"/>
    <w:rsid w:val="00EA2957"/>
    <w:rsid w:val="00EA2A52"/>
    <w:rsid w:val="00EA2A6F"/>
    <w:rsid w:val="00EA2A7E"/>
    <w:rsid w:val="00EA2C74"/>
    <w:rsid w:val="00EA2E86"/>
    <w:rsid w:val="00EA3003"/>
    <w:rsid w:val="00EA327B"/>
    <w:rsid w:val="00EA3438"/>
    <w:rsid w:val="00EA3761"/>
    <w:rsid w:val="00EA37D9"/>
    <w:rsid w:val="00EA3C0B"/>
    <w:rsid w:val="00EA3E47"/>
    <w:rsid w:val="00EA3E67"/>
    <w:rsid w:val="00EA4085"/>
    <w:rsid w:val="00EA4371"/>
    <w:rsid w:val="00EA43C6"/>
    <w:rsid w:val="00EA4408"/>
    <w:rsid w:val="00EA448C"/>
    <w:rsid w:val="00EA4813"/>
    <w:rsid w:val="00EA4893"/>
    <w:rsid w:val="00EA499F"/>
    <w:rsid w:val="00EA4DB6"/>
    <w:rsid w:val="00EA4E2A"/>
    <w:rsid w:val="00EA4ED2"/>
    <w:rsid w:val="00EA4F19"/>
    <w:rsid w:val="00EA4F54"/>
    <w:rsid w:val="00EA552E"/>
    <w:rsid w:val="00EA559C"/>
    <w:rsid w:val="00EA56A8"/>
    <w:rsid w:val="00EA588F"/>
    <w:rsid w:val="00EA59FA"/>
    <w:rsid w:val="00EA5BA8"/>
    <w:rsid w:val="00EA5CF8"/>
    <w:rsid w:val="00EA5E28"/>
    <w:rsid w:val="00EA68BC"/>
    <w:rsid w:val="00EA6984"/>
    <w:rsid w:val="00EA69D1"/>
    <w:rsid w:val="00EA69D3"/>
    <w:rsid w:val="00EA69DB"/>
    <w:rsid w:val="00EA69E2"/>
    <w:rsid w:val="00EA6A4D"/>
    <w:rsid w:val="00EA6A77"/>
    <w:rsid w:val="00EA6A8B"/>
    <w:rsid w:val="00EA705E"/>
    <w:rsid w:val="00EA719E"/>
    <w:rsid w:val="00EA72EA"/>
    <w:rsid w:val="00EA736A"/>
    <w:rsid w:val="00EA7440"/>
    <w:rsid w:val="00EA74B8"/>
    <w:rsid w:val="00EA78ED"/>
    <w:rsid w:val="00EA79D6"/>
    <w:rsid w:val="00EA7EC8"/>
    <w:rsid w:val="00EB0039"/>
    <w:rsid w:val="00EB03D5"/>
    <w:rsid w:val="00EB067B"/>
    <w:rsid w:val="00EB08E3"/>
    <w:rsid w:val="00EB0929"/>
    <w:rsid w:val="00EB0A98"/>
    <w:rsid w:val="00EB0E1C"/>
    <w:rsid w:val="00EB0E72"/>
    <w:rsid w:val="00EB0EE4"/>
    <w:rsid w:val="00EB12B4"/>
    <w:rsid w:val="00EB14B5"/>
    <w:rsid w:val="00EB1875"/>
    <w:rsid w:val="00EB1EA3"/>
    <w:rsid w:val="00EB1FC5"/>
    <w:rsid w:val="00EB2614"/>
    <w:rsid w:val="00EB2A90"/>
    <w:rsid w:val="00EB2B3D"/>
    <w:rsid w:val="00EB2BEA"/>
    <w:rsid w:val="00EB2C59"/>
    <w:rsid w:val="00EB2E01"/>
    <w:rsid w:val="00EB2E86"/>
    <w:rsid w:val="00EB3022"/>
    <w:rsid w:val="00EB30B4"/>
    <w:rsid w:val="00EB340B"/>
    <w:rsid w:val="00EB36F5"/>
    <w:rsid w:val="00EB389B"/>
    <w:rsid w:val="00EB39F9"/>
    <w:rsid w:val="00EB3A1B"/>
    <w:rsid w:val="00EB3AA4"/>
    <w:rsid w:val="00EB3AD1"/>
    <w:rsid w:val="00EB3DE1"/>
    <w:rsid w:val="00EB3EAA"/>
    <w:rsid w:val="00EB41B7"/>
    <w:rsid w:val="00EB453D"/>
    <w:rsid w:val="00EB45D6"/>
    <w:rsid w:val="00EB46E9"/>
    <w:rsid w:val="00EB49CD"/>
    <w:rsid w:val="00EB4B3D"/>
    <w:rsid w:val="00EB4BDB"/>
    <w:rsid w:val="00EB4C50"/>
    <w:rsid w:val="00EB4C98"/>
    <w:rsid w:val="00EB4EEA"/>
    <w:rsid w:val="00EB52EB"/>
    <w:rsid w:val="00EB53CF"/>
    <w:rsid w:val="00EB54DF"/>
    <w:rsid w:val="00EB551D"/>
    <w:rsid w:val="00EB5981"/>
    <w:rsid w:val="00EB5C7E"/>
    <w:rsid w:val="00EB5C95"/>
    <w:rsid w:val="00EB5D31"/>
    <w:rsid w:val="00EB6374"/>
    <w:rsid w:val="00EB661A"/>
    <w:rsid w:val="00EB6941"/>
    <w:rsid w:val="00EB6EFD"/>
    <w:rsid w:val="00EB6F79"/>
    <w:rsid w:val="00EB7471"/>
    <w:rsid w:val="00EB74B7"/>
    <w:rsid w:val="00EB78FE"/>
    <w:rsid w:val="00EB79B1"/>
    <w:rsid w:val="00EB7C0D"/>
    <w:rsid w:val="00EB7D66"/>
    <w:rsid w:val="00EC0172"/>
    <w:rsid w:val="00EC0286"/>
    <w:rsid w:val="00EC0536"/>
    <w:rsid w:val="00EC0D07"/>
    <w:rsid w:val="00EC0D4D"/>
    <w:rsid w:val="00EC0D56"/>
    <w:rsid w:val="00EC118E"/>
    <w:rsid w:val="00EC128B"/>
    <w:rsid w:val="00EC14F8"/>
    <w:rsid w:val="00EC1853"/>
    <w:rsid w:val="00EC19E7"/>
    <w:rsid w:val="00EC1AFA"/>
    <w:rsid w:val="00EC1BA3"/>
    <w:rsid w:val="00EC1D09"/>
    <w:rsid w:val="00EC1D0B"/>
    <w:rsid w:val="00EC1E19"/>
    <w:rsid w:val="00EC1F49"/>
    <w:rsid w:val="00EC208C"/>
    <w:rsid w:val="00EC2441"/>
    <w:rsid w:val="00EC2479"/>
    <w:rsid w:val="00EC2671"/>
    <w:rsid w:val="00EC2974"/>
    <w:rsid w:val="00EC2B81"/>
    <w:rsid w:val="00EC2B8E"/>
    <w:rsid w:val="00EC2D45"/>
    <w:rsid w:val="00EC30AA"/>
    <w:rsid w:val="00EC30D6"/>
    <w:rsid w:val="00EC311E"/>
    <w:rsid w:val="00EC3584"/>
    <w:rsid w:val="00EC360B"/>
    <w:rsid w:val="00EC36B3"/>
    <w:rsid w:val="00EC38F7"/>
    <w:rsid w:val="00EC3B1C"/>
    <w:rsid w:val="00EC3B89"/>
    <w:rsid w:val="00EC3E53"/>
    <w:rsid w:val="00EC41E5"/>
    <w:rsid w:val="00EC41E6"/>
    <w:rsid w:val="00EC44A2"/>
    <w:rsid w:val="00EC46BE"/>
    <w:rsid w:val="00EC4B7A"/>
    <w:rsid w:val="00EC4DB9"/>
    <w:rsid w:val="00EC4E8C"/>
    <w:rsid w:val="00EC5060"/>
    <w:rsid w:val="00EC5193"/>
    <w:rsid w:val="00EC5215"/>
    <w:rsid w:val="00EC532C"/>
    <w:rsid w:val="00EC5360"/>
    <w:rsid w:val="00EC58EE"/>
    <w:rsid w:val="00EC5903"/>
    <w:rsid w:val="00EC5ABB"/>
    <w:rsid w:val="00EC5E4A"/>
    <w:rsid w:val="00EC5E84"/>
    <w:rsid w:val="00EC61E9"/>
    <w:rsid w:val="00EC63C9"/>
    <w:rsid w:val="00EC63E2"/>
    <w:rsid w:val="00EC6774"/>
    <w:rsid w:val="00EC68F6"/>
    <w:rsid w:val="00EC6C2B"/>
    <w:rsid w:val="00EC6E74"/>
    <w:rsid w:val="00EC724D"/>
    <w:rsid w:val="00EC73FB"/>
    <w:rsid w:val="00EC7488"/>
    <w:rsid w:val="00EC79C6"/>
    <w:rsid w:val="00EC7A33"/>
    <w:rsid w:val="00ED0242"/>
    <w:rsid w:val="00ED03B6"/>
    <w:rsid w:val="00ED0452"/>
    <w:rsid w:val="00ED051F"/>
    <w:rsid w:val="00ED0843"/>
    <w:rsid w:val="00ED10CB"/>
    <w:rsid w:val="00ED13A2"/>
    <w:rsid w:val="00ED1496"/>
    <w:rsid w:val="00ED162C"/>
    <w:rsid w:val="00ED1842"/>
    <w:rsid w:val="00ED19DF"/>
    <w:rsid w:val="00ED1EAD"/>
    <w:rsid w:val="00ED1F36"/>
    <w:rsid w:val="00ED2424"/>
    <w:rsid w:val="00ED2664"/>
    <w:rsid w:val="00ED2689"/>
    <w:rsid w:val="00ED2919"/>
    <w:rsid w:val="00ED295D"/>
    <w:rsid w:val="00ED2AE2"/>
    <w:rsid w:val="00ED2D17"/>
    <w:rsid w:val="00ED2DB2"/>
    <w:rsid w:val="00ED2F1A"/>
    <w:rsid w:val="00ED2F75"/>
    <w:rsid w:val="00ED3245"/>
    <w:rsid w:val="00ED354C"/>
    <w:rsid w:val="00ED37E2"/>
    <w:rsid w:val="00ED3811"/>
    <w:rsid w:val="00ED3836"/>
    <w:rsid w:val="00ED3977"/>
    <w:rsid w:val="00ED3AE8"/>
    <w:rsid w:val="00ED3DC3"/>
    <w:rsid w:val="00ED3EE6"/>
    <w:rsid w:val="00ED411E"/>
    <w:rsid w:val="00ED4308"/>
    <w:rsid w:val="00ED4406"/>
    <w:rsid w:val="00ED496D"/>
    <w:rsid w:val="00ED4AE0"/>
    <w:rsid w:val="00ED4B2D"/>
    <w:rsid w:val="00ED4E74"/>
    <w:rsid w:val="00ED4FD7"/>
    <w:rsid w:val="00ED5006"/>
    <w:rsid w:val="00ED51CB"/>
    <w:rsid w:val="00ED5380"/>
    <w:rsid w:val="00ED54A8"/>
    <w:rsid w:val="00ED5984"/>
    <w:rsid w:val="00ED5AE9"/>
    <w:rsid w:val="00ED5BEB"/>
    <w:rsid w:val="00ED5D23"/>
    <w:rsid w:val="00ED5F66"/>
    <w:rsid w:val="00ED6156"/>
    <w:rsid w:val="00ED615F"/>
    <w:rsid w:val="00ED63A5"/>
    <w:rsid w:val="00ED648D"/>
    <w:rsid w:val="00ED6587"/>
    <w:rsid w:val="00ED660A"/>
    <w:rsid w:val="00ED66BA"/>
    <w:rsid w:val="00ED6958"/>
    <w:rsid w:val="00ED6BCF"/>
    <w:rsid w:val="00ED6FCE"/>
    <w:rsid w:val="00ED705A"/>
    <w:rsid w:val="00ED7327"/>
    <w:rsid w:val="00ED7342"/>
    <w:rsid w:val="00ED7427"/>
    <w:rsid w:val="00ED76E1"/>
    <w:rsid w:val="00ED796D"/>
    <w:rsid w:val="00ED79CE"/>
    <w:rsid w:val="00ED7BC0"/>
    <w:rsid w:val="00ED7BDD"/>
    <w:rsid w:val="00ED7D49"/>
    <w:rsid w:val="00EE0119"/>
    <w:rsid w:val="00EE0A74"/>
    <w:rsid w:val="00EE0D68"/>
    <w:rsid w:val="00EE0E9A"/>
    <w:rsid w:val="00EE1073"/>
    <w:rsid w:val="00EE134C"/>
    <w:rsid w:val="00EE1957"/>
    <w:rsid w:val="00EE1DD4"/>
    <w:rsid w:val="00EE1E15"/>
    <w:rsid w:val="00EE1E48"/>
    <w:rsid w:val="00EE1F51"/>
    <w:rsid w:val="00EE1FAE"/>
    <w:rsid w:val="00EE21E6"/>
    <w:rsid w:val="00EE22A3"/>
    <w:rsid w:val="00EE28EB"/>
    <w:rsid w:val="00EE2A5E"/>
    <w:rsid w:val="00EE2DD4"/>
    <w:rsid w:val="00EE2E12"/>
    <w:rsid w:val="00EE30A5"/>
    <w:rsid w:val="00EE3113"/>
    <w:rsid w:val="00EE3304"/>
    <w:rsid w:val="00EE3A87"/>
    <w:rsid w:val="00EE3ACB"/>
    <w:rsid w:val="00EE3EB3"/>
    <w:rsid w:val="00EE3F96"/>
    <w:rsid w:val="00EE401F"/>
    <w:rsid w:val="00EE407A"/>
    <w:rsid w:val="00EE4131"/>
    <w:rsid w:val="00EE41E2"/>
    <w:rsid w:val="00EE4422"/>
    <w:rsid w:val="00EE487B"/>
    <w:rsid w:val="00EE48C0"/>
    <w:rsid w:val="00EE4B18"/>
    <w:rsid w:val="00EE4DD9"/>
    <w:rsid w:val="00EE5503"/>
    <w:rsid w:val="00EE5505"/>
    <w:rsid w:val="00EE551D"/>
    <w:rsid w:val="00EE5595"/>
    <w:rsid w:val="00EE5A3E"/>
    <w:rsid w:val="00EE5A58"/>
    <w:rsid w:val="00EE5E37"/>
    <w:rsid w:val="00EE6300"/>
    <w:rsid w:val="00EE637E"/>
    <w:rsid w:val="00EE64FE"/>
    <w:rsid w:val="00EE651A"/>
    <w:rsid w:val="00EE6695"/>
    <w:rsid w:val="00EE6992"/>
    <w:rsid w:val="00EE6AD4"/>
    <w:rsid w:val="00EE6B2C"/>
    <w:rsid w:val="00EE6DD6"/>
    <w:rsid w:val="00EE7352"/>
    <w:rsid w:val="00EE73A5"/>
    <w:rsid w:val="00EE73B1"/>
    <w:rsid w:val="00EE76EB"/>
    <w:rsid w:val="00EE77D7"/>
    <w:rsid w:val="00EE78C8"/>
    <w:rsid w:val="00EE796A"/>
    <w:rsid w:val="00EE79B0"/>
    <w:rsid w:val="00EE79BB"/>
    <w:rsid w:val="00EE7A1E"/>
    <w:rsid w:val="00EE7ABC"/>
    <w:rsid w:val="00EE7B7A"/>
    <w:rsid w:val="00EE7EF5"/>
    <w:rsid w:val="00EE7FBB"/>
    <w:rsid w:val="00EF008E"/>
    <w:rsid w:val="00EF01AE"/>
    <w:rsid w:val="00EF0368"/>
    <w:rsid w:val="00EF0462"/>
    <w:rsid w:val="00EF0556"/>
    <w:rsid w:val="00EF0682"/>
    <w:rsid w:val="00EF06F2"/>
    <w:rsid w:val="00EF095B"/>
    <w:rsid w:val="00EF0A45"/>
    <w:rsid w:val="00EF0A88"/>
    <w:rsid w:val="00EF0B11"/>
    <w:rsid w:val="00EF0B18"/>
    <w:rsid w:val="00EF0D69"/>
    <w:rsid w:val="00EF0DAE"/>
    <w:rsid w:val="00EF0E4B"/>
    <w:rsid w:val="00EF0E7F"/>
    <w:rsid w:val="00EF0F92"/>
    <w:rsid w:val="00EF1004"/>
    <w:rsid w:val="00EF1008"/>
    <w:rsid w:val="00EF10A1"/>
    <w:rsid w:val="00EF10D7"/>
    <w:rsid w:val="00EF136B"/>
    <w:rsid w:val="00EF1763"/>
    <w:rsid w:val="00EF17AB"/>
    <w:rsid w:val="00EF17C9"/>
    <w:rsid w:val="00EF1A30"/>
    <w:rsid w:val="00EF1AD2"/>
    <w:rsid w:val="00EF1CB8"/>
    <w:rsid w:val="00EF1D15"/>
    <w:rsid w:val="00EF1E3B"/>
    <w:rsid w:val="00EF1FAD"/>
    <w:rsid w:val="00EF23B8"/>
    <w:rsid w:val="00EF2424"/>
    <w:rsid w:val="00EF2429"/>
    <w:rsid w:val="00EF257A"/>
    <w:rsid w:val="00EF274D"/>
    <w:rsid w:val="00EF27B8"/>
    <w:rsid w:val="00EF2873"/>
    <w:rsid w:val="00EF28F6"/>
    <w:rsid w:val="00EF2A24"/>
    <w:rsid w:val="00EF2A7E"/>
    <w:rsid w:val="00EF2BEE"/>
    <w:rsid w:val="00EF2CEF"/>
    <w:rsid w:val="00EF2F64"/>
    <w:rsid w:val="00EF34B7"/>
    <w:rsid w:val="00EF3661"/>
    <w:rsid w:val="00EF3815"/>
    <w:rsid w:val="00EF39CD"/>
    <w:rsid w:val="00EF3A92"/>
    <w:rsid w:val="00EF3BA3"/>
    <w:rsid w:val="00EF3C24"/>
    <w:rsid w:val="00EF3EB8"/>
    <w:rsid w:val="00EF4049"/>
    <w:rsid w:val="00EF4198"/>
    <w:rsid w:val="00EF41C3"/>
    <w:rsid w:val="00EF4396"/>
    <w:rsid w:val="00EF440B"/>
    <w:rsid w:val="00EF4591"/>
    <w:rsid w:val="00EF4A72"/>
    <w:rsid w:val="00EF4B77"/>
    <w:rsid w:val="00EF4CC4"/>
    <w:rsid w:val="00EF4DF8"/>
    <w:rsid w:val="00EF4FF2"/>
    <w:rsid w:val="00EF5116"/>
    <w:rsid w:val="00EF53F0"/>
    <w:rsid w:val="00EF5587"/>
    <w:rsid w:val="00EF55B2"/>
    <w:rsid w:val="00EF590E"/>
    <w:rsid w:val="00EF59D4"/>
    <w:rsid w:val="00EF5C81"/>
    <w:rsid w:val="00EF5D10"/>
    <w:rsid w:val="00EF6035"/>
    <w:rsid w:val="00EF614D"/>
    <w:rsid w:val="00EF6177"/>
    <w:rsid w:val="00EF68FD"/>
    <w:rsid w:val="00EF6A41"/>
    <w:rsid w:val="00EF6EB1"/>
    <w:rsid w:val="00EF6ECF"/>
    <w:rsid w:val="00EF6F19"/>
    <w:rsid w:val="00EF6F9C"/>
    <w:rsid w:val="00EF7287"/>
    <w:rsid w:val="00EF72A2"/>
    <w:rsid w:val="00EF7306"/>
    <w:rsid w:val="00EF7347"/>
    <w:rsid w:val="00EF736C"/>
    <w:rsid w:val="00EF73C6"/>
    <w:rsid w:val="00EF73C7"/>
    <w:rsid w:val="00EF788F"/>
    <w:rsid w:val="00EF7A06"/>
    <w:rsid w:val="00EF7C3F"/>
    <w:rsid w:val="00EF7C86"/>
    <w:rsid w:val="00EF7EBA"/>
    <w:rsid w:val="00EF7F21"/>
    <w:rsid w:val="00EF7FA9"/>
    <w:rsid w:val="00F0006E"/>
    <w:rsid w:val="00F0012D"/>
    <w:rsid w:val="00F0028D"/>
    <w:rsid w:val="00F002E4"/>
    <w:rsid w:val="00F00403"/>
    <w:rsid w:val="00F00416"/>
    <w:rsid w:val="00F00587"/>
    <w:rsid w:val="00F006E0"/>
    <w:rsid w:val="00F0087C"/>
    <w:rsid w:val="00F00AFF"/>
    <w:rsid w:val="00F00D70"/>
    <w:rsid w:val="00F00D9E"/>
    <w:rsid w:val="00F00DF4"/>
    <w:rsid w:val="00F00FAF"/>
    <w:rsid w:val="00F01013"/>
    <w:rsid w:val="00F010A3"/>
    <w:rsid w:val="00F01170"/>
    <w:rsid w:val="00F01272"/>
    <w:rsid w:val="00F01461"/>
    <w:rsid w:val="00F01484"/>
    <w:rsid w:val="00F01632"/>
    <w:rsid w:val="00F017B6"/>
    <w:rsid w:val="00F018A4"/>
    <w:rsid w:val="00F019F3"/>
    <w:rsid w:val="00F01BBF"/>
    <w:rsid w:val="00F01D11"/>
    <w:rsid w:val="00F01EC7"/>
    <w:rsid w:val="00F01F17"/>
    <w:rsid w:val="00F02019"/>
    <w:rsid w:val="00F0213B"/>
    <w:rsid w:val="00F02159"/>
    <w:rsid w:val="00F0240B"/>
    <w:rsid w:val="00F02511"/>
    <w:rsid w:val="00F02576"/>
    <w:rsid w:val="00F027A8"/>
    <w:rsid w:val="00F02B05"/>
    <w:rsid w:val="00F02F83"/>
    <w:rsid w:val="00F03103"/>
    <w:rsid w:val="00F0313B"/>
    <w:rsid w:val="00F0335D"/>
    <w:rsid w:val="00F033CD"/>
    <w:rsid w:val="00F03401"/>
    <w:rsid w:val="00F035F0"/>
    <w:rsid w:val="00F0374E"/>
    <w:rsid w:val="00F03A81"/>
    <w:rsid w:val="00F03A9E"/>
    <w:rsid w:val="00F03AD2"/>
    <w:rsid w:val="00F03C1C"/>
    <w:rsid w:val="00F03D2D"/>
    <w:rsid w:val="00F04057"/>
    <w:rsid w:val="00F0427D"/>
    <w:rsid w:val="00F04894"/>
    <w:rsid w:val="00F04F98"/>
    <w:rsid w:val="00F04FD6"/>
    <w:rsid w:val="00F05944"/>
    <w:rsid w:val="00F05C42"/>
    <w:rsid w:val="00F05CDA"/>
    <w:rsid w:val="00F05ED9"/>
    <w:rsid w:val="00F05F02"/>
    <w:rsid w:val="00F06096"/>
    <w:rsid w:val="00F061CA"/>
    <w:rsid w:val="00F06572"/>
    <w:rsid w:val="00F067B1"/>
    <w:rsid w:val="00F0685F"/>
    <w:rsid w:val="00F06DCE"/>
    <w:rsid w:val="00F07373"/>
    <w:rsid w:val="00F074C5"/>
    <w:rsid w:val="00F0777C"/>
    <w:rsid w:val="00F07AB9"/>
    <w:rsid w:val="00F07B9E"/>
    <w:rsid w:val="00F07BE8"/>
    <w:rsid w:val="00F07D53"/>
    <w:rsid w:val="00F07E99"/>
    <w:rsid w:val="00F07EA8"/>
    <w:rsid w:val="00F07F17"/>
    <w:rsid w:val="00F07F6C"/>
    <w:rsid w:val="00F1052E"/>
    <w:rsid w:val="00F105C9"/>
    <w:rsid w:val="00F107A7"/>
    <w:rsid w:val="00F1091F"/>
    <w:rsid w:val="00F10B87"/>
    <w:rsid w:val="00F11394"/>
    <w:rsid w:val="00F115AD"/>
    <w:rsid w:val="00F115FF"/>
    <w:rsid w:val="00F11827"/>
    <w:rsid w:val="00F11BEE"/>
    <w:rsid w:val="00F11D94"/>
    <w:rsid w:val="00F12164"/>
    <w:rsid w:val="00F12496"/>
    <w:rsid w:val="00F12547"/>
    <w:rsid w:val="00F1275E"/>
    <w:rsid w:val="00F12883"/>
    <w:rsid w:val="00F12B5A"/>
    <w:rsid w:val="00F12CEE"/>
    <w:rsid w:val="00F12FEB"/>
    <w:rsid w:val="00F13016"/>
    <w:rsid w:val="00F1306F"/>
    <w:rsid w:val="00F130B8"/>
    <w:rsid w:val="00F13441"/>
    <w:rsid w:val="00F13595"/>
    <w:rsid w:val="00F139E5"/>
    <w:rsid w:val="00F13B28"/>
    <w:rsid w:val="00F13BF4"/>
    <w:rsid w:val="00F140BF"/>
    <w:rsid w:val="00F1425A"/>
    <w:rsid w:val="00F1425C"/>
    <w:rsid w:val="00F14267"/>
    <w:rsid w:val="00F14277"/>
    <w:rsid w:val="00F142D8"/>
    <w:rsid w:val="00F14408"/>
    <w:rsid w:val="00F149EB"/>
    <w:rsid w:val="00F14AE0"/>
    <w:rsid w:val="00F14C55"/>
    <w:rsid w:val="00F14F41"/>
    <w:rsid w:val="00F1523E"/>
    <w:rsid w:val="00F15281"/>
    <w:rsid w:val="00F15553"/>
    <w:rsid w:val="00F1570F"/>
    <w:rsid w:val="00F1595A"/>
    <w:rsid w:val="00F15B4D"/>
    <w:rsid w:val="00F15CB5"/>
    <w:rsid w:val="00F15DE9"/>
    <w:rsid w:val="00F15F4E"/>
    <w:rsid w:val="00F15FDF"/>
    <w:rsid w:val="00F15FE6"/>
    <w:rsid w:val="00F1608B"/>
    <w:rsid w:val="00F161D5"/>
    <w:rsid w:val="00F16320"/>
    <w:rsid w:val="00F16581"/>
    <w:rsid w:val="00F16666"/>
    <w:rsid w:val="00F16680"/>
    <w:rsid w:val="00F168C5"/>
    <w:rsid w:val="00F16A38"/>
    <w:rsid w:val="00F16AF3"/>
    <w:rsid w:val="00F16AFF"/>
    <w:rsid w:val="00F16DF5"/>
    <w:rsid w:val="00F17218"/>
    <w:rsid w:val="00F17299"/>
    <w:rsid w:val="00F172A0"/>
    <w:rsid w:val="00F172A9"/>
    <w:rsid w:val="00F173D2"/>
    <w:rsid w:val="00F174DE"/>
    <w:rsid w:val="00F17526"/>
    <w:rsid w:val="00F179AE"/>
    <w:rsid w:val="00F179FE"/>
    <w:rsid w:val="00F17A2D"/>
    <w:rsid w:val="00F17EB3"/>
    <w:rsid w:val="00F17FBA"/>
    <w:rsid w:val="00F17FF9"/>
    <w:rsid w:val="00F200A3"/>
    <w:rsid w:val="00F200C5"/>
    <w:rsid w:val="00F20223"/>
    <w:rsid w:val="00F2061C"/>
    <w:rsid w:val="00F20628"/>
    <w:rsid w:val="00F206FC"/>
    <w:rsid w:val="00F2078C"/>
    <w:rsid w:val="00F20918"/>
    <w:rsid w:val="00F209FB"/>
    <w:rsid w:val="00F20ABF"/>
    <w:rsid w:val="00F20CF7"/>
    <w:rsid w:val="00F20D6D"/>
    <w:rsid w:val="00F20F33"/>
    <w:rsid w:val="00F20FDD"/>
    <w:rsid w:val="00F2148D"/>
    <w:rsid w:val="00F215BB"/>
    <w:rsid w:val="00F217F5"/>
    <w:rsid w:val="00F21BCE"/>
    <w:rsid w:val="00F21DFB"/>
    <w:rsid w:val="00F21E35"/>
    <w:rsid w:val="00F22013"/>
    <w:rsid w:val="00F22089"/>
    <w:rsid w:val="00F22101"/>
    <w:rsid w:val="00F22173"/>
    <w:rsid w:val="00F2217B"/>
    <w:rsid w:val="00F223A2"/>
    <w:rsid w:val="00F223FE"/>
    <w:rsid w:val="00F224E7"/>
    <w:rsid w:val="00F22526"/>
    <w:rsid w:val="00F22781"/>
    <w:rsid w:val="00F22ABD"/>
    <w:rsid w:val="00F22CE7"/>
    <w:rsid w:val="00F22CF7"/>
    <w:rsid w:val="00F22FD7"/>
    <w:rsid w:val="00F22FDF"/>
    <w:rsid w:val="00F23131"/>
    <w:rsid w:val="00F234E5"/>
    <w:rsid w:val="00F23664"/>
    <w:rsid w:val="00F2372D"/>
    <w:rsid w:val="00F2380C"/>
    <w:rsid w:val="00F238AC"/>
    <w:rsid w:val="00F23F54"/>
    <w:rsid w:val="00F2409D"/>
    <w:rsid w:val="00F242F6"/>
    <w:rsid w:val="00F2485C"/>
    <w:rsid w:val="00F248CD"/>
    <w:rsid w:val="00F24948"/>
    <w:rsid w:val="00F24952"/>
    <w:rsid w:val="00F249A3"/>
    <w:rsid w:val="00F24AF2"/>
    <w:rsid w:val="00F24CDD"/>
    <w:rsid w:val="00F24E3E"/>
    <w:rsid w:val="00F250DE"/>
    <w:rsid w:val="00F251A0"/>
    <w:rsid w:val="00F252B9"/>
    <w:rsid w:val="00F2530D"/>
    <w:rsid w:val="00F25431"/>
    <w:rsid w:val="00F25653"/>
    <w:rsid w:val="00F2577A"/>
    <w:rsid w:val="00F257E2"/>
    <w:rsid w:val="00F25836"/>
    <w:rsid w:val="00F25B19"/>
    <w:rsid w:val="00F25CD0"/>
    <w:rsid w:val="00F25E7D"/>
    <w:rsid w:val="00F261C5"/>
    <w:rsid w:val="00F263C3"/>
    <w:rsid w:val="00F263EC"/>
    <w:rsid w:val="00F2644D"/>
    <w:rsid w:val="00F2673A"/>
    <w:rsid w:val="00F2679B"/>
    <w:rsid w:val="00F267D4"/>
    <w:rsid w:val="00F26B1E"/>
    <w:rsid w:val="00F26D34"/>
    <w:rsid w:val="00F27C33"/>
    <w:rsid w:val="00F27EB7"/>
    <w:rsid w:val="00F27F2C"/>
    <w:rsid w:val="00F27F41"/>
    <w:rsid w:val="00F30160"/>
    <w:rsid w:val="00F301FB"/>
    <w:rsid w:val="00F30409"/>
    <w:rsid w:val="00F30506"/>
    <w:rsid w:val="00F306A4"/>
    <w:rsid w:val="00F30745"/>
    <w:rsid w:val="00F30C5C"/>
    <w:rsid w:val="00F30D19"/>
    <w:rsid w:val="00F30D1F"/>
    <w:rsid w:val="00F30F42"/>
    <w:rsid w:val="00F3128D"/>
    <w:rsid w:val="00F313A6"/>
    <w:rsid w:val="00F3155F"/>
    <w:rsid w:val="00F315B9"/>
    <w:rsid w:val="00F315BF"/>
    <w:rsid w:val="00F31656"/>
    <w:rsid w:val="00F31FA7"/>
    <w:rsid w:val="00F32177"/>
    <w:rsid w:val="00F32277"/>
    <w:rsid w:val="00F3241A"/>
    <w:rsid w:val="00F325F6"/>
    <w:rsid w:val="00F326D6"/>
    <w:rsid w:val="00F327F7"/>
    <w:rsid w:val="00F3292F"/>
    <w:rsid w:val="00F32A22"/>
    <w:rsid w:val="00F32B90"/>
    <w:rsid w:val="00F32E59"/>
    <w:rsid w:val="00F32ED9"/>
    <w:rsid w:val="00F33139"/>
    <w:rsid w:val="00F33497"/>
    <w:rsid w:val="00F336FB"/>
    <w:rsid w:val="00F3374E"/>
    <w:rsid w:val="00F337D4"/>
    <w:rsid w:val="00F33959"/>
    <w:rsid w:val="00F33D28"/>
    <w:rsid w:val="00F33D95"/>
    <w:rsid w:val="00F33F67"/>
    <w:rsid w:val="00F3409E"/>
    <w:rsid w:val="00F343E9"/>
    <w:rsid w:val="00F3442E"/>
    <w:rsid w:val="00F3449F"/>
    <w:rsid w:val="00F344D4"/>
    <w:rsid w:val="00F34642"/>
    <w:rsid w:val="00F34922"/>
    <w:rsid w:val="00F34BBD"/>
    <w:rsid w:val="00F35076"/>
    <w:rsid w:val="00F35118"/>
    <w:rsid w:val="00F351B9"/>
    <w:rsid w:val="00F351C8"/>
    <w:rsid w:val="00F3553D"/>
    <w:rsid w:val="00F3554F"/>
    <w:rsid w:val="00F357ED"/>
    <w:rsid w:val="00F35853"/>
    <w:rsid w:val="00F358AD"/>
    <w:rsid w:val="00F35CC2"/>
    <w:rsid w:val="00F35DD3"/>
    <w:rsid w:val="00F35EC0"/>
    <w:rsid w:val="00F360D3"/>
    <w:rsid w:val="00F36274"/>
    <w:rsid w:val="00F3627C"/>
    <w:rsid w:val="00F364F8"/>
    <w:rsid w:val="00F3655C"/>
    <w:rsid w:val="00F3672F"/>
    <w:rsid w:val="00F368A0"/>
    <w:rsid w:val="00F36DBE"/>
    <w:rsid w:val="00F36DE4"/>
    <w:rsid w:val="00F36F82"/>
    <w:rsid w:val="00F371E5"/>
    <w:rsid w:val="00F3738D"/>
    <w:rsid w:val="00F373DD"/>
    <w:rsid w:val="00F375AA"/>
    <w:rsid w:val="00F3773B"/>
    <w:rsid w:val="00F37782"/>
    <w:rsid w:val="00F377A4"/>
    <w:rsid w:val="00F37942"/>
    <w:rsid w:val="00F37A58"/>
    <w:rsid w:val="00F37B33"/>
    <w:rsid w:val="00F37DE6"/>
    <w:rsid w:val="00F4016E"/>
    <w:rsid w:val="00F4021C"/>
    <w:rsid w:val="00F403BE"/>
    <w:rsid w:val="00F403FC"/>
    <w:rsid w:val="00F404B5"/>
    <w:rsid w:val="00F4053B"/>
    <w:rsid w:val="00F405DA"/>
    <w:rsid w:val="00F40761"/>
    <w:rsid w:val="00F4089D"/>
    <w:rsid w:val="00F409AA"/>
    <w:rsid w:val="00F409ED"/>
    <w:rsid w:val="00F40D67"/>
    <w:rsid w:val="00F40E35"/>
    <w:rsid w:val="00F40F26"/>
    <w:rsid w:val="00F40FAF"/>
    <w:rsid w:val="00F410CA"/>
    <w:rsid w:val="00F4121E"/>
    <w:rsid w:val="00F41770"/>
    <w:rsid w:val="00F41914"/>
    <w:rsid w:val="00F41BDA"/>
    <w:rsid w:val="00F41CC8"/>
    <w:rsid w:val="00F41FED"/>
    <w:rsid w:val="00F42672"/>
    <w:rsid w:val="00F42826"/>
    <w:rsid w:val="00F4292A"/>
    <w:rsid w:val="00F4296E"/>
    <w:rsid w:val="00F4297F"/>
    <w:rsid w:val="00F42AF1"/>
    <w:rsid w:val="00F4301C"/>
    <w:rsid w:val="00F430BD"/>
    <w:rsid w:val="00F43311"/>
    <w:rsid w:val="00F4369B"/>
    <w:rsid w:val="00F43B5B"/>
    <w:rsid w:val="00F43F2B"/>
    <w:rsid w:val="00F43F4E"/>
    <w:rsid w:val="00F44185"/>
    <w:rsid w:val="00F441DE"/>
    <w:rsid w:val="00F4458C"/>
    <w:rsid w:val="00F445A7"/>
    <w:rsid w:val="00F44751"/>
    <w:rsid w:val="00F44BA4"/>
    <w:rsid w:val="00F44DC9"/>
    <w:rsid w:val="00F44EBB"/>
    <w:rsid w:val="00F451D3"/>
    <w:rsid w:val="00F45279"/>
    <w:rsid w:val="00F453B0"/>
    <w:rsid w:val="00F454DD"/>
    <w:rsid w:val="00F45649"/>
    <w:rsid w:val="00F457DD"/>
    <w:rsid w:val="00F458B0"/>
    <w:rsid w:val="00F459EF"/>
    <w:rsid w:val="00F45AE7"/>
    <w:rsid w:val="00F45C6E"/>
    <w:rsid w:val="00F45CB8"/>
    <w:rsid w:val="00F461A3"/>
    <w:rsid w:val="00F464D4"/>
    <w:rsid w:val="00F465A3"/>
    <w:rsid w:val="00F46678"/>
    <w:rsid w:val="00F4685A"/>
    <w:rsid w:val="00F46891"/>
    <w:rsid w:val="00F468C9"/>
    <w:rsid w:val="00F469ED"/>
    <w:rsid w:val="00F46B2D"/>
    <w:rsid w:val="00F474F5"/>
    <w:rsid w:val="00F47588"/>
    <w:rsid w:val="00F476C7"/>
    <w:rsid w:val="00F47729"/>
    <w:rsid w:val="00F477B7"/>
    <w:rsid w:val="00F477E2"/>
    <w:rsid w:val="00F47804"/>
    <w:rsid w:val="00F47A8A"/>
    <w:rsid w:val="00F47DCA"/>
    <w:rsid w:val="00F50848"/>
    <w:rsid w:val="00F508BE"/>
    <w:rsid w:val="00F50BB7"/>
    <w:rsid w:val="00F50D1B"/>
    <w:rsid w:val="00F50D6C"/>
    <w:rsid w:val="00F50E2A"/>
    <w:rsid w:val="00F50F38"/>
    <w:rsid w:val="00F510BE"/>
    <w:rsid w:val="00F5112D"/>
    <w:rsid w:val="00F5130A"/>
    <w:rsid w:val="00F5146B"/>
    <w:rsid w:val="00F51498"/>
    <w:rsid w:val="00F515B4"/>
    <w:rsid w:val="00F517CA"/>
    <w:rsid w:val="00F521D2"/>
    <w:rsid w:val="00F523B7"/>
    <w:rsid w:val="00F524C9"/>
    <w:rsid w:val="00F5277F"/>
    <w:rsid w:val="00F52A8E"/>
    <w:rsid w:val="00F52CC7"/>
    <w:rsid w:val="00F52F61"/>
    <w:rsid w:val="00F5302C"/>
    <w:rsid w:val="00F53129"/>
    <w:rsid w:val="00F53141"/>
    <w:rsid w:val="00F538A5"/>
    <w:rsid w:val="00F53902"/>
    <w:rsid w:val="00F5392D"/>
    <w:rsid w:val="00F53BF3"/>
    <w:rsid w:val="00F53C7A"/>
    <w:rsid w:val="00F53CFA"/>
    <w:rsid w:val="00F53FC0"/>
    <w:rsid w:val="00F54140"/>
    <w:rsid w:val="00F5418C"/>
    <w:rsid w:val="00F54286"/>
    <w:rsid w:val="00F545FF"/>
    <w:rsid w:val="00F54710"/>
    <w:rsid w:val="00F547EA"/>
    <w:rsid w:val="00F549B2"/>
    <w:rsid w:val="00F549E1"/>
    <w:rsid w:val="00F54DF4"/>
    <w:rsid w:val="00F55077"/>
    <w:rsid w:val="00F5522F"/>
    <w:rsid w:val="00F55479"/>
    <w:rsid w:val="00F554BA"/>
    <w:rsid w:val="00F55634"/>
    <w:rsid w:val="00F55745"/>
    <w:rsid w:val="00F5580A"/>
    <w:rsid w:val="00F55F89"/>
    <w:rsid w:val="00F561EE"/>
    <w:rsid w:val="00F56292"/>
    <w:rsid w:val="00F5635E"/>
    <w:rsid w:val="00F56719"/>
    <w:rsid w:val="00F568FC"/>
    <w:rsid w:val="00F569B3"/>
    <w:rsid w:val="00F56A88"/>
    <w:rsid w:val="00F56C67"/>
    <w:rsid w:val="00F56E5C"/>
    <w:rsid w:val="00F56EBA"/>
    <w:rsid w:val="00F56EED"/>
    <w:rsid w:val="00F56EFB"/>
    <w:rsid w:val="00F56F82"/>
    <w:rsid w:val="00F56FDA"/>
    <w:rsid w:val="00F57020"/>
    <w:rsid w:val="00F5705F"/>
    <w:rsid w:val="00F57128"/>
    <w:rsid w:val="00F57157"/>
    <w:rsid w:val="00F5727B"/>
    <w:rsid w:val="00F57983"/>
    <w:rsid w:val="00F57A67"/>
    <w:rsid w:val="00F57AC4"/>
    <w:rsid w:val="00F57BD8"/>
    <w:rsid w:val="00F57E2F"/>
    <w:rsid w:val="00F6046C"/>
    <w:rsid w:val="00F6059D"/>
    <w:rsid w:val="00F60742"/>
    <w:rsid w:val="00F60790"/>
    <w:rsid w:val="00F60889"/>
    <w:rsid w:val="00F60A31"/>
    <w:rsid w:val="00F60D57"/>
    <w:rsid w:val="00F60EAD"/>
    <w:rsid w:val="00F60FB0"/>
    <w:rsid w:val="00F612F9"/>
    <w:rsid w:val="00F612FB"/>
    <w:rsid w:val="00F613D4"/>
    <w:rsid w:val="00F6156F"/>
    <w:rsid w:val="00F61714"/>
    <w:rsid w:val="00F6198C"/>
    <w:rsid w:val="00F619C4"/>
    <w:rsid w:val="00F61A59"/>
    <w:rsid w:val="00F61AB2"/>
    <w:rsid w:val="00F61ACC"/>
    <w:rsid w:val="00F61ED9"/>
    <w:rsid w:val="00F61FF1"/>
    <w:rsid w:val="00F62075"/>
    <w:rsid w:val="00F626B9"/>
    <w:rsid w:val="00F62785"/>
    <w:rsid w:val="00F62911"/>
    <w:rsid w:val="00F6299B"/>
    <w:rsid w:val="00F62F92"/>
    <w:rsid w:val="00F632B9"/>
    <w:rsid w:val="00F633B4"/>
    <w:rsid w:val="00F6349E"/>
    <w:rsid w:val="00F6368A"/>
    <w:rsid w:val="00F6399A"/>
    <w:rsid w:val="00F63A02"/>
    <w:rsid w:val="00F63E6B"/>
    <w:rsid w:val="00F64119"/>
    <w:rsid w:val="00F64167"/>
    <w:rsid w:val="00F6420C"/>
    <w:rsid w:val="00F64898"/>
    <w:rsid w:val="00F649EE"/>
    <w:rsid w:val="00F64ADD"/>
    <w:rsid w:val="00F64B72"/>
    <w:rsid w:val="00F64BBB"/>
    <w:rsid w:val="00F64F94"/>
    <w:rsid w:val="00F651D9"/>
    <w:rsid w:val="00F65359"/>
    <w:rsid w:val="00F65521"/>
    <w:rsid w:val="00F656DA"/>
    <w:rsid w:val="00F65739"/>
    <w:rsid w:val="00F65970"/>
    <w:rsid w:val="00F659D1"/>
    <w:rsid w:val="00F65B0D"/>
    <w:rsid w:val="00F65B1F"/>
    <w:rsid w:val="00F65E07"/>
    <w:rsid w:val="00F65E6A"/>
    <w:rsid w:val="00F6612E"/>
    <w:rsid w:val="00F66864"/>
    <w:rsid w:val="00F668BF"/>
    <w:rsid w:val="00F66A2C"/>
    <w:rsid w:val="00F66D51"/>
    <w:rsid w:val="00F66E7A"/>
    <w:rsid w:val="00F66FBB"/>
    <w:rsid w:val="00F67294"/>
    <w:rsid w:val="00F6736F"/>
    <w:rsid w:val="00F67575"/>
    <w:rsid w:val="00F675B3"/>
    <w:rsid w:val="00F675B8"/>
    <w:rsid w:val="00F67739"/>
    <w:rsid w:val="00F67822"/>
    <w:rsid w:val="00F67823"/>
    <w:rsid w:val="00F678AD"/>
    <w:rsid w:val="00F67AB5"/>
    <w:rsid w:val="00F67D6B"/>
    <w:rsid w:val="00F67DAC"/>
    <w:rsid w:val="00F700C3"/>
    <w:rsid w:val="00F7023E"/>
    <w:rsid w:val="00F703B1"/>
    <w:rsid w:val="00F705BC"/>
    <w:rsid w:val="00F7087F"/>
    <w:rsid w:val="00F70A67"/>
    <w:rsid w:val="00F70B9E"/>
    <w:rsid w:val="00F70F44"/>
    <w:rsid w:val="00F70FCF"/>
    <w:rsid w:val="00F710A9"/>
    <w:rsid w:val="00F71203"/>
    <w:rsid w:val="00F712D8"/>
    <w:rsid w:val="00F71377"/>
    <w:rsid w:val="00F71737"/>
    <w:rsid w:val="00F717AD"/>
    <w:rsid w:val="00F7191E"/>
    <w:rsid w:val="00F71D1B"/>
    <w:rsid w:val="00F7203A"/>
    <w:rsid w:val="00F723EB"/>
    <w:rsid w:val="00F72478"/>
    <w:rsid w:val="00F728CD"/>
    <w:rsid w:val="00F72A94"/>
    <w:rsid w:val="00F72C0B"/>
    <w:rsid w:val="00F72C88"/>
    <w:rsid w:val="00F737AB"/>
    <w:rsid w:val="00F7384C"/>
    <w:rsid w:val="00F73A60"/>
    <w:rsid w:val="00F73C61"/>
    <w:rsid w:val="00F73E4E"/>
    <w:rsid w:val="00F74051"/>
    <w:rsid w:val="00F74169"/>
    <w:rsid w:val="00F7424C"/>
    <w:rsid w:val="00F7473D"/>
    <w:rsid w:val="00F74745"/>
    <w:rsid w:val="00F747F8"/>
    <w:rsid w:val="00F7483C"/>
    <w:rsid w:val="00F74922"/>
    <w:rsid w:val="00F74929"/>
    <w:rsid w:val="00F74959"/>
    <w:rsid w:val="00F749E9"/>
    <w:rsid w:val="00F74B56"/>
    <w:rsid w:val="00F74B73"/>
    <w:rsid w:val="00F74D1A"/>
    <w:rsid w:val="00F74D8A"/>
    <w:rsid w:val="00F750E0"/>
    <w:rsid w:val="00F753DA"/>
    <w:rsid w:val="00F7540D"/>
    <w:rsid w:val="00F755E9"/>
    <w:rsid w:val="00F75604"/>
    <w:rsid w:val="00F7595A"/>
    <w:rsid w:val="00F75E83"/>
    <w:rsid w:val="00F75EC5"/>
    <w:rsid w:val="00F7610A"/>
    <w:rsid w:val="00F76482"/>
    <w:rsid w:val="00F7689A"/>
    <w:rsid w:val="00F76AB7"/>
    <w:rsid w:val="00F76AEA"/>
    <w:rsid w:val="00F76D49"/>
    <w:rsid w:val="00F76E4D"/>
    <w:rsid w:val="00F77184"/>
    <w:rsid w:val="00F773DA"/>
    <w:rsid w:val="00F7754C"/>
    <w:rsid w:val="00F7763B"/>
    <w:rsid w:val="00F77792"/>
    <w:rsid w:val="00F77793"/>
    <w:rsid w:val="00F777FC"/>
    <w:rsid w:val="00F7790C"/>
    <w:rsid w:val="00F77EE6"/>
    <w:rsid w:val="00F77F17"/>
    <w:rsid w:val="00F80434"/>
    <w:rsid w:val="00F80549"/>
    <w:rsid w:val="00F8080F"/>
    <w:rsid w:val="00F80816"/>
    <w:rsid w:val="00F80988"/>
    <w:rsid w:val="00F80BBE"/>
    <w:rsid w:val="00F80C53"/>
    <w:rsid w:val="00F80E47"/>
    <w:rsid w:val="00F81531"/>
    <w:rsid w:val="00F815DC"/>
    <w:rsid w:val="00F8166E"/>
    <w:rsid w:val="00F816C7"/>
    <w:rsid w:val="00F81843"/>
    <w:rsid w:val="00F81940"/>
    <w:rsid w:val="00F820D1"/>
    <w:rsid w:val="00F82192"/>
    <w:rsid w:val="00F822F2"/>
    <w:rsid w:val="00F82562"/>
    <w:rsid w:val="00F826BF"/>
    <w:rsid w:val="00F82706"/>
    <w:rsid w:val="00F828F5"/>
    <w:rsid w:val="00F82D98"/>
    <w:rsid w:val="00F82DCB"/>
    <w:rsid w:val="00F82ECE"/>
    <w:rsid w:val="00F82F86"/>
    <w:rsid w:val="00F832E8"/>
    <w:rsid w:val="00F83550"/>
    <w:rsid w:val="00F8364E"/>
    <w:rsid w:val="00F83B85"/>
    <w:rsid w:val="00F83F2E"/>
    <w:rsid w:val="00F84119"/>
    <w:rsid w:val="00F846CB"/>
    <w:rsid w:val="00F84885"/>
    <w:rsid w:val="00F84AD8"/>
    <w:rsid w:val="00F84B6C"/>
    <w:rsid w:val="00F84C08"/>
    <w:rsid w:val="00F84C9E"/>
    <w:rsid w:val="00F84CC0"/>
    <w:rsid w:val="00F84D78"/>
    <w:rsid w:val="00F851E7"/>
    <w:rsid w:val="00F851EA"/>
    <w:rsid w:val="00F8523A"/>
    <w:rsid w:val="00F85595"/>
    <w:rsid w:val="00F857DE"/>
    <w:rsid w:val="00F85950"/>
    <w:rsid w:val="00F85B10"/>
    <w:rsid w:val="00F85C0D"/>
    <w:rsid w:val="00F85F02"/>
    <w:rsid w:val="00F85F4C"/>
    <w:rsid w:val="00F86334"/>
    <w:rsid w:val="00F8637E"/>
    <w:rsid w:val="00F86774"/>
    <w:rsid w:val="00F867DD"/>
    <w:rsid w:val="00F86AD3"/>
    <w:rsid w:val="00F86FDF"/>
    <w:rsid w:val="00F874C2"/>
    <w:rsid w:val="00F87838"/>
    <w:rsid w:val="00F878B4"/>
    <w:rsid w:val="00F87920"/>
    <w:rsid w:val="00F8796B"/>
    <w:rsid w:val="00F8799A"/>
    <w:rsid w:val="00F87C30"/>
    <w:rsid w:val="00F87EFC"/>
    <w:rsid w:val="00F87F71"/>
    <w:rsid w:val="00F90120"/>
    <w:rsid w:val="00F90280"/>
    <w:rsid w:val="00F902E5"/>
    <w:rsid w:val="00F90338"/>
    <w:rsid w:val="00F90445"/>
    <w:rsid w:val="00F90484"/>
    <w:rsid w:val="00F90775"/>
    <w:rsid w:val="00F9090C"/>
    <w:rsid w:val="00F90AAF"/>
    <w:rsid w:val="00F90ABA"/>
    <w:rsid w:val="00F90FB5"/>
    <w:rsid w:val="00F91271"/>
    <w:rsid w:val="00F912C0"/>
    <w:rsid w:val="00F913BC"/>
    <w:rsid w:val="00F913ED"/>
    <w:rsid w:val="00F91468"/>
    <w:rsid w:val="00F914C4"/>
    <w:rsid w:val="00F919DA"/>
    <w:rsid w:val="00F91A67"/>
    <w:rsid w:val="00F91AC3"/>
    <w:rsid w:val="00F91B18"/>
    <w:rsid w:val="00F91C3A"/>
    <w:rsid w:val="00F91CF0"/>
    <w:rsid w:val="00F91D5B"/>
    <w:rsid w:val="00F91EB3"/>
    <w:rsid w:val="00F91EF9"/>
    <w:rsid w:val="00F91F73"/>
    <w:rsid w:val="00F92016"/>
    <w:rsid w:val="00F9205E"/>
    <w:rsid w:val="00F920C9"/>
    <w:rsid w:val="00F9235E"/>
    <w:rsid w:val="00F924F6"/>
    <w:rsid w:val="00F92965"/>
    <w:rsid w:val="00F931FB"/>
    <w:rsid w:val="00F93355"/>
    <w:rsid w:val="00F9339E"/>
    <w:rsid w:val="00F93795"/>
    <w:rsid w:val="00F938E8"/>
    <w:rsid w:val="00F93979"/>
    <w:rsid w:val="00F93B56"/>
    <w:rsid w:val="00F93C4E"/>
    <w:rsid w:val="00F93DB7"/>
    <w:rsid w:val="00F93EA8"/>
    <w:rsid w:val="00F93F88"/>
    <w:rsid w:val="00F94048"/>
    <w:rsid w:val="00F941F4"/>
    <w:rsid w:val="00F946BA"/>
    <w:rsid w:val="00F947B4"/>
    <w:rsid w:val="00F94920"/>
    <w:rsid w:val="00F949BD"/>
    <w:rsid w:val="00F94ABA"/>
    <w:rsid w:val="00F94BC0"/>
    <w:rsid w:val="00F94BF1"/>
    <w:rsid w:val="00F94D5D"/>
    <w:rsid w:val="00F94E83"/>
    <w:rsid w:val="00F94F19"/>
    <w:rsid w:val="00F94FBB"/>
    <w:rsid w:val="00F9527A"/>
    <w:rsid w:val="00F9564A"/>
    <w:rsid w:val="00F957A9"/>
    <w:rsid w:val="00F9588C"/>
    <w:rsid w:val="00F95900"/>
    <w:rsid w:val="00F959A8"/>
    <w:rsid w:val="00F959B3"/>
    <w:rsid w:val="00F95AE4"/>
    <w:rsid w:val="00F95CAE"/>
    <w:rsid w:val="00F96046"/>
    <w:rsid w:val="00F96049"/>
    <w:rsid w:val="00F96683"/>
    <w:rsid w:val="00F96986"/>
    <w:rsid w:val="00F969E9"/>
    <w:rsid w:val="00F96BCD"/>
    <w:rsid w:val="00F96F05"/>
    <w:rsid w:val="00F96F6A"/>
    <w:rsid w:val="00F97218"/>
    <w:rsid w:val="00F97349"/>
    <w:rsid w:val="00F976A8"/>
    <w:rsid w:val="00F976DC"/>
    <w:rsid w:val="00F97815"/>
    <w:rsid w:val="00F979E7"/>
    <w:rsid w:val="00F97B23"/>
    <w:rsid w:val="00F97E53"/>
    <w:rsid w:val="00FA0176"/>
    <w:rsid w:val="00FA065C"/>
    <w:rsid w:val="00FA0662"/>
    <w:rsid w:val="00FA082C"/>
    <w:rsid w:val="00FA0B44"/>
    <w:rsid w:val="00FA0CAB"/>
    <w:rsid w:val="00FA0D2C"/>
    <w:rsid w:val="00FA0D8B"/>
    <w:rsid w:val="00FA0FF6"/>
    <w:rsid w:val="00FA1398"/>
    <w:rsid w:val="00FA1595"/>
    <w:rsid w:val="00FA16B6"/>
    <w:rsid w:val="00FA1799"/>
    <w:rsid w:val="00FA1BC0"/>
    <w:rsid w:val="00FA1D76"/>
    <w:rsid w:val="00FA1F24"/>
    <w:rsid w:val="00FA20AE"/>
    <w:rsid w:val="00FA26CD"/>
    <w:rsid w:val="00FA2723"/>
    <w:rsid w:val="00FA278B"/>
    <w:rsid w:val="00FA2B8C"/>
    <w:rsid w:val="00FA2FF1"/>
    <w:rsid w:val="00FA3062"/>
    <w:rsid w:val="00FA33D8"/>
    <w:rsid w:val="00FA3961"/>
    <w:rsid w:val="00FA3B61"/>
    <w:rsid w:val="00FA4036"/>
    <w:rsid w:val="00FA41F1"/>
    <w:rsid w:val="00FA42FE"/>
    <w:rsid w:val="00FA44E9"/>
    <w:rsid w:val="00FA4634"/>
    <w:rsid w:val="00FA4798"/>
    <w:rsid w:val="00FA4857"/>
    <w:rsid w:val="00FA4B61"/>
    <w:rsid w:val="00FA4CDB"/>
    <w:rsid w:val="00FA4FAA"/>
    <w:rsid w:val="00FA5350"/>
    <w:rsid w:val="00FA5588"/>
    <w:rsid w:val="00FA5638"/>
    <w:rsid w:val="00FA56F2"/>
    <w:rsid w:val="00FA5848"/>
    <w:rsid w:val="00FA5D40"/>
    <w:rsid w:val="00FA5D80"/>
    <w:rsid w:val="00FA5DFC"/>
    <w:rsid w:val="00FA5E12"/>
    <w:rsid w:val="00FA5F09"/>
    <w:rsid w:val="00FA5F46"/>
    <w:rsid w:val="00FA5F85"/>
    <w:rsid w:val="00FA606C"/>
    <w:rsid w:val="00FA631F"/>
    <w:rsid w:val="00FA64DE"/>
    <w:rsid w:val="00FA6592"/>
    <w:rsid w:val="00FA65EF"/>
    <w:rsid w:val="00FA6640"/>
    <w:rsid w:val="00FA67CF"/>
    <w:rsid w:val="00FA6817"/>
    <w:rsid w:val="00FA68B9"/>
    <w:rsid w:val="00FA6B3B"/>
    <w:rsid w:val="00FA6F28"/>
    <w:rsid w:val="00FA6F74"/>
    <w:rsid w:val="00FA6FB8"/>
    <w:rsid w:val="00FA7062"/>
    <w:rsid w:val="00FA7273"/>
    <w:rsid w:val="00FA73A8"/>
    <w:rsid w:val="00FA7686"/>
    <w:rsid w:val="00FA77B0"/>
    <w:rsid w:val="00FA78CB"/>
    <w:rsid w:val="00FA7B58"/>
    <w:rsid w:val="00FB00BD"/>
    <w:rsid w:val="00FB05BB"/>
    <w:rsid w:val="00FB062A"/>
    <w:rsid w:val="00FB0667"/>
    <w:rsid w:val="00FB0727"/>
    <w:rsid w:val="00FB0729"/>
    <w:rsid w:val="00FB078B"/>
    <w:rsid w:val="00FB0824"/>
    <w:rsid w:val="00FB0A0B"/>
    <w:rsid w:val="00FB0B28"/>
    <w:rsid w:val="00FB0C77"/>
    <w:rsid w:val="00FB0D21"/>
    <w:rsid w:val="00FB0D2B"/>
    <w:rsid w:val="00FB0D58"/>
    <w:rsid w:val="00FB0DB6"/>
    <w:rsid w:val="00FB1166"/>
    <w:rsid w:val="00FB14DF"/>
    <w:rsid w:val="00FB1555"/>
    <w:rsid w:val="00FB1703"/>
    <w:rsid w:val="00FB18FF"/>
    <w:rsid w:val="00FB1973"/>
    <w:rsid w:val="00FB19A8"/>
    <w:rsid w:val="00FB1B2A"/>
    <w:rsid w:val="00FB1BB3"/>
    <w:rsid w:val="00FB1CC3"/>
    <w:rsid w:val="00FB1E00"/>
    <w:rsid w:val="00FB1E90"/>
    <w:rsid w:val="00FB1F8F"/>
    <w:rsid w:val="00FB20CD"/>
    <w:rsid w:val="00FB2803"/>
    <w:rsid w:val="00FB2A24"/>
    <w:rsid w:val="00FB2CFE"/>
    <w:rsid w:val="00FB2E5F"/>
    <w:rsid w:val="00FB2E72"/>
    <w:rsid w:val="00FB343F"/>
    <w:rsid w:val="00FB3572"/>
    <w:rsid w:val="00FB36F3"/>
    <w:rsid w:val="00FB37D7"/>
    <w:rsid w:val="00FB3802"/>
    <w:rsid w:val="00FB3924"/>
    <w:rsid w:val="00FB3AA6"/>
    <w:rsid w:val="00FB3CEB"/>
    <w:rsid w:val="00FB3CFF"/>
    <w:rsid w:val="00FB409C"/>
    <w:rsid w:val="00FB417E"/>
    <w:rsid w:val="00FB4342"/>
    <w:rsid w:val="00FB4821"/>
    <w:rsid w:val="00FB4BC8"/>
    <w:rsid w:val="00FB4D52"/>
    <w:rsid w:val="00FB4D88"/>
    <w:rsid w:val="00FB4DC8"/>
    <w:rsid w:val="00FB4E92"/>
    <w:rsid w:val="00FB543C"/>
    <w:rsid w:val="00FB57E9"/>
    <w:rsid w:val="00FB595C"/>
    <w:rsid w:val="00FB59F6"/>
    <w:rsid w:val="00FB5D63"/>
    <w:rsid w:val="00FB5E78"/>
    <w:rsid w:val="00FB5F50"/>
    <w:rsid w:val="00FB6329"/>
    <w:rsid w:val="00FB6408"/>
    <w:rsid w:val="00FB648C"/>
    <w:rsid w:val="00FB64FC"/>
    <w:rsid w:val="00FB6843"/>
    <w:rsid w:val="00FB6ABA"/>
    <w:rsid w:val="00FB6D94"/>
    <w:rsid w:val="00FB6DCB"/>
    <w:rsid w:val="00FB6DEE"/>
    <w:rsid w:val="00FB6E71"/>
    <w:rsid w:val="00FB7040"/>
    <w:rsid w:val="00FB716B"/>
    <w:rsid w:val="00FB7D25"/>
    <w:rsid w:val="00FC053D"/>
    <w:rsid w:val="00FC07E8"/>
    <w:rsid w:val="00FC0811"/>
    <w:rsid w:val="00FC084E"/>
    <w:rsid w:val="00FC0965"/>
    <w:rsid w:val="00FC0A76"/>
    <w:rsid w:val="00FC0ACC"/>
    <w:rsid w:val="00FC0B0F"/>
    <w:rsid w:val="00FC0BBF"/>
    <w:rsid w:val="00FC0C55"/>
    <w:rsid w:val="00FC0EA6"/>
    <w:rsid w:val="00FC13EC"/>
    <w:rsid w:val="00FC1BD0"/>
    <w:rsid w:val="00FC1CE0"/>
    <w:rsid w:val="00FC1CF7"/>
    <w:rsid w:val="00FC2297"/>
    <w:rsid w:val="00FC22C2"/>
    <w:rsid w:val="00FC22C9"/>
    <w:rsid w:val="00FC235A"/>
    <w:rsid w:val="00FC2697"/>
    <w:rsid w:val="00FC2880"/>
    <w:rsid w:val="00FC2CC1"/>
    <w:rsid w:val="00FC2E6D"/>
    <w:rsid w:val="00FC2F22"/>
    <w:rsid w:val="00FC308F"/>
    <w:rsid w:val="00FC31C8"/>
    <w:rsid w:val="00FC31F5"/>
    <w:rsid w:val="00FC3363"/>
    <w:rsid w:val="00FC33B5"/>
    <w:rsid w:val="00FC348C"/>
    <w:rsid w:val="00FC354F"/>
    <w:rsid w:val="00FC35C0"/>
    <w:rsid w:val="00FC369D"/>
    <w:rsid w:val="00FC38AB"/>
    <w:rsid w:val="00FC3B40"/>
    <w:rsid w:val="00FC3BB3"/>
    <w:rsid w:val="00FC3C31"/>
    <w:rsid w:val="00FC3F28"/>
    <w:rsid w:val="00FC3FF7"/>
    <w:rsid w:val="00FC40B3"/>
    <w:rsid w:val="00FC43CE"/>
    <w:rsid w:val="00FC4489"/>
    <w:rsid w:val="00FC469A"/>
    <w:rsid w:val="00FC4705"/>
    <w:rsid w:val="00FC490B"/>
    <w:rsid w:val="00FC4E1A"/>
    <w:rsid w:val="00FC4F36"/>
    <w:rsid w:val="00FC4FEF"/>
    <w:rsid w:val="00FC513A"/>
    <w:rsid w:val="00FC521D"/>
    <w:rsid w:val="00FC5383"/>
    <w:rsid w:val="00FC55D2"/>
    <w:rsid w:val="00FC55E9"/>
    <w:rsid w:val="00FC58B9"/>
    <w:rsid w:val="00FC5AE7"/>
    <w:rsid w:val="00FC5AEC"/>
    <w:rsid w:val="00FC5BD6"/>
    <w:rsid w:val="00FC5E88"/>
    <w:rsid w:val="00FC5F78"/>
    <w:rsid w:val="00FC5F9E"/>
    <w:rsid w:val="00FC607A"/>
    <w:rsid w:val="00FC6260"/>
    <w:rsid w:val="00FC639A"/>
    <w:rsid w:val="00FC6401"/>
    <w:rsid w:val="00FC65E3"/>
    <w:rsid w:val="00FC6636"/>
    <w:rsid w:val="00FC6978"/>
    <w:rsid w:val="00FC6DF5"/>
    <w:rsid w:val="00FC6E8F"/>
    <w:rsid w:val="00FC6EC6"/>
    <w:rsid w:val="00FC7089"/>
    <w:rsid w:val="00FC7137"/>
    <w:rsid w:val="00FC776F"/>
    <w:rsid w:val="00FC779A"/>
    <w:rsid w:val="00FC7930"/>
    <w:rsid w:val="00FC7937"/>
    <w:rsid w:val="00FC7D7A"/>
    <w:rsid w:val="00FC7DCB"/>
    <w:rsid w:val="00FD0099"/>
    <w:rsid w:val="00FD0418"/>
    <w:rsid w:val="00FD050D"/>
    <w:rsid w:val="00FD0843"/>
    <w:rsid w:val="00FD08EF"/>
    <w:rsid w:val="00FD0961"/>
    <w:rsid w:val="00FD0CFC"/>
    <w:rsid w:val="00FD102C"/>
    <w:rsid w:val="00FD12E5"/>
    <w:rsid w:val="00FD1525"/>
    <w:rsid w:val="00FD1D69"/>
    <w:rsid w:val="00FD1E17"/>
    <w:rsid w:val="00FD1F81"/>
    <w:rsid w:val="00FD2157"/>
    <w:rsid w:val="00FD2288"/>
    <w:rsid w:val="00FD22C9"/>
    <w:rsid w:val="00FD2642"/>
    <w:rsid w:val="00FD26E8"/>
    <w:rsid w:val="00FD29CE"/>
    <w:rsid w:val="00FD29DC"/>
    <w:rsid w:val="00FD2A43"/>
    <w:rsid w:val="00FD2A76"/>
    <w:rsid w:val="00FD2CBC"/>
    <w:rsid w:val="00FD2CC3"/>
    <w:rsid w:val="00FD308D"/>
    <w:rsid w:val="00FD30A3"/>
    <w:rsid w:val="00FD3369"/>
    <w:rsid w:val="00FD33F2"/>
    <w:rsid w:val="00FD36CD"/>
    <w:rsid w:val="00FD39D1"/>
    <w:rsid w:val="00FD39E7"/>
    <w:rsid w:val="00FD3BAD"/>
    <w:rsid w:val="00FD3BD1"/>
    <w:rsid w:val="00FD3E69"/>
    <w:rsid w:val="00FD3F5C"/>
    <w:rsid w:val="00FD40D9"/>
    <w:rsid w:val="00FD410E"/>
    <w:rsid w:val="00FD437D"/>
    <w:rsid w:val="00FD489A"/>
    <w:rsid w:val="00FD4A6C"/>
    <w:rsid w:val="00FD4B53"/>
    <w:rsid w:val="00FD4C65"/>
    <w:rsid w:val="00FD4D68"/>
    <w:rsid w:val="00FD4DD1"/>
    <w:rsid w:val="00FD4E9D"/>
    <w:rsid w:val="00FD50CE"/>
    <w:rsid w:val="00FD5147"/>
    <w:rsid w:val="00FD54AF"/>
    <w:rsid w:val="00FD55BE"/>
    <w:rsid w:val="00FD55CB"/>
    <w:rsid w:val="00FD5651"/>
    <w:rsid w:val="00FD56C9"/>
    <w:rsid w:val="00FD5783"/>
    <w:rsid w:val="00FD59CA"/>
    <w:rsid w:val="00FD5A0B"/>
    <w:rsid w:val="00FD5ADE"/>
    <w:rsid w:val="00FD5E46"/>
    <w:rsid w:val="00FD6529"/>
    <w:rsid w:val="00FD6791"/>
    <w:rsid w:val="00FD694B"/>
    <w:rsid w:val="00FD69B2"/>
    <w:rsid w:val="00FD6B3A"/>
    <w:rsid w:val="00FD6E5D"/>
    <w:rsid w:val="00FD70C3"/>
    <w:rsid w:val="00FD724D"/>
    <w:rsid w:val="00FD743B"/>
    <w:rsid w:val="00FD78D0"/>
    <w:rsid w:val="00FD7A17"/>
    <w:rsid w:val="00FE0013"/>
    <w:rsid w:val="00FE00A6"/>
    <w:rsid w:val="00FE01A4"/>
    <w:rsid w:val="00FE0BA4"/>
    <w:rsid w:val="00FE0BCD"/>
    <w:rsid w:val="00FE0C30"/>
    <w:rsid w:val="00FE1083"/>
    <w:rsid w:val="00FE10C9"/>
    <w:rsid w:val="00FE1102"/>
    <w:rsid w:val="00FE113E"/>
    <w:rsid w:val="00FE13D2"/>
    <w:rsid w:val="00FE1475"/>
    <w:rsid w:val="00FE14EF"/>
    <w:rsid w:val="00FE14F9"/>
    <w:rsid w:val="00FE1548"/>
    <w:rsid w:val="00FE1772"/>
    <w:rsid w:val="00FE1C60"/>
    <w:rsid w:val="00FE1DD6"/>
    <w:rsid w:val="00FE22A4"/>
    <w:rsid w:val="00FE23D8"/>
    <w:rsid w:val="00FE2893"/>
    <w:rsid w:val="00FE2A4F"/>
    <w:rsid w:val="00FE2BE2"/>
    <w:rsid w:val="00FE2E43"/>
    <w:rsid w:val="00FE2EA0"/>
    <w:rsid w:val="00FE2F7F"/>
    <w:rsid w:val="00FE3008"/>
    <w:rsid w:val="00FE3148"/>
    <w:rsid w:val="00FE31C5"/>
    <w:rsid w:val="00FE3413"/>
    <w:rsid w:val="00FE351E"/>
    <w:rsid w:val="00FE379D"/>
    <w:rsid w:val="00FE3A1F"/>
    <w:rsid w:val="00FE3A64"/>
    <w:rsid w:val="00FE3BA6"/>
    <w:rsid w:val="00FE3C6A"/>
    <w:rsid w:val="00FE3E28"/>
    <w:rsid w:val="00FE4218"/>
    <w:rsid w:val="00FE4747"/>
    <w:rsid w:val="00FE4B0F"/>
    <w:rsid w:val="00FE4DFD"/>
    <w:rsid w:val="00FE4FAB"/>
    <w:rsid w:val="00FE50B3"/>
    <w:rsid w:val="00FE525D"/>
    <w:rsid w:val="00FE52FF"/>
    <w:rsid w:val="00FE565B"/>
    <w:rsid w:val="00FE58D3"/>
    <w:rsid w:val="00FE5C0D"/>
    <w:rsid w:val="00FE5DA0"/>
    <w:rsid w:val="00FE6031"/>
    <w:rsid w:val="00FE60A3"/>
    <w:rsid w:val="00FE61F4"/>
    <w:rsid w:val="00FE64FE"/>
    <w:rsid w:val="00FE66DF"/>
    <w:rsid w:val="00FE6FC9"/>
    <w:rsid w:val="00FE71D8"/>
    <w:rsid w:val="00FE7230"/>
    <w:rsid w:val="00FE72CF"/>
    <w:rsid w:val="00FE72FF"/>
    <w:rsid w:val="00FE78AE"/>
    <w:rsid w:val="00FE7A2B"/>
    <w:rsid w:val="00FE7BD7"/>
    <w:rsid w:val="00FE7F9F"/>
    <w:rsid w:val="00FF0075"/>
    <w:rsid w:val="00FF0169"/>
    <w:rsid w:val="00FF0793"/>
    <w:rsid w:val="00FF0885"/>
    <w:rsid w:val="00FF09E8"/>
    <w:rsid w:val="00FF09FE"/>
    <w:rsid w:val="00FF0CF3"/>
    <w:rsid w:val="00FF0E93"/>
    <w:rsid w:val="00FF0F12"/>
    <w:rsid w:val="00FF0FD2"/>
    <w:rsid w:val="00FF101D"/>
    <w:rsid w:val="00FF11D9"/>
    <w:rsid w:val="00FF1710"/>
    <w:rsid w:val="00FF173B"/>
    <w:rsid w:val="00FF182A"/>
    <w:rsid w:val="00FF1861"/>
    <w:rsid w:val="00FF199A"/>
    <w:rsid w:val="00FF1A49"/>
    <w:rsid w:val="00FF1DC7"/>
    <w:rsid w:val="00FF1DD6"/>
    <w:rsid w:val="00FF1E4A"/>
    <w:rsid w:val="00FF20E0"/>
    <w:rsid w:val="00FF215C"/>
    <w:rsid w:val="00FF21CF"/>
    <w:rsid w:val="00FF2665"/>
    <w:rsid w:val="00FF26E2"/>
    <w:rsid w:val="00FF274E"/>
    <w:rsid w:val="00FF27CD"/>
    <w:rsid w:val="00FF29D6"/>
    <w:rsid w:val="00FF2CA8"/>
    <w:rsid w:val="00FF2DD9"/>
    <w:rsid w:val="00FF2EDD"/>
    <w:rsid w:val="00FF2EEA"/>
    <w:rsid w:val="00FF2F0F"/>
    <w:rsid w:val="00FF2F5A"/>
    <w:rsid w:val="00FF311E"/>
    <w:rsid w:val="00FF3127"/>
    <w:rsid w:val="00FF3193"/>
    <w:rsid w:val="00FF33FA"/>
    <w:rsid w:val="00FF343B"/>
    <w:rsid w:val="00FF366F"/>
    <w:rsid w:val="00FF3720"/>
    <w:rsid w:val="00FF3A9B"/>
    <w:rsid w:val="00FF3E0E"/>
    <w:rsid w:val="00FF4012"/>
    <w:rsid w:val="00FF44C7"/>
    <w:rsid w:val="00FF451F"/>
    <w:rsid w:val="00FF46A1"/>
    <w:rsid w:val="00FF4D28"/>
    <w:rsid w:val="00FF4DF9"/>
    <w:rsid w:val="00FF5250"/>
    <w:rsid w:val="00FF5284"/>
    <w:rsid w:val="00FF52B3"/>
    <w:rsid w:val="00FF55B7"/>
    <w:rsid w:val="00FF575A"/>
    <w:rsid w:val="00FF580B"/>
    <w:rsid w:val="00FF590C"/>
    <w:rsid w:val="00FF5BB7"/>
    <w:rsid w:val="00FF5C27"/>
    <w:rsid w:val="00FF5DC6"/>
    <w:rsid w:val="00FF5E95"/>
    <w:rsid w:val="00FF5ED3"/>
    <w:rsid w:val="00FF64AA"/>
    <w:rsid w:val="00FF64B3"/>
    <w:rsid w:val="00FF66A8"/>
    <w:rsid w:val="00FF687B"/>
    <w:rsid w:val="00FF691D"/>
    <w:rsid w:val="00FF698B"/>
    <w:rsid w:val="00FF6995"/>
    <w:rsid w:val="00FF69B1"/>
    <w:rsid w:val="00FF6A92"/>
    <w:rsid w:val="00FF6B26"/>
    <w:rsid w:val="00FF6B93"/>
    <w:rsid w:val="00FF6C43"/>
    <w:rsid w:val="00FF6DE8"/>
    <w:rsid w:val="00FF6EDA"/>
    <w:rsid w:val="00FF6F42"/>
    <w:rsid w:val="00FF70ED"/>
    <w:rsid w:val="00FF71D8"/>
    <w:rsid w:val="00FF73BF"/>
    <w:rsid w:val="00FF75C1"/>
    <w:rsid w:val="00FF760E"/>
    <w:rsid w:val="00FF767F"/>
    <w:rsid w:val="00FF771A"/>
    <w:rsid w:val="00FF7AB5"/>
    <w:rsid w:val="00FF7BB5"/>
    <w:rsid w:val="00FF7D9A"/>
    <w:rsid w:val="00FF7F0B"/>
    <w:rsid w:val="01025D0D"/>
    <w:rsid w:val="01081D10"/>
    <w:rsid w:val="0194F563"/>
    <w:rsid w:val="01CEB615"/>
    <w:rsid w:val="0236EE8A"/>
    <w:rsid w:val="0270E4C4"/>
    <w:rsid w:val="029A6DA6"/>
    <w:rsid w:val="02D1633A"/>
    <w:rsid w:val="0310CDDA"/>
    <w:rsid w:val="03350223"/>
    <w:rsid w:val="0415BBF4"/>
    <w:rsid w:val="047B2129"/>
    <w:rsid w:val="048A03FE"/>
    <w:rsid w:val="05572AD2"/>
    <w:rsid w:val="058E5D5A"/>
    <w:rsid w:val="059EB832"/>
    <w:rsid w:val="0605528F"/>
    <w:rsid w:val="0615A79F"/>
    <w:rsid w:val="06588590"/>
    <w:rsid w:val="06D6D9BD"/>
    <w:rsid w:val="071876C6"/>
    <w:rsid w:val="072107D8"/>
    <w:rsid w:val="074CD66A"/>
    <w:rsid w:val="075709F4"/>
    <w:rsid w:val="08313373"/>
    <w:rsid w:val="08C294C9"/>
    <w:rsid w:val="0917AA4C"/>
    <w:rsid w:val="098745DF"/>
    <w:rsid w:val="098979CA"/>
    <w:rsid w:val="09B46533"/>
    <w:rsid w:val="09D2A182"/>
    <w:rsid w:val="0A092A5D"/>
    <w:rsid w:val="0A23CD15"/>
    <w:rsid w:val="0A3A3963"/>
    <w:rsid w:val="0A567C95"/>
    <w:rsid w:val="0A5BED61"/>
    <w:rsid w:val="0AB1AC22"/>
    <w:rsid w:val="0B053EB1"/>
    <w:rsid w:val="0B0A5F53"/>
    <w:rsid w:val="0B53C949"/>
    <w:rsid w:val="0C6B6944"/>
    <w:rsid w:val="0DD589F4"/>
    <w:rsid w:val="0E14E163"/>
    <w:rsid w:val="0E2CFD3C"/>
    <w:rsid w:val="0F46FF74"/>
    <w:rsid w:val="0F6D74E1"/>
    <w:rsid w:val="0FEDD886"/>
    <w:rsid w:val="1031BA1D"/>
    <w:rsid w:val="10A6C827"/>
    <w:rsid w:val="1117A51F"/>
    <w:rsid w:val="11410C64"/>
    <w:rsid w:val="118D7982"/>
    <w:rsid w:val="11CFC025"/>
    <w:rsid w:val="11DD4C1F"/>
    <w:rsid w:val="12737A2C"/>
    <w:rsid w:val="12EC3153"/>
    <w:rsid w:val="12EED622"/>
    <w:rsid w:val="1311CF7B"/>
    <w:rsid w:val="135F52D9"/>
    <w:rsid w:val="148D3E65"/>
    <w:rsid w:val="15945695"/>
    <w:rsid w:val="166D9C79"/>
    <w:rsid w:val="167C611C"/>
    <w:rsid w:val="16874124"/>
    <w:rsid w:val="16DA5C8F"/>
    <w:rsid w:val="16FC7486"/>
    <w:rsid w:val="1734701C"/>
    <w:rsid w:val="1804B890"/>
    <w:rsid w:val="189238DA"/>
    <w:rsid w:val="18EF3100"/>
    <w:rsid w:val="192B9628"/>
    <w:rsid w:val="19FBD758"/>
    <w:rsid w:val="19FE93AA"/>
    <w:rsid w:val="1A1793B5"/>
    <w:rsid w:val="1A231170"/>
    <w:rsid w:val="1A72048E"/>
    <w:rsid w:val="1B28735B"/>
    <w:rsid w:val="1B436AE0"/>
    <w:rsid w:val="1B519E6C"/>
    <w:rsid w:val="1B5504AC"/>
    <w:rsid w:val="1C0AEB2A"/>
    <w:rsid w:val="1C158454"/>
    <w:rsid w:val="1D1DD698"/>
    <w:rsid w:val="1D61315D"/>
    <w:rsid w:val="1D6A299B"/>
    <w:rsid w:val="1D710762"/>
    <w:rsid w:val="1DC7AF97"/>
    <w:rsid w:val="1DCC39D6"/>
    <w:rsid w:val="1E0D16D7"/>
    <w:rsid w:val="1E800644"/>
    <w:rsid w:val="1EB764F9"/>
    <w:rsid w:val="1EF2FBFD"/>
    <w:rsid w:val="1F40B944"/>
    <w:rsid w:val="1FEEB58D"/>
    <w:rsid w:val="2017C00E"/>
    <w:rsid w:val="206309B6"/>
    <w:rsid w:val="212D6A37"/>
    <w:rsid w:val="2175750D"/>
    <w:rsid w:val="218EE56B"/>
    <w:rsid w:val="21E1D442"/>
    <w:rsid w:val="22AF50D6"/>
    <w:rsid w:val="22E70A76"/>
    <w:rsid w:val="239BA52F"/>
    <w:rsid w:val="24494EC9"/>
    <w:rsid w:val="24A22306"/>
    <w:rsid w:val="24D7D2FF"/>
    <w:rsid w:val="257C84AC"/>
    <w:rsid w:val="2609D9EF"/>
    <w:rsid w:val="266A28EA"/>
    <w:rsid w:val="266ADF23"/>
    <w:rsid w:val="27529C64"/>
    <w:rsid w:val="2770FBED"/>
    <w:rsid w:val="277251BC"/>
    <w:rsid w:val="27851029"/>
    <w:rsid w:val="27CA2A63"/>
    <w:rsid w:val="2845EBF6"/>
    <w:rsid w:val="290DC110"/>
    <w:rsid w:val="2991E658"/>
    <w:rsid w:val="2A23D7B2"/>
    <w:rsid w:val="2A248C27"/>
    <w:rsid w:val="2A34292B"/>
    <w:rsid w:val="2A6B5581"/>
    <w:rsid w:val="2A939865"/>
    <w:rsid w:val="2B094EEC"/>
    <w:rsid w:val="2B68A939"/>
    <w:rsid w:val="2B94D1C4"/>
    <w:rsid w:val="2C27A710"/>
    <w:rsid w:val="2C2A98BE"/>
    <w:rsid w:val="2C59FA3F"/>
    <w:rsid w:val="2C5A34BE"/>
    <w:rsid w:val="2C8B46C5"/>
    <w:rsid w:val="2CDB5D16"/>
    <w:rsid w:val="2CE798D2"/>
    <w:rsid w:val="2DBBE14B"/>
    <w:rsid w:val="2DFCF957"/>
    <w:rsid w:val="2E3F32A2"/>
    <w:rsid w:val="2E42ABFF"/>
    <w:rsid w:val="2E89A9A3"/>
    <w:rsid w:val="2EC80579"/>
    <w:rsid w:val="2F70D220"/>
    <w:rsid w:val="2FF9633C"/>
    <w:rsid w:val="2FFC0461"/>
    <w:rsid w:val="3049CD65"/>
    <w:rsid w:val="304C13C5"/>
    <w:rsid w:val="31258539"/>
    <w:rsid w:val="314A635F"/>
    <w:rsid w:val="316E2A68"/>
    <w:rsid w:val="31ECC887"/>
    <w:rsid w:val="32728AB2"/>
    <w:rsid w:val="328F302C"/>
    <w:rsid w:val="329AD6CE"/>
    <w:rsid w:val="32A386BA"/>
    <w:rsid w:val="330E498A"/>
    <w:rsid w:val="3388CCAF"/>
    <w:rsid w:val="33B07E8B"/>
    <w:rsid w:val="33BAB1FF"/>
    <w:rsid w:val="33E826D5"/>
    <w:rsid w:val="33F955C5"/>
    <w:rsid w:val="33FFDAB3"/>
    <w:rsid w:val="348626D1"/>
    <w:rsid w:val="34957DD4"/>
    <w:rsid w:val="351347F4"/>
    <w:rsid w:val="351A17E0"/>
    <w:rsid w:val="356735B5"/>
    <w:rsid w:val="359E49F4"/>
    <w:rsid w:val="35C1F42B"/>
    <w:rsid w:val="361E2E91"/>
    <w:rsid w:val="36320F1C"/>
    <w:rsid w:val="366AA29F"/>
    <w:rsid w:val="36E2B1A5"/>
    <w:rsid w:val="37077A96"/>
    <w:rsid w:val="379383A6"/>
    <w:rsid w:val="37F81ABE"/>
    <w:rsid w:val="38226EC8"/>
    <w:rsid w:val="38EAA291"/>
    <w:rsid w:val="38FA2CC1"/>
    <w:rsid w:val="3951B687"/>
    <w:rsid w:val="3989A0CA"/>
    <w:rsid w:val="3A67C074"/>
    <w:rsid w:val="3A76C4DE"/>
    <w:rsid w:val="3B50DD2E"/>
    <w:rsid w:val="3BCEC546"/>
    <w:rsid w:val="3C341C1D"/>
    <w:rsid w:val="3C456E01"/>
    <w:rsid w:val="3C7F5472"/>
    <w:rsid w:val="3CA97FD9"/>
    <w:rsid w:val="3D50D671"/>
    <w:rsid w:val="3D53CA08"/>
    <w:rsid w:val="3D84589E"/>
    <w:rsid w:val="3E9069F5"/>
    <w:rsid w:val="3EC0EA22"/>
    <w:rsid w:val="3EC3ECDA"/>
    <w:rsid w:val="3F495443"/>
    <w:rsid w:val="3F97614F"/>
    <w:rsid w:val="3FE34152"/>
    <w:rsid w:val="3FFF7D94"/>
    <w:rsid w:val="40304969"/>
    <w:rsid w:val="40636C4D"/>
    <w:rsid w:val="40AAFD01"/>
    <w:rsid w:val="41968FD9"/>
    <w:rsid w:val="4244F4D8"/>
    <w:rsid w:val="424B41FE"/>
    <w:rsid w:val="432BFFE9"/>
    <w:rsid w:val="433E717D"/>
    <w:rsid w:val="434DC3F3"/>
    <w:rsid w:val="43896B84"/>
    <w:rsid w:val="44168BB1"/>
    <w:rsid w:val="441EB601"/>
    <w:rsid w:val="445CD9F6"/>
    <w:rsid w:val="44D497C3"/>
    <w:rsid w:val="454C9263"/>
    <w:rsid w:val="454F49B0"/>
    <w:rsid w:val="459EB7CD"/>
    <w:rsid w:val="45D0DF6C"/>
    <w:rsid w:val="46D4B980"/>
    <w:rsid w:val="46E0E38C"/>
    <w:rsid w:val="46E8ADD8"/>
    <w:rsid w:val="471EF405"/>
    <w:rsid w:val="4775D748"/>
    <w:rsid w:val="47788400"/>
    <w:rsid w:val="47AC099A"/>
    <w:rsid w:val="47E22729"/>
    <w:rsid w:val="47ECE186"/>
    <w:rsid w:val="47F3F476"/>
    <w:rsid w:val="48064B69"/>
    <w:rsid w:val="486A6FEB"/>
    <w:rsid w:val="48A3B403"/>
    <w:rsid w:val="48ED5868"/>
    <w:rsid w:val="490ECE07"/>
    <w:rsid w:val="4948AEF2"/>
    <w:rsid w:val="4A2D6882"/>
    <w:rsid w:val="4A41B61E"/>
    <w:rsid w:val="4A8A5515"/>
    <w:rsid w:val="4B750378"/>
    <w:rsid w:val="4BA81B8F"/>
    <w:rsid w:val="4BC374DA"/>
    <w:rsid w:val="4BDB47A3"/>
    <w:rsid w:val="4C2A9EB5"/>
    <w:rsid w:val="4C3CA7F2"/>
    <w:rsid w:val="4C93A95A"/>
    <w:rsid w:val="4CEBD20C"/>
    <w:rsid w:val="4D60D11B"/>
    <w:rsid w:val="4E112F7B"/>
    <w:rsid w:val="4E370A75"/>
    <w:rsid w:val="4E5087C9"/>
    <w:rsid w:val="4E5B4B58"/>
    <w:rsid w:val="4E76BBDD"/>
    <w:rsid w:val="4F371097"/>
    <w:rsid w:val="4F9A0EEC"/>
    <w:rsid w:val="500E892E"/>
    <w:rsid w:val="5011F642"/>
    <w:rsid w:val="5035FA8D"/>
    <w:rsid w:val="5130484A"/>
    <w:rsid w:val="51F31625"/>
    <w:rsid w:val="51F3699D"/>
    <w:rsid w:val="52561F3E"/>
    <w:rsid w:val="52EA7F1C"/>
    <w:rsid w:val="5319FBE0"/>
    <w:rsid w:val="538811DE"/>
    <w:rsid w:val="53C1DBA6"/>
    <w:rsid w:val="53DEE399"/>
    <w:rsid w:val="5419320A"/>
    <w:rsid w:val="545211AB"/>
    <w:rsid w:val="555C75A9"/>
    <w:rsid w:val="55D60E7A"/>
    <w:rsid w:val="55DC747A"/>
    <w:rsid w:val="55E1FE98"/>
    <w:rsid w:val="570825E0"/>
    <w:rsid w:val="570A605A"/>
    <w:rsid w:val="57135579"/>
    <w:rsid w:val="573996D9"/>
    <w:rsid w:val="57CA59CC"/>
    <w:rsid w:val="58FE50C6"/>
    <w:rsid w:val="5902419E"/>
    <w:rsid w:val="5A298701"/>
    <w:rsid w:val="5A3AF949"/>
    <w:rsid w:val="5A4136BC"/>
    <w:rsid w:val="5AFD20C5"/>
    <w:rsid w:val="5B479F0D"/>
    <w:rsid w:val="5C20DAC6"/>
    <w:rsid w:val="5C7EBCA9"/>
    <w:rsid w:val="5CB7E894"/>
    <w:rsid w:val="5D5A5377"/>
    <w:rsid w:val="5D97B21C"/>
    <w:rsid w:val="5DA2E0D3"/>
    <w:rsid w:val="5E814C8A"/>
    <w:rsid w:val="5E8EBF02"/>
    <w:rsid w:val="5E8FE1D9"/>
    <w:rsid w:val="5F229E1C"/>
    <w:rsid w:val="5F59CD6C"/>
    <w:rsid w:val="60A35CC9"/>
    <w:rsid w:val="60AB8DF0"/>
    <w:rsid w:val="612A5254"/>
    <w:rsid w:val="612D90D0"/>
    <w:rsid w:val="616A7FB0"/>
    <w:rsid w:val="61B28FF8"/>
    <w:rsid w:val="62021B6E"/>
    <w:rsid w:val="62635E8C"/>
    <w:rsid w:val="627325F5"/>
    <w:rsid w:val="629563EF"/>
    <w:rsid w:val="635E1BE9"/>
    <w:rsid w:val="63F672F0"/>
    <w:rsid w:val="64661822"/>
    <w:rsid w:val="64B0DBF9"/>
    <w:rsid w:val="64DDC6E4"/>
    <w:rsid w:val="64EC7AB1"/>
    <w:rsid w:val="656A9FD6"/>
    <w:rsid w:val="65CFF9AD"/>
    <w:rsid w:val="65EE4E53"/>
    <w:rsid w:val="65F1283E"/>
    <w:rsid w:val="6755DCA9"/>
    <w:rsid w:val="67F9BB26"/>
    <w:rsid w:val="6837A5F9"/>
    <w:rsid w:val="684A7705"/>
    <w:rsid w:val="68867478"/>
    <w:rsid w:val="68C3952E"/>
    <w:rsid w:val="69A717D7"/>
    <w:rsid w:val="69B4B7CB"/>
    <w:rsid w:val="69DB928F"/>
    <w:rsid w:val="6A5973A3"/>
    <w:rsid w:val="6AE26546"/>
    <w:rsid w:val="6B1474BB"/>
    <w:rsid w:val="6B1938DC"/>
    <w:rsid w:val="6B1E90E7"/>
    <w:rsid w:val="6BD04FCC"/>
    <w:rsid w:val="6BEA25C7"/>
    <w:rsid w:val="6C24180E"/>
    <w:rsid w:val="6C66A9A9"/>
    <w:rsid w:val="6C8AA91F"/>
    <w:rsid w:val="6C93FBDF"/>
    <w:rsid w:val="6D023AE2"/>
    <w:rsid w:val="6D13E0DB"/>
    <w:rsid w:val="6D613465"/>
    <w:rsid w:val="6D72DDC8"/>
    <w:rsid w:val="6D8CD095"/>
    <w:rsid w:val="6DC4E011"/>
    <w:rsid w:val="6E4C2230"/>
    <w:rsid w:val="6E735E36"/>
    <w:rsid w:val="6EABAFAA"/>
    <w:rsid w:val="6EC701AB"/>
    <w:rsid w:val="6F8E5AB5"/>
    <w:rsid w:val="6FCB7DB9"/>
    <w:rsid w:val="6FD3496A"/>
    <w:rsid w:val="706B21EF"/>
    <w:rsid w:val="70A1C7B6"/>
    <w:rsid w:val="70D3F35B"/>
    <w:rsid w:val="714040AF"/>
    <w:rsid w:val="7147739C"/>
    <w:rsid w:val="715FC431"/>
    <w:rsid w:val="726637C7"/>
    <w:rsid w:val="727509FC"/>
    <w:rsid w:val="7321E9AC"/>
    <w:rsid w:val="738B25F7"/>
    <w:rsid w:val="73C83EA3"/>
    <w:rsid w:val="74320EF6"/>
    <w:rsid w:val="748CE7B7"/>
    <w:rsid w:val="74FE2F0E"/>
    <w:rsid w:val="7645E650"/>
    <w:rsid w:val="7723AF74"/>
    <w:rsid w:val="7741BACA"/>
    <w:rsid w:val="77543B6C"/>
    <w:rsid w:val="77915944"/>
    <w:rsid w:val="788AFF3C"/>
    <w:rsid w:val="79190FB4"/>
    <w:rsid w:val="795293C6"/>
    <w:rsid w:val="79726E9D"/>
    <w:rsid w:val="7A08CA58"/>
    <w:rsid w:val="7AA94C5F"/>
    <w:rsid w:val="7AC00F28"/>
    <w:rsid w:val="7AD68B69"/>
    <w:rsid w:val="7AE6616E"/>
    <w:rsid w:val="7B5997FD"/>
    <w:rsid w:val="7BFBFAD0"/>
    <w:rsid w:val="7C77F013"/>
    <w:rsid w:val="7CF8D93E"/>
    <w:rsid w:val="7D4DAF21"/>
    <w:rsid w:val="7D7D3492"/>
    <w:rsid w:val="7E55CB57"/>
    <w:rsid w:val="7E65492A"/>
    <w:rsid w:val="7E89876F"/>
    <w:rsid w:val="7F1A9EA9"/>
    <w:rsid w:val="7F590ADC"/>
    <w:rsid w:val="7F918367"/>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4:docId w14:val="28E023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hr-HR" w:eastAsia="hr-H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lsdException w:name="footnote text" w:uiPriority="99" w:qFormat="1"/>
    <w:lsdException w:name="annotation text" w:uiPriority="99"/>
    <w:lsdException w:name="header" w:uiPriority="99"/>
    <w:lsdException w:name="footer" w:uiPriority="99"/>
    <w:lsdException w:name="index heading" w:semiHidden="1" w:unhideWhenUsed="1"/>
    <w:lsdException w:name="caption" w:qFormat="1"/>
    <w:lsdException w:name="table of figures" w:uiPriority="99"/>
    <w:lsdException w:name="envelope address" w:semiHidden="1" w:unhideWhenUsed="1"/>
    <w:lsdException w:name="envelope return" w:semiHidden="1" w:unhideWhenUsed="1"/>
    <w:lsdException w:name="footnote reference" w:uiPriority="99"/>
    <w:lsdException w:name="annotation reference" w:uiPriority="99"/>
    <w:lsdException w:name="line number" w:uiPriority="3"/>
    <w:lsdException w:name="page number" w:uiPriority="3"/>
    <w:lsdException w:name="endnote reference" w:semiHidden="1" w:uiPriority="99" w:unhideWhenUsed="1"/>
    <w:lsdException w:name="endnote text" w:semiHidden="1" w:uiPriority="99" w:unhideWhenUsed="1"/>
    <w:lsdException w:name="table of authorities" w:uiPriority="3"/>
    <w:lsdException w:name="macro" w:semiHidden="1" w:unhideWhenUsed="1"/>
    <w:lsdException w:name="toa heading" w:uiPriority="3"/>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uiPriority="3"/>
    <w:lsdException w:name="Signature" w:uiPriority="3"/>
    <w:lsdException w:name="Default Paragraph Font" w:uiPriority="1"/>
    <w:lsdException w:name="Body Text" w:semiHidden="1" w:uiPriority="3"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3"/>
    <w:lsdException w:name="Date" w:uiPriority="3"/>
    <w:lsdException w:name="Body Text First Indent" w:semiHidden="1" w:unhideWhenUsed="1"/>
    <w:lsdException w:name="Body Text First Indent 2" w:semiHidden="1" w:unhideWhenUsed="1"/>
    <w:lsdException w:name="Note Heading" w:uiPriority="3"/>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Plain Text" w:uiPriority="99"/>
    <w:lsdException w:name="Normal (Web)" w:uiPriority="99"/>
    <w:lsdException w:name="HTML Acronym" w:semiHidden="1" w:unhideWhenUsed="1"/>
    <w:lsdException w:name="HTML Cite" w:uiPriority="3"/>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lsdException w:name="Intense Quote" w:uiPriority="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lsdException w:name="Subtle Reference" w:uiPriority="3"/>
    <w:lsdException w:name="Intense Reference" w:uiPriority="3"/>
    <w:lsdException w:name="Book Title" w:uiPriority="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Tekst studije"/>
    <w:qFormat/>
    <w:rsid w:val="00F56E5C"/>
    <w:pPr>
      <w:suppressAutoHyphens/>
      <w:spacing w:before="240" w:after="120" w:line="288" w:lineRule="auto"/>
      <w:jc w:val="both"/>
    </w:pPr>
  </w:style>
  <w:style w:type="paragraph" w:styleId="Heading1">
    <w:name w:val="heading 1"/>
    <w:basedOn w:val="Normal"/>
    <w:next w:val="Normal"/>
    <w:link w:val="Heading1Char"/>
    <w:uiPriority w:val="9"/>
    <w:qFormat/>
    <w:rsid w:val="00381E51"/>
    <w:pPr>
      <w:keepNext/>
      <w:pageBreakBefore/>
      <w:numPr>
        <w:numId w:val="3"/>
      </w:numPr>
      <w:pBdr>
        <w:top w:val="single" w:sz="48" w:space="5" w:color="F5C1C6"/>
      </w:pBdr>
      <w:tabs>
        <w:tab w:val="left" w:pos="567"/>
      </w:tabs>
      <w:autoSpaceDE w:val="0"/>
      <w:autoSpaceDN w:val="0"/>
      <w:adjustRightInd w:val="0"/>
      <w:spacing w:after="320" w:line="240" w:lineRule="auto"/>
      <w:jc w:val="left"/>
      <w:textAlignment w:val="center"/>
      <w:outlineLvl w:val="0"/>
    </w:pPr>
    <w:rPr>
      <w:b/>
      <w:iCs/>
      <w:caps/>
      <w:color w:val="BE1D2D"/>
      <w:position w:val="24"/>
      <w:sz w:val="32"/>
      <w:szCs w:val="48"/>
    </w:rPr>
  </w:style>
  <w:style w:type="paragraph" w:styleId="Heading2">
    <w:name w:val="heading 2"/>
    <w:basedOn w:val="Normal"/>
    <w:next w:val="Normal"/>
    <w:link w:val="Heading2Char"/>
    <w:uiPriority w:val="9"/>
    <w:qFormat/>
    <w:rsid w:val="00F64ADD"/>
    <w:pPr>
      <w:keepNext/>
      <w:widowControl w:val="0"/>
      <w:numPr>
        <w:ilvl w:val="1"/>
        <w:numId w:val="3"/>
      </w:numPr>
      <w:pBdr>
        <w:bottom w:val="single" w:sz="8" w:space="4" w:color="BE1D2D"/>
      </w:pBdr>
      <w:autoSpaceDE w:val="0"/>
      <w:autoSpaceDN w:val="0"/>
      <w:adjustRightInd w:val="0"/>
      <w:spacing w:before="400" w:after="240" w:line="240" w:lineRule="auto"/>
      <w:jc w:val="left"/>
      <w:textAlignment w:val="center"/>
      <w:outlineLvl w:val="1"/>
    </w:pPr>
    <w:rPr>
      <w:rFonts w:cs="Myriad Pro Cond"/>
      <w:b/>
      <w:bCs/>
      <w:color w:val="BE1D2D"/>
      <w:sz w:val="28"/>
      <w:szCs w:val="36"/>
    </w:rPr>
  </w:style>
  <w:style w:type="paragraph" w:styleId="Heading3">
    <w:name w:val="heading 3"/>
    <w:basedOn w:val="Normal"/>
    <w:next w:val="Normal"/>
    <w:link w:val="Heading3Char"/>
    <w:uiPriority w:val="9"/>
    <w:qFormat/>
    <w:rsid w:val="00302043"/>
    <w:pPr>
      <w:keepNext/>
      <w:widowControl w:val="0"/>
      <w:numPr>
        <w:ilvl w:val="2"/>
        <w:numId w:val="3"/>
      </w:numPr>
      <w:autoSpaceDE w:val="0"/>
      <w:autoSpaceDN w:val="0"/>
      <w:adjustRightInd w:val="0"/>
      <w:spacing w:before="360" w:after="240" w:line="240" w:lineRule="auto"/>
      <w:ind w:left="567" w:hanging="567"/>
      <w:jc w:val="left"/>
      <w:textAlignment w:val="center"/>
      <w:outlineLvl w:val="2"/>
    </w:pPr>
    <w:rPr>
      <w:b/>
      <w:bCs/>
      <w:iCs/>
      <w:color w:val="BE1D2D"/>
      <w:sz w:val="24"/>
    </w:rPr>
  </w:style>
  <w:style w:type="paragraph" w:styleId="Heading4">
    <w:name w:val="heading 4"/>
    <w:basedOn w:val="Heading3"/>
    <w:next w:val="Normal"/>
    <w:link w:val="Heading4Char"/>
    <w:uiPriority w:val="9"/>
    <w:qFormat/>
    <w:rsid w:val="00BF3CED"/>
    <w:pPr>
      <w:widowControl/>
      <w:numPr>
        <w:ilvl w:val="0"/>
        <w:numId w:val="0"/>
      </w:numPr>
      <w:autoSpaceDE/>
      <w:autoSpaceDN/>
      <w:adjustRightInd/>
      <w:spacing w:after="120"/>
      <w:ind w:left="864" w:hanging="864"/>
      <w:textAlignment w:val="auto"/>
      <w:outlineLvl w:val="3"/>
    </w:pPr>
    <w:rPr>
      <w:rFonts w:cs="Arial"/>
      <w:b w:val="0"/>
      <w:bCs w:val="0"/>
      <w:kern w:val="32"/>
      <w:szCs w:val="28"/>
    </w:rPr>
  </w:style>
  <w:style w:type="paragraph" w:styleId="Heading5">
    <w:name w:val="heading 5"/>
    <w:basedOn w:val="Normal"/>
    <w:next w:val="Normal"/>
    <w:link w:val="Heading5Char"/>
    <w:uiPriority w:val="9"/>
    <w:qFormat/>
    <w:rsid w:val="0085152F"/>
    <w:pPr>
      <w:keepNext/>
      <w:outlineLvl w:val="4"/>
    </w:pPr>
    <w:rPr>
      <w:b/>
      <w:bCs/>
      <w:iCs/>
      <w:color w:val="C00000"/>
      <w:szCs w:val="26"/>
    </w:rPr>
  </w:style>
  <w:style w:type="paragraph" w:styleId="Heading6">
    <w:name w:val="heading 6"/>
    <w:basedOn w:val="Normal"/>
    <w:next w:val="Normal"/>
    <w:link w:val="Heading6Char"/>
    <w:uiPriority w:val="9"/>
    <w:unhideWhenUsed/>
    <w:qFormat/>
    <w:rsid w:val="00652E19"/>
    <w:pPr>
      <w:keepNext/>
      <w:pageBreakBefore/>
      <w:numPr>
        <w:ilvl w:val="5"/>
        <w:numId w:val="3"/>
      </w:numPr>
      <w:spacing w:after="240"/>
      <w:outlineLvl w:val="5"/>
    </w:pPr>
    <w:rPr>
      <w:bCs/>
      <w:i/>
    </w:rPr>
  </w:style>
  <w:style w:type="paragraph" w:styleId="Heading7">
    <w:name w:val="heading 7"/>
    <w:basedOn w:val="Normal"/>
    <w:next w:val="Normal"/>
    <w:link w:val="Heading7Char"/>
    <w:uiPriority w:val="9"/>
    <w:unhideWhenUsed/>
    <w:qFormat/>
    <w:rsid w:val="009F34FA"/>
    <w:pPr>
      <w:numPr>
        <w:ilvl w:val="6"/>
        <w:numId w:val="3"/>
      </w:numPr>
      <w:spacing w:after="60"/>
      <w:outlineLvl w:val="6"/>
    </w:pPr>
    <w:rPr>
      <w:rFonts w:ascii="Times New Roman" w:hAnsi="Times New Roman"/>
    </w:rPr>
  </w:style>
  <w:style w:type="paragraph" w:styleId="Heading8">
    <w:name w:val="heading 8"/>
    <w:basedOn w:val="Normal"/>
    <w:next w:val="Normal"/>
    <w:link w:val="Heading8Char"/>
    <w:uiPriority w:val="9"/>
    <w:unhideWhenUsed/>
    <w:qFormat/>
    <w:rsid w:val="009F34FA"/>
    <w:pPr>
      <w:numPr>
        <w:ilvl w:val="7"/>
        <w:numId w:val="3"/>
      </w:numPr>
      <w:spacing w:after="60"/>
      <w:outlineLvl w:val="7"/>
    </w:pPr>
    <w:rPr>
      <w:rFonts w:ascii="Times New Roman" w:hAnsi="Times New Roman"/>
      <w:i/>
      <w:iCs/>
    </w:rPr>
  </w:style>
  <w:style w:type="paragraph" w:styleId="Heading9">
    <w:name w:val="heading 9"/>
    <w:basedOn w:val="Normal"/>
    <w:next w:val="Normal"/>
    <w:link w:val="Heading9Char"/>
    <w:uiPriority w:val="9"/>
    <w:unhideWhenUsed/>
    <w:qFormat/>
    <w:rsid w:val="009F34FA"/>
    <w:pPr>
      <w:numPr>
        <w:ilvl w:val="8"/>
        <w:numId w:val="3"/>
      </w:numPr>
      <w:spacing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AA58D2"/>
    <w:pPr>
      <w:keepLines/>
      <w:pageBreakBefore w:val="0"/>
      <w:numPr>
        <w:numId w:val="0"/>
      </w:numPr>
      <w:pBdr>
        <w:top w:val="none" w:sz="0" w:space="0" w:color="auto"/>
      </w:pBdr>
      <w:suppressAutoHyphens w:val="0"/>
      <w:autoSpaceDE/>
      <w:autoSpaceDN/>
      <w:adjustRightInd/>
      <w:spacing w:after="0" w:line="259" w:lineRule="auto"/>
      <w:textAlignment w:val="auto"/>
      <w:outlineLvl w:val="9"/>
    </w:pPr>
    <w:rPr>
      <w:rFonts w:asciiTheme="majorHAnsi" w:eastAsiaTheme="majorEastAsia" w:hAnsiTheme="majorHAnsi" w:cstheme="majorBidi"/>
      <w:b w:val="0"/>
      <w:iCs w:val="0"/>
      <w:caps w:val="0"/>
      <w:color w:val="2E74B5" w:themeColor="accent1" w:themeShade="BF"/>
      <w:position w:val="0"/>
      <w:szCs w:val="32"/>
      <w:lang w:val="en-US" w:eastAsia="en-US"/>
    </w:rPr>
  </w:style>
  <w:style w:type="paragraph" w:customStyle="1" w:styleId="Body">
    <w:name w:val="Body"/>
    <w:basedOn w:val="Normal"/>
    <w:uiPriority w:val="3"/>
    <w:rsid w:val="001112B5"/>
    <w:pPr>
      <w:widowControl w:val="0"/>
      <w:autoSpaceDE w:val="0"/>
      <w:autoSpaceDN w:val="0"/>
      <w:adjustRightInd w:val="0"/>
      <w:spacing w:beforeAutospacing="1" w:afterAutospacing="1" w:line="240" w:lineRule="atLeast"/>
      <w:ind w:left="680"/>
      <w:textAlignment w:val="center"/>
    </w:pPr>
    <w:rPr>
      <w:rFonts w:cs="Myriad Pro"/>
      <w:szCs w:val="24"/>
    </w:rPr>
  </w:style>
  <w:style w:type="paragraph" w:styleId="Footer">
    <w:name w:val="footer"/>
    <w:basedOn w:val="Normal"/>
    <w:link w:val="FooterChar"/>
    <w:uiPriority w:val="99"/>
    <w:rsid w:val="004B4022"/>
    <w:pPr>
      <w:tabs>
        <w:tab w:val="right" w:pos="170"/>
        <w:tab w:val="left" w:pos="397"/>
      </w:tabs>
      <w:ind w:left="-142"/>
    </w:pPr>
    <w:rPr>
      <w:b/>
      <w:bCs/>
      <w:color w:val="5F5F5F"/>
      <w:sz w:val="20"/>
      <w:szCs w:val="20"/>
      <w:lang w:val="en-US"/>
    </w:rPr>
  </w:style>
  <w:style w:type="paragraph" w:styleId="TOC1">
    <w:name w:val="toc 1"/>
    <w:basedOn w:val="Normal"/>
    <w:next w:val="Normal"/>
    <w:autoRedefine/>
    <w:uiPriority w:val="39"/>
    <w:rsid w:val="001F5441"/>
    <w:pPr>
      <w:tabs>
        <w:tab w:val="left" w:pos="440"/>
        <w:tab w:val="right" w:leader="dot" w:pos="9061"/>
      </w:tabs>
      <w:spacing w:after="0" w:line="240" w:lineRule="auto"/>
      <w:ind w:left="442" w:hanging="442"/>
    </w:pPr>
    <w:rPr>
      <w:b/>
      <w:color w:val="BE1D2D"/>
      <w:sz w:val="28"/>
    </w:rPr>
  </w:style>
  <w:style w:type="paragraph" w:styleId="DocumentMap">
    <w:name w:val="Document Map"/>
    <w:basedOn w:val="Normal"/>
    <w:link w:val="DocumentMapChar"/>
    <w:semiHidden/>
    <w:rsid w:val="00306774"/>
    <w:pPr>
      <w:shd w:val="clear" w:color="auto" w:fill="000080"/>
    </w:pPr>
    <w:rPr>
      <w:rFonts w:ascii="Tahoma" w:hAnsi="Tahoma" w:cs="Tahoma"/>
      <w:sz w:val="20"/>
      <w:szCs w:val="20"/>
    </w:rPr>
  </w:style>
  <w:style w:type="paragraph" w:styleId="TOC2">
    <w:name w:val="toc 2"/>
    <w:basedOn w:val="Normal"/>
    <w:next w:val="Normal"/>
    <w:autoRedefine/>
    <w:uiPriority w:val="39"/>
    <w:rsid w:val="00C102C7"/>
    <w:pPr>
      <w:tabs>
        <w:tab w:val="left" w:pos="1077"/>
        <w:tab w:val="right" w:leader="dot" w:pos="9061"/>
      </w:tabs>
      <w:spacing w:before="120" w:after="60" w:line="240" w:lineRule="auto"/>
      <w:ind w:left="1077" w:hanging="635"/>
    </w:pPr>
  </w:style>
  <w:style w:type="paragraph" w:styleId="TOC3">
    <w:name w:val="toc 3"/>
    <w:basedOn w:val="Normal"/>
    <w:next w:val="Normal"/>
    <w:autoRedefine/>
    <w:uiPriority w:val="39"/>
    <w:rsid w:val="0099680E"/>
    <w:pPr>
      <w:tabs>
        <w:tab w:val="left" w:pos="1871"/>
        <w:tab w:val="right" w:leader="dot" w:pos="9061"/>
      </w:tabs>
      <w:spacing w:before="80" w:after="80" w:line="240" w:lineRule="auto"/>
      <w:ind w:left="1871" w:hanging="794"/>
    </w:pPr>
  </w:style>
  <w:style w:type="paragraph" w:styleId="Header">
    <w:name w:val="header"/>
    <w:basedOn w:val="Normal"/>
    <w:link w:val="HeaderChar"/>
    <w:uiPriority w:val="99"/>
    <w:rsid w:val="00435DE4"/>
    <w:pPr>
      <w:tabs>
        <w:tab w:val="center" w:pos="4536"/>
        <w:tab w:val="right" w:pos="9072"/>
      </w:tabs>
      <w:spacing w:before="0" w:after="0" w:line="240" w:lineRule="auto"/>
    </w:pPr>
  </w:style>
  <w:style w:type="character" w:styleId="Hyperlink">
    <w:name w:val="Hyperlink"/>
    <w:uiPriority w:val="99"/>
    <w:rsid w:val="00325841"/>
    <w:rPr>
      <w:noProof/>
      <w:color w:val="0000FF"/>
      <w:u w:val="single"/>
    </w:rPr>
  </w:style>
  <w:style w:type="character" w:customStyle="1" w:styleId="HeaderChar">
    <w:name w:val="Header Char"/>
    <w:basedOn w:val="DefaultParagraphFont"/>
    <w:link w:val="Header"/>
    <w:uiPriority w:val="99"/>
    <w:rsid w:val="00CD381C"/>
  </w:style>
  <w:style w:type="paragraph" w:styleId="BodyText">
    <w:name w:val="Body Text"/>
    <w:basedOn w:val="Normal"/>
    <w:link w:val="BodyTextChar"/>
    <w:uiPriority w:val="3"/>
    <w:rsid w:val="001112B5"/>
    <w:pPr>
      <w:spacing w:before="100" w:beforeAutospacing="1" w:after="100" w:afterAutospacing="1"/>
    </w:pPr>
    <w:rPr>
      <w:rFonts w:cs="Arial"/>
      <w:szCs w:val="24"/>
    </w:rPr>
  </w:style>
  <w:style w:type="character" w:customStyle="1" w:styleId="BodyTextChar">
    <w:name w:val="Body Text Char"/>
    <w:link w:val="BodyText"/>
    <w:uiPriority w:val="3"/>
    <w:rsid w:val="00CD381C"/>
    <w:rPr>
      <w:rFonts w:cs="Arial"/>
      <w:szCs w:val="24"/>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uiPriority w:val="99"/>
    <w:rsid w:val="001450CB"/>
    <w:rPr>
      <w:rFonts w:ascii="Arial" w:hAnsi="Arial"/>
      <w:position w:val="0"/>
      <w:sz w:val="22"/>
      <w:vertAlign w:val="superscript"/>
    </w:r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qFormat/>
    <w:rsid w:val="00FB7D25"/>
    <w:pPr>
      <w:spacing w:before="0" w:after="0" w:line="240" w:lineRule="auto"/>
    </w:pPr>
    <w:rPr>
      <w:sz w:val="16"/>
      <w:szCs w:val="20"/>
      <w:lang w:eastAsia="en-US"/>
    </w:rPr>
  </w:style>
  <w:style w:type="paragraph" w:styleId="E-mailSignature">
    <w:name w:val="E-mail Signature"/>
    <w:basedOn w:val="Normal"/>
    <w:link w:val="E-mailSignatureChar"/>
    <w:semiHidden/>
    <w:rsid w:val="009F34FA"/>
    <w:rPr>
      <w:rFonts w:ascii="Times New Roman" w:hAnsi="Times New Roman"/>
    </w:rPr>
  </w:style>
  <w:style w:type="paragraph" w:styleId="HTMLAddress">
    <w:name w:val="HTML Address"/>
    <w:basedOn w:val="Normal"/>
    <w:link w:val="HTMLAddressChar"/>
    <w:semiHidden/>
    <w:rsid w:val="009F34FA"/>
    <w:rPr>
      <w:rFonts w:ascii="Times New Roman" w:hAnsi="Times New Roman"/>
      <w:i/>
      <w:iCs/>
    </w:rPr>
  </w:style>
  <w:style w:type="paragraph" w:styleId="HTMLPreformatted">
    <w:name w:val="HTML Preformatted"/>
    <w:basedOn w:val="Normal"/>
    <w:link w:val="HTMLPreformattedChar"/>
    <w:semiHidden/>
    <w:rsid w:val="009F34FA"/>
    <w:rPr>
      <w:rFonts w:ascii="Courier New" w:hAnsi="Courier New" w:cs="Courier New"/>
      <w:sz w:val="20"/>
      <w:szCs w:val="20"/>
    </w:rPr>
  </w:style>
  <w:style w:type="character" w:styleId="PageNumber">
    <w:name w:val="page number"/>
    <w:basedOn w:val="DefaultParagraphFont"/>
    <w:uiPriority w:val="3"/>
    <w:rsid w:val="009F34FA"/>
  </w:style>
  <w:style w:type="paragraph" w:customStyle="1" w:styleId="Izvor">
    <w:name w:val="Izvor"/>
    <w:basedOn w:val="Normal"/>
    <w:link w:val="IzvorChar"/>
    <w:rsid w:val="005F4F6A"/>
    <w:pPr>
      <w:spacing w:before="100" w:beforeAutospacing="1" w:after="100" w:afterAutospacing="1"/>
      <w:jc w:val="center"/>
    </w:pPr>
    <w:rPr>
      <w:rFonts w:cs="Arial"/>
      <w:i/>
      <w:sz w:val="20"/>
    </w:rPr>
  </w:style>
  <w:style w:type="paragraph" w:customStyle="1" w:styleId="Naslovstudije">
    <w:name w:val="Naslov studije"/>
    <w:basedOn w:val="Normal"/>
    <w:uiPriority w:val="3"/>
    <w:rsid w:val="008C01E8"/>
    <w:rPr>
      <w:rFonts w:cs="Arial"/>
      <w:b/>
      <w:color w:val="BE1D2D"/>
      <w:sz w:val="36"/>
      <w:szCs w:val="36"/>
    </w:rPr>
  </w:style>
  <w:style w:type="paragraph" w:customStyle="1" w:styleId="Naslovslika">
    <w:name w:val="Naslov slika"/>
    <w:basedOn w:val="Normal"/>
    <w:link w:val="NaslovslikaChar"/>
    <w:uiPriority w:val="99"/>
    <w:qFormat/>
    <w:rsid w:val="00CC0208"/>
    <w:pPr>
      <w:tabs>
        <w:tab w:val="left" w:pos="1021"/>
      </w:tabs>
      <w:spacing w:before="120" w:after="360"/>
      <w:ind w:left="1021" w:hanging="1021"/>
      <w:jc w:val="center"/>
    </w:pPr>
    <w:rPr>
      <w:b/>
      <w:sz w:val="20"/>
      <w:szCs w:val="28"/>
    </w:rPr>
  </w:style>
  <w:style w:type="paragraph" w:styleId="TableofFigures">
    <w:name w:val="table of figures"/>
    <w:basedOn w:val="Normal"/>
    <w:next w:val="Normal"/>
    <w:uiPriority w:val="99"/>
    <w:rsid w:val="00A51256"/>
    <w:pPr>
      <w:tabs>
        <w:tab w:val="left" w:pos="1247"/>
        <w:tab w:val="right" w:leader="dot" w:pos="9061"/>
      </w:tabs>
      <w:spacing w:before="120" w:line="240" w:lineRule="auto"/>
      <w:ind w:left="1247" w:hanging="1247"/>
    </w:pPr>
  </w:style>
  <w:style w:type="paragraph" w:customStyle="1" w:styleId="Literatura">
    <w:name w:val="Literatura"/>
    <w:basedOn w:val="Normal"/>
    <w:link w:val="LiteraturaCharChar"/>
    <w:uiPriority w:val="3"/>
    <w:rsid w:val="005F4F6A"/>
    <w:pPr>
      <w:numPr>
        <w:numId w:val="1"/>
      </w:numPr>
      <w:spacing w:before="100" w:beforeAutospacing="1" w:after="240"/>
    </w:pPr>
    <w:rPr>
      <w:rFonts w:cs="Arial"/>
    </w:rPr>
  </w:style>
  <w:style w:type="paragraph" w:customStyle="1" w:styleId="Naslovtablica">
    <w:name w:val="Naslov tablica"/>
    <w:basedOn w:val="Normal"/>
    <w:uiPriority w:val="1"/>
    <w:qFormat/>
    <w:rsid w:val="0065394E"/>
    <w:pPr>
      <w:keepNext/>
      <w:tabs>
        <w:tab w:val="left" w:pos="1247"/>
      </w:tabs>
      <w:spacing w:before="360"/>
      <w:ind w:left="1247" w:hanging="1247"/>
      <w:jc w:val="center"/>
    </w:pPr>
    <w:rPr>
      <w:rFonts w:cs="Arial"/>
      <w:b/>
      <w:sz w:val="20"/>
    </w:rPr>
  </w:style>
  <w:style w:type="paragraph" w:customStyle="1" w:styleId="zaglavlje">
    <w:name w:val="zaglavlje"/>
    <w:basedOn w:val="Normal"/>
    <w:uiPriority w:val="3"/>
    <w:rsid w:val="009F34FA"/>
    <w:pPr>
      <w:numPr>
        <w:numId w:val="2"/>
      </w:numPr>
      <w:tabs>
        <w:tab w:val="clear" w:pos="357"/>
      </w:tabs>
      <w:ind w:left="0" w:firstLine="0"/>
    </w:pPr>
    <w:rPr>
      <w:b/>
      <w:color w:val="808080"/>
      <w:sz w:val="16"/>
    </w:rPr>
  </w:style>
  <w:style w:type="paragraph" w:customStyle="1" w:styleId="Podnoje1">
    <w:name w:val="Podnožje 1"/>
    <w:basedOn w:val="Normal"/>
    <w:uiPriority w:val="3"/>
    <w:rsid w:val="009F34FA"/>
    <w:rPr>
      <w:sz w:val="20"/>
    </w:rPr>
  </w:style>
  <w:style w:type="character" w:customStyle="1" w:styleId="FooterChar">
    <w:name w:val="Footer Char"/>
    <w:basedOn w:val="DefaultParagraphFont"/>
    <w:link w:val="Footer"/>
    <w:uiPriority w:val="99"/>
    <w:rsid w:val="00CD381C"/>
    <w:rPr>
      <w:b/>
      <w:bCs/>
      <w:color w:val="5F5F5F"/>
      <w:sz w:val="20"/>
      <w:szCs w:val="20"/>
      <w:lang w:val="en-US"/>
    </w:rPr>
  </w:style>
  <w:style w:type="table" w:styleId="TableGrid">
    <w:name w:val="Table Grid"/>
    <w:basedOn w:val="TableNormal"/>
    <w:uiPriority w:val="39"/>
    <w:rsid w:val="007B70F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styleId="CommentReference">
    <w:name w:val="annotation reference"/>
    <w:uiPriority w:val="99"/>
    <w:rsid w:val="00434D5D"/>
    <w:rPr>
      <w:sz w:val="16"/>
      <w:szCs w:val="16"/>
    </w:rPr>
  </w:style>
  <w:style w:type="paragraph" w:styleId="CommentText">
    <w:name w:val="annotation text"/>
    <w:basedOn w:val="Normal"/>
    <w:link w:val="CommentTextChar"/>
    <w:uiPriority w:val="99"/>
    <w:rsid w:val="00434D5D"/>
    <w:pPr>
      <w:widowControl w:val="0"/>
      <w:ind w:firstLine="720"/>
    </w:pPr>
    <w:rPr>
      <w:rFonts w:ascii="Times New Roman" w:hAnsi="Times New Roman"/>
      <w:sz w:val="20"/>
      <w:szCs w:val="20"/>
      <w:lang w:val="en-US" w:eastAsia="ru-RU"/>
    </w:rPr>
  </w:style>
  <w:style w:type="numbering" w:styleId="1ai">
    <w:name w:val="Outline List 1"/>
    <w:basedOn w:val="NoList"/>
    <w:semiHidden/>
    <w:rsid w:val="00C76204"/>
    <w:pPr>
      <w:numPr>
        <w:numId w:val="10"/>
      </w:numPr>
    </w:pPr>
  </w:style>
  <w:style w:type="numbering" w:customStyle="1" w:styleId="StyleBulleted">
    <w:name w:val="Style Bulleted"/>
    <w:basedOn w:val="NoList"/>
    <w:rsid w:val="00647F8D"/>
    <w:pPr>
      <w:numPr>
        <w:numId w:val="8"/>
      </w:numPr>
    </w:pPr>
  </w:style>
  <w:style w:type="paragraph" w:styleId="ListParagraph">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ListParagraphChar"/>
    <w:uiPriority w:val="34"/>
    <w:qFormat/>
    <w:rsid w:val="00B86E78"/>
    <w:pPr>
      <w:tabs>
        <w:tab w:val="left" w:pos="431"/>
      </w:tabs>
      <w:spacing w:before="0" w:line="240" w:lineRule="auto"/>
    </w:pPr>
    <w:rPr>
      <w:rFonts w:cs="Tahoma"/>
      <w:lang w:eastAsia="ar-SA"/>
    </w:rPr>
  </w:style>
  <w:style w:type="character" w:customStyle="1" w:styleId="CommentTextChar">
    <w:name w:val="Comment Text Char"/>
    <w:link w:val="CommentText"/>
    <w:uiPriority w:val="99"/>
    <w:locked/>
    <w:rsid w:val="00914F8E"/>
    <w:rPr>
      <w:lang w:val="en-US" w:eastAsia="ru-RU" w:bidi="ar-SA"/>
    </w:rPr>
  </w:style>
  <w:style w:type="paragraph" w:styleId="CommentSubject">
    <w:name w:val="annotation subject"/>
    <w:basedOn w:val="CommentText"/>
    <w:next w:val="CommentText"/>
    <w:link w:val="CommentSubjectChar"/>
    <w:uiPriority w:val="99"/>
    <w:semiHidden/>
    <w:rsid w:val="00BB4745"/>
    <w:pPr>
      <w:widowControl/>
      <w:ind w:firstLine="0"/>
    </w:pPr>
    <w:rPr>
      <w:rFonts w:ascii="Myriad Pro" w:hAnsi="Myriad Pro" w:cs="Myriad Pro"/>
      <w:b/>
      <w:bCs/>
      <w:lang w:val="en-GB" w:eastAsia="de-DE"/>
    </w:rPr>
  </w:style>
  <w:style w:type="character" w:customStyle="1" w:styleId="Heading6Char">
    <w:name w:val="Heading 6 Char"/>
    <w:link w:val="Heading6"/>
    <w:uiPriority w:val="9"/>
    <w:rsid w:val="00CD381C"/>
    <w:rPr>
      <w:bCs/>
      <w:i/>
    </w:rPr>
  </w:style>
  <w:style w:type="paragraph" w:styleId="TOC5">
    <w:name w:val="toc 5"/>
    <w:basedOn w:val="Normal"/>
    <w:next w:val="Normal"/>
    <w:autoRedefine/>
    <w:uiPriority w:val="39"/>
    <w:rsid w:val="00652E19"/>
    <w:pPr>
      <w:ind w:left="880"/>
    </w:pPr>
  </w:style>
  <w:style w:type="paragraph" w:styleId="TOC6">
    <w:name w:val="toc 6"/>
    <w:basedOn w:val="Normal"/>
    <w:next w:val="Normal"/>
    <w:autoRedefine/>
    <w:uiPriority w:val="39"/>
    <w:rsid w:val="00652E19"/>
    <w:pPr>
      <w:ind w:left="1100"/>
    </w:pPr>
  </w:style>
  <w:style w:type="character" w:customStyle="1" w:styleId="Heading2Char">
    <w:name w:val="Heading 2 Char"/>
    <w:link w:val="Heading2"/>
    <w:uiPriority w:val="9"/>
    <w:rsid w:val="00F64ADD"/>
    <w:rPr>
      <w:rFonts w:cs="Myriad Pro Cond"/>
      <w:b/>
      <w:bCs/>
      <w:color w:val="BE1D2D"/>
      <w:sz w:val="28"/>
      <w:szCs w:val="36"/>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link w:val="FootnoteText"/>
    <w:uiPriority w:val="99"/>
    <w:qFormat/>
    <w:rsid w:val="00FB7D25"/>
    <w:rPr>
      <w:sz w:val="16"/>
      <w:szCs w:val="20"/>
      <w:lang w:eastAsia="en-US"/>
    </w:rPr>
  </w:style>
  <w:style w:type="character" w:customStyle="1" w:styleId="Heading3Char">
    <w:name w:val="Heading 3 Char"/>
    <w:link w:val="Heading3"/>
    <w:uiPriority w:val="9"/>
    <w:rsid w:val="00302043"/>
    <w:rPr>
      <w:b/>
      <w:bCs/>
      <w:iCs/>
      <w:color w:val="BE1D2D"/>
      <w:sz w:val="24"/>
    </w:rPr>
  </w:style>
  <w:style w:type="paragraph" w:customStyle="1" w:styleId="Slike">
    <w:name w:val="Slike"/>
    <w:basedOn w:val="Normal"/>
    <w:uiPriority w:val="3"/>
    <w:qFormat/>
    <w:rsid w:val="00376620"/>
    <w:pPr>
      <w:keepNext/>
      <w:suppressAutoHyphens w:val="0"/>
      <w:spacing w:before="120" w:after="240" w:line="240" w:lineRule="auto"/>
      <w:jc w:val="center"/>
    </w:pPr>
    <w:rPr>
      <w:bCs/>
      <w:i/>
      <w:sz w:val="20"/>
      <w:szCs w:val="20"/>
    </w:rPr>
  </w:style>
  <w:style w:type="character" w:customStyle="1" w:styleId="Heading1Char">
    <w:name w:val="Heading 1 Char"/>
    <w:link w:val="Heading1"/>
    <w:uiPriority w:val="9"/>
    <w:rsid w:val="00381E51"/>
    <w:rPr>
      <w:b/>
      <w:iCs/>
      <w:caps/>
      <w:color w:val="BE1D2D"/>
      <w:position w:val="24"/>
      <w:sz w:val="32"/>
      <w:szCs w:val="48"/>
    </w:rPr>
  </w:style>
  <w:style w:type="paragraph" w:styleId="Revision">
    <w:name w:val="Revision"/>
    <w:hidden/>
    <w:uiPriority w:val="99"/>
    <w:semiHidden/>
    <w:rsid w:val="0070389E"/>
    <w:rPr>
      <w:rFonts w:cs="Myriad Pro"/>
      <w:szCs w:val="24"/>
      <w:lang w:eastAsia="de-DE"/>
    </w:rPr>
  </w:style>
  <w:style w:type="table" w:styleId="GridTable1Light">
    <w:name w:val="Grid Table 1 Light"/>
    <w:basedOn w:val="TableNormal"/>
    <w:uiPriority w:val="46"/>
    <w:rsid w:val="007D74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DE76F5"/>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Normal"/>
    <w:link w:val="Style1Char"/>
    <w:rsid w:val="00386AF3"/>
    <w:pPr>
      <w:tabs>
        <w:tab w:val="left" w:pos="3960"/>
        <w:tab w:val="left" w:pos="5400"/>
      </w:tabs>
      <w:spacing w:before="0" w:line="276" w:lineRule="auto"/>
      <w:ind w:left="5398"/>
    </w:pPr>
    <w:rPr>
      <w:rFonts w:cs="Arial"/>
      <w:b/>
      <w:sz w:val="24"/>
      <w:szCs w:val="24"/>
      <w:lang w:eastAsia="de-DE"/>
    </w:rPr>
  </w:style>
  <w:style w:type="character" w:customStyle="1" w:styleId="Style1Char">
    <w:name w:val="Style1 Char"/>
    <w:link w:val="Style1"/>
    <w:rsid w:val="00386AF3"/>
    <w:rPr>
      <w:rFonts w:cs="Arial"/>
      <w:b/>
      <w:sz w:val="24"/>
      <w:szCs w:val="24"/>
      <w:lang w:eastAsia="de-DE"/>
    </w:rPr>
  </w:style>
  <w:style w:type="table" w:styleId="PlainTable1">
    <w:name w:val="Plain Table 1"/>
    <w:basedOn w:val="TableNormal"/>
    <w:uiPriority w:val="41"/>
    <w:rsid w:val="006A3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s,Map,Map Char Char Char,Map Char Char,Tabellen,Char"/>
    <w:basedOn w:val="Naslovslika"/>
    <w:next w:val="Normal"/>
    <w:link w:val="CaptionChar"/>
    <w:qFormat/>
    <w:rsid w:val="00F149EB"/>
    <w:pPr>
      <w:spacing w:after="120"/>
    </w:pPr>
  </w:style>
  <w:style w:type="character" w:customStyle="1" w:styleId="LiteraturaCharChar">
    <w:name w:val="Literatura Char Char"/>
    <w:link w:val="Literatura"/>
    <w:uiPriority w:val="3"/>
    <w:rsid w:val="00990A6F"/>
    <w:rPr>
      <w:rFonts w:cs="Arial"/>
    </w:rPr>
  </w:style>
  <w:style w:type="character" w:styleId="FollowedHyperlink">
    <w:name w:val="FollowedHyperlink"/>
    <w:basedOn w:val="DefaultParagraphFont"/>
    <w:semiHidden/>
    <w:unhideWhenUsed/>
    <w:rsid w:val="00990A6F"/>
    <w:rPr>
      <w:color w:val="954F72" w:themeColor="followedHyperlink"/>
      <w:u w:val="single"/>
    </w:rPr>
  </w:style>
  <w:style w:type="paragraph" w:customStyle="1" w:styleId="StyleNaslovstudije14pt">
    <w:name w:val="Style Naslov studije + 14 pt"/>
    <w:basedOn w:val="Naslovstudije"/>
    <w:link w:val="StyleNaslovstudije14ptChar"/>
    <w:rsid w:val="004305EC"/>
    <w:pPr>
      <w:suppressAutoHyphens w:val="0"/>
      <w:spacing w:before="0" w:after="0" w:line="240" w:lineRule="auto"/>
    </w:pPr>
    <w:rPr>
      <w:bCs/>
      <w:color w:val="auto"/>
      <w:sz w:val="28"/>
    </w:rPr>
  </w:style>
  <w:style w:type="character" w:customStyle="1" w:styleId="StyleNaslovstudije14ptChar">
    <w:name w:val="Style Naslov studije + 14 pt Char"/>
    <w:link w:val="StyleNaslovstudije14pt"/>
    <w:rsid w:val="004305EC"/>
    <w:rPr>
      <w:rFonts w:cs="Arial"/>
      <w:b/>
      <w:bCs/>
      <w:sz w:val="28"/>
      <w:szCs w:val="36"/>
    </w:rPr>
  </w:style>
  <w:style w:type="paragraph" w:styleId="BalloonText">
    <w:name w:val="Balloon Text"/>
    <w:basedOn w:val="Normal"/>
    <w:link w:val="BalloonTextChar"/>
    <w:uiPriority w:val="99"/>
    <w:semiHidden/>
    <w:unhideWhenUsed/>
    <w:rsid w:val="002931B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B9"/>
    <w:rPr>
      <w:rFonts w:ascii="Segoe UI" w:hAnsi="Segoe UI" w:cs="Segoe UI"/>
      <w:sz w:val="18"/>
      <w:szCs w:val="18"/>
    </w:rPr>
  </w:style>
  <w:style w:type="character" w:styleId="Strong">
    <w:name w:val="Strong"/>
    <w:basedOn w:val="DefaultParagraphFont"/>
    <w:uiPriority w:val="22"/>
    <w:qFormat/>
    <w:rsid w:val="00121DCE"/>
    <w:rPr>
      <w:b/>
      <w:bCs/>
    </w:rPr>
  </w:style>
  <w:style w:type="character" w:customStyle="1" w:styleId="apple-converted-space">
    <w:name w:val="apple-converted-space"/>
    <w:basedOn w:val="DefaultParagraphFont"/>
    <w:rsid w:val="00121DCE"/>
  </w:style>
  <w:style w:type="character" w:customStyle="1" w:styleId="CaptionChar">
    <w:name w:val="Caption Char"/>
    <w:aliases w:val="Figures Char,Map Char,Map Char Char Char Char,Map Char Char Char1,Tabellen Char,Char Char"/>
    <w:link w:val="Caption"/>
    <w:rsid w:val="00F149EB"/>
    <w:rPr>
      <w:b/>
      <w:sz w:val="20"/>
      <w:szCs w:val="28"/>
    </w:rPr>
  </w:style>
  <w:style w:type="character" w:customStyle="1" w:styleId="TekststudijeChar">
    <w:name w:val="Tekst studije Char"/>
    <w:rsid w:val="00903928"/>
    <w:rPr>
      <w:rFonts w:ascii="Arial" w:hAnsi="Arial" w:cs="Arial"/>
      <w:sz w:val="22"/>
      <w:szCs w:val="22"/>
    </w:rPr>
  </w:style>
  <w:style w:type="paragraph" w:styleId="ListBullet5">
    <w:name w:val="List Bullet 5"/>
    <w:basedOn w:val="Normal"/>
    <w:autoRedefine/>
    <w:rsid w:val="00451D29"/>
    <w:pPr>
      <w:numPr>
        <w:numId w:val="4"/>
      </w:numPr>
      <w:spacing w:before="120" w:line="276" w:lineRule="auto"/>
    </w:pPr>
    <w:rPr>
      <w:rFonts w:ascii="Times New Roman" w:hAnsi="Times New Roman"/>
      <w:szCs w:val="24"/>
    </w:rPr>
  </w:style>
  <w:style w:type="paragraph" w:styleId="PlainText">
    <w:name w:val="Plain Text"/>
    <w:basedOn w:val="Normal"/>
    <w:link w:val="PlainTextChar"/>
    <w:uiPriority w:val="99"/>
    <w:rsid w:val="00451D29"/>
    <w:pPr>
      <w:spacing w:before="12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451D29"/>
    <w:rPr>
      <w:rFonts w:ascii="Courier New" w:hAnsi="Courier New" w:cs="Courier New"/>
      <w:sz w:val="20"/>
      <w:szCs w:val="20"/>
    </w:rPr>
  </w:style>
  <w:style w:type="character" w:customStyle="1" w:styleId="spelle">
    <w:name w:val="spelle"/>
    <w:basedOn w:val="DefaultParagraphFont"/>
    <w:rsid w:val="00451D29"/>
  </w:style>
  <w:style w:type="numbering" w:styleId="111111">
    <w:name w:val="Outline List 2"/>
    <w:basedOn w:val="NoList"/>
    <w:rsid w:val="000B2F63"/>
    <w:pPr>
      <w:numPr>
        <w:numId w:val="9"/>
      </w:numPr>
    </w:pPr>
  </w:style>
  <w:style w:type="paragraph" w:customStyle="1" w:styleId="Default">
    <w:name w:val="Default"/>
    <w:rsid w:val="00DC1F5E"/>
    <w:pPr>
      <w:autoSpaceDE w:val="0"/>
      <w:autoSpaceDN w:val="0"/>
      <w:adjustRightInd w:val="0"/>
    </w:pPr>
    <w:rPr>
      <w:rFonts w:cs="Arial"/>
      <w:color w:val="000000"/>
      <w:sz w:val="24"/>
      <w:szCs w:val="24"/>
    </w:rPr>
  </w:style>
  <w:style w:type="paragraph" w:styleId="NormalWeb">
    <w:name w:val="Normal (Web)"/>
    <w:basedOn w:val="Normal"/>
    <w:uiPriority w:val="99"/>
    <w:unhideWhenUsed/>
    <w:rsid w:val="000C63C2"/>
    <w:pPr>
      <w:suppressAutoHyphens w:val="0"/>
      <w:spacing w:before="100" w:beforeAutospacing="1" w:after="100" w:afterAutospacing="1" w:line="240" w:lineRule="auto"/>
      <w:jc w:val="left"/>
    </w:pPr>
    <w:rPr>
      <w:rFonts w:ascii="Times New Roman" w:hAnsi="Times New Roman"/>
      <w:sz w:val="24"/>
      <w:szCs w:val="24"/>
    </w:rPr>
  </w:style>
  <w:style w:type="table" w:customStyle="1" w:styleId="TableNormal1">
    <w:name w:val="Table Normal1"/>
    <w:uiPriority w:val="2"/>
    <w:semiHidden/>
    <w:unhideWhenUsed/>
    <w:qFormat/>
    <w:rsid w:val="00DE171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1711"/>
    <w:pPr>
      <w:widowControl w:val="0"/>
      <w:suppressAutoHyphens w:val="0"/>
      <w:spacing w:before="0" w:after="0" w:line="240" w:lineRule="auto"/>
      <w:jc w:val="left"/>
    </w:pPr>
    <w:rPr>
      <w:rFonts w:asciiTheme="minorHAnsi" w:eastAsiaTheme="minorHAnsi" w:hAnsiTheme="minorHAnsi" w:cstheme="minorBidi"/>
      <w:lang w:val="en-US" w:eastAsia="en-US"/>
    </w:rPr>
  </w:style>
  <w:style w:type="paragraph" w:customStyle="1" w:styleId="Sadraj">
    <w:name w:val="Sadržaj"/>
    <w:basedOn w:val="Normal"/>
    <w:qFormat/>
    <w:rsid w:val="004E0186"/>
    <w:pPr>
      <w:pBdr>
        <w:top w:val="single" w:sz="48" w:space="5" w:color="F5C1C6"/>
      </w:pBdr>
      <w:spacing w:before="120" w:after="320" w:line="240" w:lineRule="auto"/>
    </w:pPr>
    <w:rPr>
      <w:b/>
      <w:caps/>
      <w:color w:val="BE1D2D"/>
      <w:sz w:val="32"/>
    </w:rPr>
  </w:style>
  <w:style w:type="paragraph" w:customStyle="1" w:styleId="Naslovslike">
    <w:name w:val="Naslov slike"/>
    <w:basedOn w:val="Normal"/>
    <w:link w:val="NaslovslikeChar"/>
    <w:qFormat/>
    <w:rsid w:val="00434A94"/>
    <w:pPr>
      <w:suppressAutoHyphens w:val="0"/>
      <w:spacing w:before="120" w:after="360" w:line="240" w:lineRule="auto"/>
      <w:jc w:val="center"/>
    </w:pPr>
    <w:rPr>
      <w:rFonts w:cs="Arial"/>
      <w:b/>
      <w:sz w:val="20"/>
      <w:szCs w:val="24"/>
      <w:lang w:eastAsia="en-US"/>
    </w:rPr>
  </w:style>
  <w:style w:type="character" w:customStyle="1" w:styleId="NaslovslikeChar">
    <w:name w:val="Naslov slike Char"/>
    <w:link w:val="Naslovslike"/>
    <w:rsid w:val="00434A94"/>
    <w:rPr>
      <w:rFonts w:cs="Arial"/>
      <w:b/>
      <w:sz w:val="20"/>
      <w:szCs w:val="24"/>
      <w:lang w:eastAsia="en-US"/>
    </w:rPr>
  </w:style>
  <w:style w:type="paragraph" w:customStyle="1" w:styleId="line">
    <w:name w:val="line"/>
    <w:basedOn w:val="Normal"/>
    <w:rsid w:val="00466BF8"/>
    <w:pPr>
      <w:suppressAutoHyphens w:val="0"/>
      <w:spacing w:before="100" w:beforeAutospacing="1" w:after="100" w:afterAutospacing="1" w:line="240" w:lineRule="auto"/>
      <w:jc w:val="left"/>
    </w:pPr>
    <w:rPr>
      <w:rFonts w:ascii="Times New Roman" w:hAnsi="Times New Roman"/>
      <w:sz w:val="24"/>
      <w:szCs w:val="24"/>
    </w:rPr>
  </w:style>
  <w:style w:type="paragraph" w:customStyle="1" w:styleId="bodytext0">
    <w:name w:val="bodytext"/>
    <w:basedOn w:val="Normal"/>
    <w:rsid w:val="00510B2E"/>
    <w:pPr>
      <w:suppressAutoHyphens w:val="0"/>
      <w:spacing w:before="100" w:beforeAutospacing="1" w:after="100" w:afterAutospacing="1" w:line="240" w:lineRule="auto"/>
      <w:jc w:val="left"/>
    </w:pPr>
    <w:rPr>
      <w:rFonts w:ascii="Times New Roman" w:hAnsi="Times New Roman"/>
      <w:sz w:val="24"/>
      <w:szCs w:val="24"/>
    </w:rPr>
  </w:style>
  <w:style w:type="character" w:customStyle="1" w:styleId="Heading5Char">
    <w:name w:val="Heading 5 Char"/>
    <w:basedOn w:val="DefaultParagraphFont"/>
    <w:link w:val="Heading5"/>
    <w:uiPriority w:val="9"/>
    <w:rsid w:val="002555FD"/>
    <w:rPr>
      <w:b/>
      <w:bCs/>
      <w:iCs/>
      <w:color w:val="C00000"/>
      <w:szCs w:val="26"/>
    </w:rPr>
  </w:style>
  <w:style w:type="paragraph" w:customStyle="1" w:styleId="TableofTables">
    <w:name w:val="Table of Tables"/>
    <w:basedOn w:val="TableofFigures"/>
    <w:qFormat/>
    <w:rsid w:val="00317734"/>
  </w:style>
  <w:style w:type="paragraph" w:styleId="ListBullet">
    <w:name w:val="List Bullet"/>
    <w:basedOn w:val="Normal"/>
    <w:autoRedefine/>
    <w:uiPriority w:val="99"/>
    <w:semiHidden/>
    <w:rsid w:val="003E42C4"/>
    <w:pPr>
      <w:numPr>
        <w:numId w:val="5"/>
      </w:numPr>
      <w:suppressAutoHyphens w:val="0"/>
      <w:spacing w:before="0" w:after="0" w:line="240" w:lineRule="auto"/>
      <w:jc w:val="left"/>
    </w:pPr>
    <w:rPr>
      <w:rFonts w:ascii="Times New Roman" w:hAnsi="Times New Roman"/>
      <w:sz w:val="24"/>
      <w:szCs w:val="24"/>
    </w:rPr>
  </w:style>
  <w:style w:type="table" w:customStyle="1" w:styleId="GridTable1Light2">
    <w:name w:val="Grid Table 1 Light2"/>
    <w:basedOn w:val="TableNormal"/>
    <w:next w:val="GridTable1Light"/>
    <w:uiPriority w:val="46"/>
    <w:rsid w:val="0007533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E1593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
    <w:name w:val="Grid Table 1 Light11"/>
    <w:basedOn w:val="TableNormal"/>
    <w:uiPriority w:val="46"/>
    <w:rsid w:val="00E1593D"/>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81">
    <w:name w:val="font81"/>
    <w:basedOn w:val="DefaultParagraphFont"/>
    <w:rsid w:val="00E94CFB"/>
    <w:rPr>
      <w:rFonts w:ascii="Calibri" w:hAnsi="Calibri" w:hint="default"/>
      <w:b w:val="0"/>
      <w:bCs w:val="0"/>
      <w:i w:val="0"/>
      <w:iCs w:val="0"/>
      <w:strike w:val="0"/>
      <w:dstrike w:val="0"/>
      <w:color w:val="000000"/>
      <w:sz w:val="22"/>
      <w:szCs w:val="22"/>
      <w:u w:val="none"/>
      <w:effect w:val="none"/>
    </w:rPr>
  </w:style>
  <w:style w:type="character" w:customStyle="1" w:styleId="NaslovslikaChar">
    <w:name w:val="Naslov slika Char"/>
    <w:link w:val="Naslovslika"/>
    <w:uiPriority w:val="99"/>
    <w:rsid w:val="006F6D8A"/>
    <w:rPr>
      <w:b/>
      <w:sz w:val="20"/>
      <w:szCs w:val="28"/>
    </w:rPr>
  </w:style>
  <w:style w:type="character" w:customStyle="1" w:styleId="IzvorChar">
    <w:name w:val="Izvor Char"/>
    <w:link w:val="Izvor"/>
    <w:rsid w:val="006F6D8A"/>
    <w:rPr>
      <w:rFonts w:cs="Arial"/>
      <w:i/>
      <w:sz w:val="20"/>
    </w:rPr>
  </w:style>
  <w:style w:type="table" w:styleId="PlainTable4">
    <w:name w:val="Plain Table 4"/>
    <w:basedOn w:val="TableNormal"/>
    <w:uiPriority w:val="44"/>
    <w:rsid w:val="00F01B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83D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A55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TMLPreformattedChar">
    <w:name w:val="HTML Preformatted Char"/>
    <w:basedOn w:val="DefaultParagraphFont"/>
    <w:link w:val="HTMLPreformatted"/>
    <w:semiHidden/>
    <w:rsid w:val="005F1038"/>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D53011"/>
    <w:rPr>
      <w:color w:val="808080"/>
      <w:shd w:val="clear" w:color="auto" w:fill="E6E6E6"/>
    </w:rPr>
  </w:style>
  <w:style w:type="paragraph" w:styleId="EndnoteText">
    <w:name w:val="endnote text"/>
    <w:basedOn w:val="Normal"/>
    <w:link w:val="EndnoteTextChar"/>
    <w:uiPriority w:val="99"/>
    <w:unhideWhenUsed/>
    <w:rsid w:val="003C50D6"/>
    <w:pPr>
      <w:spacing w:before="0" w:after="0" w:line="240" w:lineRule="auto"/>
    </w:pPr>
    <w:rPr>
      <w:sz w:val="20"/>
      <w:szCs w:val="20"/>
    </w:rPr>
  </w:style>
  <w:style w:type="character" w:customStyle="1" w:styleId="EndnoteTextChar">
    <w:name w:val="Endnote Text Char"/>
    <w:basedOn w:val="DefaultParagraphFont"/>
    <w:link w:val="EndnoteText"/>
    <w:uiPriority w:val="99"/>
    <w:rsid w:val="003C50D6"/>
    <w:rPr>
      <w:sz w:val="20"/>
      <w:szCs w:val="20"/>
    </w:rPr>
  </w:style>
  <w:style w:type="character" w:styleId="EndnoteReference">
    <w:name w:val="endnote reference"/>
    <w:basedOn w:val="DefaultParagraphFont"/>
    <w:uiPriority w:val="99"/>
    <w:semiHidden/>
    <w:unhideWhenUsed/>
    <w:rsid w:val="003C50D6"/>
    <w:rPr>
      <w:vertAlign w:val="superscript"/>
    </w:rPr>
  </w:style>
  <w:style w:type="paragraph" w:styleId="BodyTextIndent">
    <w:name w:val="Body Text Indent"/>
    <w:basedOn w:val="Normal"/>
    <w:link w:val="BodyTextIndentChar"/>
    <w:uiPriority w:val="99"/>
    <w:unhideWhenUsed/>
    <w:rsid w:val="0090780C"/>
    <w:pPr>
      <w:suppressAutoHyphens w:val="0"/>
      <w:spacing w:before="0" w:line="240" w:lineRule="auto"/>
      <w:ind w:left="283"/>
      <w:jc w:val="left"/>
    </w:pPr>
    <w:rPr>
      <w:rFonts w:ascii="Times New Roman" w:hAnsi="Times New Roman"/>
      <w:sz w:val="24"/>
      <w:szCs w:val="24"/>
    </w:rPr>
  </w:style>
  <w:style w:type="character" w:customStyle="1" w:styleId="BodyTextIndentChar">
    <w:name w:val="Body Text Indent Char"/>
    <w:basedOn w:val="DefaultParagraphFont"/>
    <w:link w:val="BodyTextIndent"/>
    <w:uiPriority w:val="99"/>
    <w:rsid w:val="0090780C"/>
    <w:rPr>
      <w:rFonts w:ascii="Times New Roman" w:hAnsi="Times New Roman"/>
      <w:sz w:val="24"/>
      <w:szCs w:val="24"/>
    </w:rPr>
  </w:style>
  <w:style w:type="paragraph" w:customStyle="1" w:styleId="msonormal0">
    <w:name w:val="msonormal"/>
    <w:basedOn w:val="Normal"/>
    <w:rsid w:val="00965944"/>
    <w:pPr>
      <w:suppressAutoHyphens w:val="0"/>
      <w:spacing w:before="100" w:beforeAutospacing="1" w:after="100" w:afterAutospacing="1" w:line="240" w:lineRule="auto"/>
      <w:jc w:val="left"/>
    </w:pPr>
    <w:rPr>
      <w:rFonts w:ascii="Times New Roman" w:hAnsi="Times New Roman"/>
      <w:sz w:val="24"/>
      <w:szCs w:val="24"/>
    </w:rPr>
  </w:style>
  <w:style w:type="paragraph" w:styleId="NoSpacing">
    <w:name w:val="No Spacing"/>
    <w:link w:val="NoSpacingChar"/>
    <w:uiPriority w:val="1"/>
    <w:qFormat/>
    <w:rsid w:val="00965944"/>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65944"/>
    <w:rPr>
      <w:rFonts w:asciiTheme="minorHAnsi" w:eastAsiaTheme="minorEastAsia" w:hAnsiTheme="minorHAnsi" w:cstheme="minorBidi"/>
    </w:rPr>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4F78AB"/>
    <w:rPr>
      <w:rFonts w:cs="Arial"/>
      <w:iCs/>
      <w:color w:val="BE1D2D"/>
      <w:kern w:val="32"/>
      <w:sz w:val="24"/>
      <w:szCs w:val="28"/>
    </w:rPr>
  </w:style>
  <w:style w:type="character" w:customStyle="1" w:styleId="Heading7Char">
    <w:name w:val="Heading 7 Char"/>
    <w:basedOn w:val="DefaultParagraphFont"/>
    <w:link w:val="Heading7"/>
    <w:uiPriority w:val="9"/>
    <w:rsid w:val="004F78AB"/>
    <w:rPr>
      <w:rFonts w:ascii="Times New Roman" w:hAnsi="Times New Roman"/>
    </w:rPr>
  </w:style>
  <w:style w:type="character" w:customStyle="1" w:styleId="Heading8Char">
    <w:name w:val="Heading 8 Char"/>
    <w:basedOn w:val="DefaultParagraphFont"/>
    <w:link w:val="Heading8"/>
    <w:uiPriority w:val="9"/>
    <w:rsid w:val="004F78AB"/>
    <w:rPr>
      <w:rFonts w:ascii="Times New Roman" w:hAnsi="Times New Roman"/>
      <w:i/>
      <w:iCs/>
    </w:rPr>
  </w:style>
  <w:style w:type="character" w:customStyle="1" w:styleId="Heading9Char">
    <w:name w:val="Heading 9 Char"/>
    <w:basedOn w:val="DefaultParagraphFont"/>
    <w:link w:val="Heading9"/>
    <w:uiPriority w:val="9"/>
    <w:rsid w:val="004F78AB"/>
    <w:rPr>
      <w:rFonts w:cs="Arial"/>
    </w:rPr>
  </w:style>
  <w:style w:type="character" w:customStyle="1" w:styleId="DocumentMapChar">
    <w:name w:val="Document Map Char"/>
    <w:basedOn w:val="DefaultParagraphFont"/>
    <w:link w:val="DocumentMap"/>
    <w:semiHidden/>
    <w:rsid w:val="004F78AB"/>
    <w:rPr>
      <w:rFonts w:ascii="Tahoma" w:hAnsi="Tahoma" w:cs="Tahoma"/>
      <w:sz w:val="20"/>
      <w:szCs w:val="20"/>
      <w:shd w:val="clear" w:color="auto" w:fill="000080"/>
    </w:rPr>
  </w:style>
  <w:style w:type="character" w:customStyle="1" w:styleId="E-mailSignatureChar">
    <w:name w:val="E-mail Signature Char"/>
    <w:basedOn w:val="DefaultParagraphFont"/>
    <w:link w:val="E-mailSignature"/>
    <w:semiHidden/>
    <w:rsid w:val="004F78AB"/>
    <w:rPr>
      <w:rFonts w:ascii="Times New Roman" w:hAnsi="Times New Roman"/>
    </w:rPr>
  </w:style>
  <w:style w:type="character" w:customStyle="1" w:styleId="HTMLAddressChar">
    <w:name w:val="HTML Address Char"/>
    <w:basedOn w:val="DefaultParagraphFont"/>
    <w:link w:val="HTMLAddress"/>
    <w:semiHidden/>
    <w:rsid w:val="004F78AB"/>
    <w:rPr>
      <w:rFonts w:ascii="Times New Roman" w:hAnsi="Times New Roman"/>
      <w:i/>
      <w:iCs/>
    </w:rPr>
  </w:style>
  <w:style w:type="character" w:customStyle="1" w:styleId="CommentSubjectChar">
    <w:name w:val="Comment Subject Char"/>
    <w:basedOn w:val="CommentTextChar"/>
    <w:link w:val="CommentSubject"/>
    <w:uiPriority w:val="99"/>
    <w:semiHidden/>
    <w:rsid w:val="004F78AB"/>
    <w:rPr>
      <w:rFonts w:ascii="Myriad Pro" w:hAnsi="Myriad Pro" w:cs="Myriad Pro"/>
      <w:b/>
      <w:bCs/>
      <w:sz w:val="20"/>
      <w:szCs w:val="20"/>
      <w:lang w:val="en-GB" w:eastAsia="de-DE" w:bidi="ar-SA"/>
    </w:rPr>
  </w:style>
  <w:style w:type="table" w:customStyle="1" w:styleId="GridTable1Light12">
    <w:name w:val="Grid Table 1 Light12"/>
    <w:basedOn w:val="TableNormal"/>
    <w:uiPriority w:val="46"/>
    <w:rsid w:val="004F78AB"/>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ption-tbl">
    <w:name w:val="Caption-tbl"/>
    <w:basedOn w:val="Normal"/>
    <w:next w:val="Normal"/>
    <w:rsid w:val="004F78AB"/>
    <w:pPr>
      <w:keepNext/>
      <w:suppressAutoHyphens w:val="0"/>
      <w:spacing w:before="270" w:after="90" w:line="240" w:lineRule="auto"/>
      <w:jc w:val="center"/>
    </w:pPr>
    <w:rPr>
      <w:b/>
      <w:i/>
      <w:sz w:val="20"/>
      <w:lang w:eastAsia="ko-KR"/>
    </w:rPr>
  </w:style>
  <w:style w:type="paragraph" w:styleId="Bibliography">
    <w:name w:val="Bibliography"/>
    <w:basedOn w:val="Normal"/>
    <w:next w:val="Normal"/>
    <w:uiPriority w:val="37"/>
    <w:unhideWhenUsed/>
    <w:rsid w:val="004F78AB"/>
    <w:pPr>
      <w:spacing w:before="120"/>
    </w:pPr>
  </w:style>
  <w:style w:type="numbering" w:customStyle="1" w:styleId="NoList1">
    <w:name w:val="No List1"/>
    <w:next w:val="NoList"/>
    <w:uiPriority w:val="99"/>
    <w:semiHidden/>
    <w:unhideWhenUsed/>
    <w:rsid w:val="004F78AB"/>
  </w:style>
  <w:style w:type="paragraph" w:customStyle="1" w:styleId="Bullets">
    <w:name w:val="Bullets"/>
    <w:basedOn w:val="Normal"/>
    <w:rsid w:val="004F78AB"/>
    <w:pPr>
      <w:numPr>
        <w:numId w:val="6"/>
      </w:numPr>
      <w:suppressAutoHyphens w:val="0"/>
      <w:spacing w:before="90" w:after="90" w:line="240" w:lineRule="auto"/>
    </w:pPr>
    <w:rPr>
      <w:rFonts w:cs="Arial"/>
      <w:lang w:eastAsia="ko-KR"/>
    </w:rPr>
  </w:style>
  <w:style w:type="paragraph" w:customStyle="1" w:styleId="Caption-sl">
    <w:name w:val="Caption-sl"/>
    <w:basedOn w:val="Caption"/>
    <w:next w:val="Normal"/>
    <w:link w:val="Caption-slChar"/>
    <w:rsid w:val="004F78AB"/>
    <w:pPr>
      <w:tabs>
        <w:tab w:val="clear" w:pos="1021"/>
      </w:tabs>
      <w:suppressAutoHyphens w:val="0"/>
      <w:spacing w:before="0" w:after="270" w:line="240" w:lineRule="auto"/>
      <w:ind w:left="0" w:firstLine="0"/>
    </w:pPr>
    <w:rPr>
      <w:i/>
      <w:szCs w:val="20"/>
      <w:lang w:eastAsia="ko-KR"/>
    </w:rPr>
  </w:style>
  <w:style w:type="character" w:customStyle="1" w:styleId="Caption-slChar">
    <w:name w:val="Caption-sl Char"/>
    <w:basedOn w:val="DefaultParagraphFont"/>
    <w:link w:val="Caption-sl"/>
    <w:rsid w:val="004F78AB"/>
    <w:rPr>
      <w:b/>
      <w:i/>
      <w:sz w:val="20"/>
      <w:szCs w:val="20"/>
      <w:lang w:eastAsia="ko-KR"/>
    </w:rPr>
  </w:style>
  <w:style w:type="paragraph" w:styleId="BodyText3">
    <w:name w:val="Body Text 3"/>
    <w:basedOn w:val="Normal"/>
    <w:link w:val="BodyText3Char"/>
    <w:semiHidden/>
    <w:rsid w:val="004F78AB"/>
    <w:pPr>
      <w:suppressAutoHyphens w:val="0"/>
      <w:spacing w:before="0" w:line="240" w:lineRule="auto"/>
      <w:jc w:val="left"/>
    </w:pPr>
    <w:rPr>
      <w:rFonts w:ascii="Times New Roman" w:hAnsi="Times New Roman"/>
      <w:sz w:val="16"/>
      <w:szCs w:val="16"/>
    </w:rPr>
  </w:style>
  <w:style w:type="character" w:customStyle="1" w:styleId="BodyText3Char">
    <w:name w:val="Body Text 3 Char"/>
    <w:basedOn w:val="DefaultParagraphFont"/>
    <w:link w:val="BodyText3"/>
    <w:semiHidden/>
    <w:rsid w:val="004F78AB"/>
    <w:rPr>
      <w:rFonts w:ascii="Times New Roman" w:hAnsi="Times New Roman"/>
      <w:sz w:val="16"/>
      <w:szCs w:val="16"/>
    </w:rPr>
  </w:style>
  <w:style w:type="paragraph" w:styleId="BlockText">
    <w:name w:val="Block Text"/>
    <w:basedOn w:val="Normal"/>
    <w:semiHidden/>
    <w:rsid w:val="004F78AB"/>
    <w:pPr>
      <w:suppressAutoHyphens w:val="0"/>
      <w:spacing w:before="0" w:line="240" w:lineRule="auto"/>
      <w:ind w:left="1440" w:right="1440"/>
      <w:jc w:val="left"/>
    </w:pPr>
    <w:rPr>
      <w:rFonts w:ascii="Times New Roman" w:hAnsi="Times New Roman"/>
      <w:sz w:val="24"/>
      <w:szCs w:val="24"/>
    </w:rPr>
  </w:style>
  <w:style w:type="table" w:customStyle="1" w:styleId="TableGrid2">
    <w:name w:val="Table Grid2"/>
    <w:basedOn w:val="TableNormal"/>
    <w:next w:val="TableGrid"/>
    <w:uiPriority w:val="39"/>
    <w:rsid w:val="004F7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78AB"/>
  </w:style>
  <w:style w:type="paragraph" w:customStyle="1" w:styleId="fusnota">
    <w:name w:val="fusnota"/>
    <w:basedOn w:val="FootnoteText"/>
    <w:link w:val="fusnotaChar"/>
    <w:rsid w:val="004F78AB"/>
    <w:pPr>
      <w:suppressAutoHyphens w:val="0"/>
      <w:spacing w:before="120" w:after="60"/>
    </w:pPr>
    <w:rPr>
      <w:rFonts w:cs="Arial"/>
      <w:sz w:val="18"/>
      <w:lang w:eastAsia="hr-HR"/>
    </w:rPr>
  </w:style>
  <w:style w:type="character" w:customStyle="1" w:styleId="fusnotaChar">
    <w:name w:val="fusnota Char"/>
    <w:link w:val="fusnota"/>
    <w:rsid w:val="004F78AB"/>
    <w:rPr>
      <w:rFonts w:cs="Arial"/>
      <w:sz w:val="18"/>
      <w:szCs w:val="20"/>
    </w:rPr>
  </w:style>
  <w:style w:type="table" w:customStyle="1" w:styleId="GridTable1Light-Accent51">
    <w:name w:val="Grid Table 1 Light - Accent 51"/>
    <w:basedOn w:val="TableNormal"/>
    <w:uiPriority w:val="46"/>
    <w:rsid w:val="004F78AB"/>
    <w:rPr>
      <w:rFonts w:asciiTheme="minorHAnsi" w:eastAsiaTheme="minorHAnsi" w:hAnsi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9-8">
    <w:name w:val="t-9-8"/>
    <w:basedOn w:val="Normal"/>
    <w:rsid w:val="004F78AB"/>
    <w:pPr>
      <w:suppressAutoHyphens w:val="0"/>
      <w:spacing w:before="100" w:beforeAutospacing="1" w:after="100" w:afterAutospacing="1" w:line="240" w:lineRule="auto"/>
      <w:jc w:val="left"/>
    </w:pPr>
    <w:rPr>
      <w:rFonts w:ascii="Times New Roman" w:hAnsi="Times New Roman"/>
      <w:sz w:val="24"/>
      <w:szCs w:val="24"/>
    </w:rPr>
  </w:style>
  <w:style w:type="table" w:customStyle="1" w:styleId="GridTable1Light3">
    <w:name w:val="Grid Table 1 Light3"/>
    <w:basedOn w:val="TableNormal"/>
    <w:next w:val="GridTable1Light"/>
    <w:uiPriority w:val="46"/>
    <w:rsid w:val="00625B21"/>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117CFE"/>
    <w:pPr>
      <w:suppressAutoHyphens w:val="0"/>
      <w:spacing w:before="0" w:after="100" w:line="259" w:lineRule="auto"/>
      <w:ind w:left="66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117CFE"/>
    <w:pPr>
      <w:suppressAutoHyphens w:val="0"/>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117CFE"/>
    <w:pPr>
      <w:suppressAutoHyphens w:val="0"/>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117CFE"/>
    <w:pPr>
      <w:suppressAutoHyphens w:val="0"/>
      <w:spacing w:before="0" w:after="100" w:line="259" w:lineRule="auto"/>
      <w:ind w:left="1760"/>
      <w:jc w:val="left"/>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117CFE"/>
    <w:rPr>
      <w:color w:val="605E5C"/>
      <w:shd w:val="clear" w:color="auto" w:fill="E1DFDD"/>
    </w:rPr>
  </w:style>
  <w:style w:type="character" w:customStyle="1" w:styleId="UnresolvedMention3">
    <w:name w:val="Unresolved Mention3"/>
    <w:basedOn w:val="DefaultParagraphFont"/>
    <w:uiPriority w:val="99"/>
    <w:semiHidden/>
    <w:unhideWhenUsed/>
    <w:rsid w:val="00BE30A8"/>
    <w:rPr>
      <w:color w:val="605E5C"/>
      <w:shd w:val="clear" w:color="auto" w:fill="E1DFDD"/>
    </w:rPr>
  </w:style>
  <w:style w:type="table" w:styleId="GridTable5Dark-Accent2">
    <w:name w:val="Grid Table 5 Dark Accent 2"/>
    <w:basedOn w:val="TableNormal"/>
    <w:uiPriority w:val="50"/>
    <w:rsid w:val="004533F1"/>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2-Accent3">
    <w:name w:val="Grid Table 2 Accent 3"/>
    <w:basedOn w:val="TableNormal"/>
    <w:uiPriority w:val="47"/>
    <w:rsid w:val="00535E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ED38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6D4409"/>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customStyle="1" w:styleId="ListParagraphChar">
    <w:name w:val="List Paragraph Char"/>
    <w:aliases w:val="REPORT Bullet Char,Nabrajanje Char,Tocka Char,List Paragraph1 Char,KiF bullets Char,UNIZG_ALU_bullet Char,Lettre d'introduction Char,FM Char,Akapit z listą BS Char,Bullet1 Char,References Char,List Paragraph (numbered (a)) Char"/>
    <w:link w:val="ListParagraph"/>
    <w:uiPriority w:val="34"/>
    <w:qFormat/>
    <w:locked/>
    <w:rsid w:val="00E456CD"/>
    <w:rPr>
      <w:rFonts w:cs="Tahoma"/>
      <w:lang w:eastAsia="ar-SA"/>
    </w:rPr>
  </w:style>
  <w:style w:type="table" w:customStyle="1" w:styleId="TableGrid21">
    <w:name w:val="Table Grid21"/>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366BD"/>
  </w:style>
  <w:style w:type="table" w:customStyle="1" w:styleId="TableGrid4">
    <w:name w:val="Table Grid4"/>
    <w:basedOn w:val="TableNormal"/>
    <w:next w:val="TableGrid"/>
    <w:uiPriority w:val="39"/>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4">
    <w:name w:val="Grid Table 1 Light4"/>
    <w:basedOn w:val="TableNormal"/>
    <w:next w:val="GridTable1Light"/>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DA61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1">
    <w:name w:val="Table Normal11"/>
    <w:uiPriority w:val="2"/>
    <w:semiHidden/>
    <w:unhideWhenUsed/>
    <w:qFormat/>
    <w:rsid w:val="00DA6146"/>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GridTable1Light21">
    <w:name w:val="Grid Table 1 Light21"/>
    <w:basedOn w:val="TableNormal"/>
    <w:next w:val="GridTable1Light"/>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1">
    <w:name w:val="Grid Table 1 Light111"/>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next w:val="PlainTable4"/>
    <w:uiPriority w:val="44"/>
    <w:rsid w:val="00DA61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DA61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next w:val="PlainTable3"/>
    <w:uiPriority w:val="43"/>
    <w:rsid w:val="00DA61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DA61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DA6146"/>
    <w:pPr>
      <w:numPr>
        <w:ilvl w:val="1"/>
      </w:numPr>
      <w:suppressAutoHyphens w:val="0"/>
      <w:spacing w:before="0" w:after="160" w:line="259" w:lineRule="auto"/>
      <w:jc w:val="left"/>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DA6146"/>
    <w:rPr>
      <w:rFonts w:asciiTheme="minorHAnsi" w:eastAsiaTheme="minorEastAsia" w:hAnsiTheme="minorHAnsi" w:cstheme="minorBidi"/>
      <w:color w:val="5A5A5A" w:themeColor="text1" w:themeTint="A5"/>
      <w:spacing w:val="15"/>
      <w:lang w:eastAsia="en-US"/>
    </w:rPr>
  </w:style>
  <w:style w:type="character" w:styleId="SubtleEmphasis">
    <w:name w:val="Subtle Emphasis"/>
    <w:basedOn w:val="DefaultParagraphFont"/>
    <w:uiPriority w:val="19"/>
    <w:qFormat/>
    <w:rsid w:val="00DA6146"/>
    <w:rPr>
      <w:i/>
      <w:iCs/>
      <w:color w:val="404040" w:themeColor="text1" w:themeTint="BF"/>
    </w:rPr>
  </w:style>
  <w:style w:type="character" w:styleId="Emphasis">
    <w:name w:val="Emphasis"/>
    <w:basedOn w:val="DefaultParagraphFont"/>
    <w:uiPriority w:val="20"/>
    <w:qFormat/>
    <w:rsid w:val="00DA6146"/>
    <w:rPr>
      <w:i/>
      <w:iCs/>
    </w:rPr>
  </w:style>
  <w:style w:type="table" w:customStyle="1" w:styleId="TableGrid27">
    <w:name w:val="Table Grid27"/>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671E6"/>
    <w:rPr>
      <w:color w:val="605E5C"/>
      <w:shd w:val="clear" w:color="auto" w:fill="E1DFDD"/>
    </w:rPr>
  </w:style>
  <w:style w:type="character" w:customStyle="1" w:styleId="UnresolvedMention5">
    <w:name w:val="Unresolved Mention5"/>
    <w:basedOn w:val="DefaultParagraphFont"/>
    <w:uiPriority w:val="99"/>
    <w:semiHidden/>
    <w:unhideWhenUsed/>
    <w:rsid w:val="007B4973"/>
    <w:rPr>
      <w:color w:val="605E5C"/>
      <w:shd w:val="clear" w:color="auto" w:fill="E1DFDD"/>
    </w:rPr>
  </w:style>
  <w:style w:type="character" w:customStyle="1" w:styleId="UnresolvedMention6">
    <w:name w:val="Unresolved Mention6"/>
    <w:basedOn w:val="DefaultParagraphFont"/>
    <w:uiPriority w:val="99"/>
    <w:semiHidden/>
    <w:unhideWhenUsed/>
    <w:rsid w:val="00524046"/>
    <w:rPr>
      <w:color w:val="605E5C"/>
      <w:shd w:val="clear" w:color="auto" w:fill="E1DFDD"/>
    </w:rPr>
  </w:style>
  <w:style w:type="character" w:customStyle="1" w:styleId="UnresolvedMention7">
    <w:name w:val="Unresolved Mention7"/>
    <w:basedOn w:val="DefaultParagraphFont"/>
    <w:uiPriority w:val="99"/>
    <w:semiHidden/>
    <w:unhideWhenUsed/>
    <w:rsid w:val="003F5A4C"/>
    <w:rPr>
      <w:color w:val="605E5C"/>
      <w:shd w:val="clear" w:color="auto" w:fill="E1DFDD"/>
    </w:rPr>
  </w:style>
  <w:style w:type="character" w:customStyle="1" w:styleId="kurziv">
    <w:name w:val="kurziv"/>
    <w:basedOn w:val="DefaultParagraphFont"/>
    <w:rsid w:val="00FD0099"/>
  </w:style>
  <w:style w:type="character" w:customStyle="1" w:styleId="fontstyle01">
    <w:name w:val="fontstyle01"/>
    <w:basedOn w:val="DefaultParagraphFont"/>
    <w:rsid w:val="0015358E"/>
    <w:rPr>
      <w:rFonts w:ascii="Times New Roman" w:hAnsi="Times New Roman" w:cs="Times New Roman" w:hint="default"/>
      <w:b w:val="0"/>
      <w:bCs w:val="0"/>
      <w:i w:val="0"/>
      <w:iCs w:val="0"/>
      <w:color w:val="000000"/>
      <w:sz w:val="24"/>
      <w:szCs w:val="24"/>
    </w:rPr>
  </w:style>
  <w:style w:type="paragraph" w:customStyle="1" w:styleId="Point0">
    <w:name w:val="Point 0"/>
    <w:basedOn w:val="Normal"/>
    <w:rsid w:val="001245E9"/>
    <w:pPr>
      <w:suppressAutoHyphens w:val="0"/>
      <w:spacing w:before="120" w:line="240" w:lineRule="auto"/>
      <w:ind w:left="850" w:hanging="850"/>
    </w:pPr>
    <w:rPr>
      <w:rFonts w:ascii="Times New Roman" w:eastAsiaTheme="minorHAnsi" w:hAnsi="Times New Roman"/>
      <w:sz w:val="24"/>
      <w:szCs w:val="24"/>
      <w:lang w:eastAsia="en-GB"/>
    </w:rPr>
  </w:style>
  <w:style w:type="character" w:customStyle="1" w:styleId="CRMarker">
    <w:name w:val="CR Marker"/>
    <w:basedOn w:val="DefaultParagraphFont"/>
    <w:uiPriority w:val="99"/>
    <w:rsid w:val="001245E9"/>
    <w:rPr>
      <w:rFonts w:ascii="Wingdings" w:hAnsi="Wingdings" w:hint="default"/>
    </w:rPr>
  </w:style>
  <w:style w:type="paragraph" w:customStyle="1" w:styleId="Slika">
    <w:name w:val="Slika"/>
    <w:basedOn w:val="Normal"/>
    <w:next w:val="Normal"/>
    <w:link w:val="SlikaChar"/>
    <w:autoRedefine/>
    <w:qFormat/>
    <w:rsid w:val="001245E9"/>
    <w:pPr>
      <w:keepNext/>
      <w:suppressAutoHyphens w:val="0"/>
      <w:spacing w:before="120" w:line="240" w:lineRule="auto"/>
      <w:jc w:val="center"/>
    </w:pPr>
    <w:rPr>
      <w:rFonts w:ascii="Tahoma" w:hAnsi="Tahoma" w:cs="Myriad Pro"/>
      <w:sz w:val="20"/>
      <w:szCs w:val="24"/>
    </w:rPr>
  </w:style>
  <w:style w:type="character" w:customStyle="1" w:styleId="SlikaChar">
    <w:name w:val="Slika Char"/>
    <w:basedOn w:val="DefaultParagraphFont"/>
    <w:link w:val="Slika"/>
    <w:rsid w:val="001245E9"/>
    <w:rPr>
      <w:rFonts w:ascii="Tahoma" w:hAnsi="Tahoma" w:cs="Myriad Pro"/>
      <w:sz w:val="20"/>
      <w:szCs w:val="24"/>
    </w:rPr>
  </w:style>
  <w:style w:type="paragraph" w:customStyle="1" w:styleId="Naslovtablice">
    <w:name w:val="Naslov tablice"/>
    <w:basedOn w:val="Caption"/>
    <w:next w:val="Normal"/>
    <w:link w:val="NaslovtabliceChar"/>
    <w:autoRedefine/>
    <w:qFormat/>
    <w:rsid w:val="001245E9"/>
    <w:pPr>
      <w:keepNext/>
      <w:keepLines/>
      <w:tabs>
        <w:tab w:val="clear" w:pos="1021"/>
      </w:tabs>
      <w:spacing w:after="60" w:line="240" w:lineRule="auto"/>
      <w:ind w:left="0" w:firstLine="0"/>
    </w:pPr>
    <w:rPr>
      <w:rFonts w:ascii="Tahoma" w:hAnsi="Tahoma" w:cs="Tahoma"/>
      <w:b w:val="0"/>
      <w:i/>
      <w:iCs/>
      <w:sz w:val="16"/>
      <w:szCs w:val="20"/>
    </w:rPr>
  </w:style>
  <w:style w:type="character" w:customStyle="1" w:styleId="NaslovtabliceChar">
    <w:name w:val="Naslov tablice Char"/>
    <w:basedOn w:val="DefaultParagraphFont"/>
    <w:link w:val="Naslovtablice"/>
    <w:rsid w:val="001245E9"/>
    <w:rPr>
      <w:rFonts w:ascii="Tahoma" w:hAnsi="Tahoma" w:cs="Tahoma"/>
      <w:i/>
      <w:iCs/>
      <w:sz w:val="16"/>
      <w:szCs w:val="20"/>
    </w:rPr>
  </w:style>
  <w:style w:type="paragraph" w:customStyle="1" w:styleId="Slikanaslov">
    <w:name w:val="Slika naslov"/>
    <w:basedOn w:val="Normal"/>
    <w:next w:val="Normal"/>
    <w:link w:val="SlikanaslovChar"/>
    <w:autoRedefine/>
    <w:uiPriority w:val="99"/>
    <w:qFormat/>
    <w:rsid w:val="001245E9"/>
    <w:pPr>
      <w:keepLines/>
      <w:spacing w:before="60" w:line="240" w:lineRule="auto"/>
      <w:jc w:val="center"/>
    </w:pPr>
    <w:rPr>
      <w:rFonts w:ascii="Tahoma" w:hAnsi="Tahoma" w:cs="Tahoma"/>
      <w:bCs/>
      <w:i/>
      <w:sz w:val="16"/>
      <w:szCs w:val="28"/>
    </w:rPr>
  </w:style>
  <w:style w:type="paragraph" w:customStyle="1" w:styleId="Tblnaslov">
    <w:name w:val="Tbl naslov"/>
    <w:basedOn w:val="Normal"/>
    <w:next w:val="Normal"/>
    <w:link w:val="TblnaslovChar"/>
    <w:qFormat/>
    <w:rsid w:val="001245E9"/>
    <w:pPr>
      <w:keepNext/>
      <w:keepLines/>
      <w:spacing w:before="120" w:after="60" w:line="240" w:lineRule="auto"/>
      <w:jc w:val="right"/>
    </w:pPr>
    <w:rPr>
      <w:rFonts w:ascii="Tahoma" w:hAnsi="Tahoma" w:cs="Myriad Pro"/>
      <w:i/>
      <w:sz w:val="16"/>
      <w:szCs w:val="24"/>
      <w:lang w:eastAsia="de-DE"/>
    </w:rPr>
  </w:style>
  <w:style w:type="character" w:customStyle="1" w:styleId="SlikanaslovChar">
    <w:name w:val="Slika naslov Char"/>
    <w:basedOn w:val="DefaultParagraphFont"/>
    <w:link w:val="Slikanaslov"/>
    <w:uiPriority w:val="99"/>
    <w:rsid w:val="001245E9"/>
    <w:rPr>
      <w:rFonts w:ascii="Tahoma" w:hAnsi="Tahoma" w:cs="Tahoma"/>
      <w:bCs/>
      <w:i/>
      <w:sz w:val="16"/>
      <w:szCs w:val="28"/>
    </w:rPr>
  </w:style>
  <w:style w:type="character" w:customStyle="1" w:styleId="TblnaslovChar">
    <w:name w:val="Tbl naslov Char"/>
    <w:basedOn w:val="DefaultParagraphFont"/>
    <w:link w:val="Tblnaslov"/>
    <w:rsid w:val="001245E9"/>
    <w:rPr>
      <w:rFonts w:ascii="Tahoma" w:hAnsi="Tahoma" w:cs="Myriad Pro"/>
      <w:i/>
      <w:sz w:val="16"/>
      <w:szCs w:val="24"/>
      <w:lang w:eastAsia="de-DE"/>
    </w:rPr>
  </w:style>
  <w:style w:type="character" w:customStyle="1" w:styleId="UnresolvedMention8">
    <w:name w:val="Unresolved Mention8"/>
    <w:basedOn w:val="DefaultParagraphFont"/>
    <w:uiPriority w:val="99"/>
    <w:semiHidden/>
    <w:unhideWhenUsed/>
    <w:rsid w:val="0077091E"/>
    <w:rPr>
      <w:color w:val="605E5C"/>
      <w:shd w:val="clear" w:color="auto" w:fill="E1DFDD"/>
    </w:rPr>
  </w:style>
  <w:style w:type="paragraph" w:customStyle="1" w:styleId="normal-000013">
    <w:name w:val="normal-000013"/>
    <w:basedOn w:val="Normal"/>
    <w:rsid w:val="00FF0CF3"/>
    <w:pPr>
      <w:suppressAutoHyphens w:val="0"/>
      <w:spacing w:before="0" w:after="135" w:line="240" w:lineRule="auto"/>
      <w:jc w:val="left"/>
    </w:pPr>
    <w:rPr>
      <w:rFonts w:ascii="Calibri" w:eastAsiaTheme="minorEastAsia" w:hAnsi="Calibri" w:cs="Calibri"/>
      <w:sz w:val="24"/>
      <w:szCs w:val="24"/>
    </w:rPr>
  </w:style>
  <w:style w:type="paragraph" w:customStyle="1" w:styleId="normal-000017">
    <w:name w:val="normal-000017"/>
    <w:basedOn w:val="Normal"/>
    <w:rsid w:val="00FF0CF3"/>
    <w:pPr>
      <w:suppressAutoHyphens w:val="0"/>
      <w:spacing w:before="0" w:after="135" w:line="240" w:lineRule="auto"/>
      <w:jc w:val="left"/>
    </w:pPr>
    <w:rPr>
      <w:rFonts w:ascii="Calibri" w:eastAsiaTheme="minorEastAsia" w:hAnsi="Calibri" w:cs="Calibri"/>
      <w:sz w:val="20"/>
      <w:szCs w:val="20"/>
    </w:rPr>
  </w:style>
  <w:style w:type="paragraph" w:customStyle="1" w:styleId="normal-000052">
    <w:name w:val="normal-000052"/>
    <w:basedOn w:val="Normal"/>
    <w:rsid w:val="00FF0CF3"/>
    <w:pPr>
      <w:suppressAutoHyphens w:val="0"/>
      <w:spacing w:before="0" w:after="135" w:line="240" w:lineRule="auto"/>
      <w:jc w:val="center"/>
    </w:pPr>
    <w:rPr>
      <w:rFonts w:ascii="Calibri" w:eastAsiaTheme="minorEastAsia" w:hAnsi="Calibri" w:cs="Calibri"/>
      <w:sz w:val="20"/>
      <w:szCs w:val="20"/>
    </w:rPr>
  </w:style>
  <w:style w:type="character" w:customStyle="1" w:styleId="zadanifontodlomka-000018">
    <w:name w:val="zadanifontodlomka-000018"/>
    <w:basedOn w:val="DefaultParagraphFont"/>
    <w:rsid w:val="00FF0CF3"/>
    <w:rPr>
      <w:rFonts w:ascii="Calibri" w:hAnsi="Calibri" w:cs="Calibri" w:hint="default"/>
      <w:b w:val="0"/>
      <w:bCs w:val="0"/>
      <w:sz w:val="20"/>
      <w:szCs w:val="20"/>
    </w:rPr>
  </w:style>
  <w:style w:type="character" w:customStyle="1" w:styleId="zadanifontodlomka-000053">
    <w:name w:val="zadanifontodlomka-000053"/>
    <w:basedOn w:val="DefaultParagraphFont"/>
    <w:rsid w:val="00FF0CF3"/>
    <w:rPr>
      <w:rFonts w:ascii="Calibri" w:hAnsi="Calibri" w:cs="Calibri" w:hint="default"/>
      <w:b/>
      <w:bCs/>
      <w:sz w:val="20"/>
      <w:szCs w:val="20"/>
    </w:rPr>
  </w:style>
  <w:style w:type="paragraph" w:customStyle="1" w:styleId="normal-000139">
    <w:name w:val="normal-000139"/>
    <w:basedOn w:val="Normal"/>
    <w:rsid w:val="000527F4"/>
    <w:pPr>
      <w:suppressAutoHyphens w:val="0"/>
      <w:spacing w:before="0" w:after="135" w:line="240" w:lineRule="auto"/>
      <w:jc w:val="left"/>
    </w:pPr>
    <w:rPr>
      <w:rFonts w:ascii="Calibri" w:eastAsiaTheme="minorEastAsia" w:hAnsi="Calibri" w:cs="Calibri"/>
      <w:sz w:val="16"/>
      <w:szCs w:val="16"/>
    </w:rPr>
  </w:style>
  <w:style w:type="character" w:customStyle="1" w:styleId="zadanifontodlomka-000079">
    <w:name w:val="zadanifontodlomka-000079"/>
    <w:basedOn w:val="DefaultParagraphFont"/>
    <w:rsid w:val="000527F4"/>
    <w:rPr>
      <w:rFonts w:ascii="Calibri" w:hAnsi="Calibri" w:cs="Calibri" w:hint="default"/>
      <w:b w:val="0"/>
      <w:bCs w:val="0"/>
      <w:sz w:val="16"/>
      <w:szCs w:val="16"/>
    </w:rPr>
  </w:style>
  <w:style w:type="character" w:customStyle="1" w:styleId="zadanifontodlomka-000119">
    <w:name w:val="zadanifontodlomka-000119"/>
    <w:basedOn w:val="DefaultParagraphFont"/>
    <w:rsid w:val="000527F4"/>
    <w:rPr>
      <w:rFonts w:ascii="Calibri" w:hAnsi="Calibri" w:cs="Calibri" w:hint="default"/>
      <w:b w:val="0"/>
      <w:bCs w:val="0"/>
      <w:color w:val="000000"/>
      <w:sz w:val="20"/>
      <w:szCs w:val="20"/>
    </w:rPr>
  </w:style>
  <w:style w:type="character" w:customStyle="1" w:styleId="zadanifontodlomka-000138">
    <w:name w:val="zadanifontodlomka-000138"/>
    <w:basedOn w:val="DefaultParagraphFont"/>
    <w:rsid w:val="000527F4"/>
    <w:rPr>
      <w:rFonts w:ascii="Calibri" w:hAnsi="Calibri" w:cs="Calibri" w:hint="default"/>
      <w:b/>
      <w:bCs/>
      <w:color w:val="000000"/>
      <w:sz w:val="20"/>
      <w:szCs w:val="20"/>
    </w:rPr>
  </w:style>
  <w:style w:type="paragraph" w:customStyle="1" w:styleId="PointManual1">
    <w:name w:val="Point Manual (1)"/>
    <w:basedOn w:val="Normal"/>
    <w:rsid w:val="001E4E55"/>
    <w:pPr>
      <w:suppressAutoHyphens w:val="0"/>
      <w:spacing w:before="120" w:line="360" w:lineRule="auto"/>
      <w:ind w:left="1134" w:hanging="567"/>
      <w:jc w:val="left"/>
    </w:pPr>
    <w:rPr>
      <w:rFonts w:ascii="Times New Roman" w:eastAsia="Calibri" w:hAnsi="Times New Roman"/>
      <w:sz w:val="24"/>
      <w:lang w:eastAsia="en-US"/>
    </w:rPr>
  </w:style>
  <w:style w:type="character" w:customStyle="1" w:styleId="Nerijeenospominjanje1">
    <w:name w:val="Neriješeno spominjanje1"/>
    <w:basedOn w:val="DefaultParagraphFont"/>
    <w:uiPriority w:val="99"/>
    <w:semiHidden/>
    <w:unhideWhenUsed/>
    <w:rsid w:val="00EF3815"/>
    <w:rPr>
      <w:color w:val="605E5C"/>
      <w:shd w:val="clear" w:color="auto" w:fill="E1DFDD"/>
    </w:rPr>
  </w:style>
  <w:style w:type="character" w:styleId="UnresolvedMention">
    <w:name w:val="Unresolved Mention"/>
    <w:basedOn w:val="DefaultParagraphFont"/>
    <w:uiPriority w:val="99"/>
    <w:semiHidden/>
    <w:unhideWhenUsed/>
    <w:rsid w:val="00482B33"/>
    <w:rPr>
      <w:color w:val="605E5C"/>
      <w:shd w:val="clear" w:color="auto" w:fill="E1DFDD"/>
    </w:rPr>
  </w:style>
  <w:style w:type="paragraph" w:customStyle="1" w:styleId="Text2">
    <w:name w:val="Text 2"/>
    <w:basedOn w:val="Normal"/>
    <w:rsid w:val="004A5913"/>
    <w:pPr>
      <w:suppressAutoHyphens w:val="0"/>
      <w:spacing w:before="120" w:line="360" w:lineRule="auto"/>
      <w:ind w:left="1134"/>
      <w:jc w:val="left"/>
    </w:pPr>
    <w:rPr>
      <w:rFonts w:ascii="Times New Roman" w:eastAsia="Calibri" w:hAnsi="Times New Roman"/>
      <w:sz w:val="24"/>
      <w:lang w:eastAsia="en-US"/>
    </w:rPr>
  </w:style>
  <w:style w:type="paragraph" w:customStyle="1" w:styleId="Annex">
    <w:name w:val="Annex"/>
    <w:basedOn w:val="Normal"/>
    <w:next w:val="Normal"/>
    <w:rsid w:val="004A5913"/>
    <w:pPr>
      <w:suppressAutoHyphens w:val="0"/>
      <w:spacing w:before="120" w:line="360" w:lineRule="auto"/>
      <w:jc w:val="right"/>
    </w:pPr>
    <w:rPr>
      <w:rFonts w:ascii="Times New Roman" w:eastAsia="Calibri" w:hAnsi="Times New Roman"/>
      <w:b/>
      <w:sz w:val="24"/>
      <w:u w:val="single"/>
      <w:lang w:eastAsia="en-US"/>
    </w:rPr>
  </w:style>
  <w:style w:type="paragraph" w:customStyle="1" w:styleId="ManualNumPar1">
    <w:name w:val="Manual NumPar 1"/>
    <w:basedOn w:val="Normal"/>
    <w:next w:val="Normal"/>
    <w:rsid w:val="004A5913"/>
    <w:pPr>
      <w:suppressAutoHyphens w:val="0"/>
      <w:spacing w:before="120" w:line="360" w:lineRule="auto"/>
      <w:ind w:left="850" w:hanging="850"/>
      <w:jc w:val="left"/>
    </w:pPr>
    <w:rPr>
      <w:rFonts w:ascii="Times New Roman" w:eastAsia="Calibri" w:hAnsi="Times New Roman"/>
      <w:sz w:val="24"/>
      <w:lang w:eastAsia="en-US"/>
    </w:rPr>
  </w:style>
  <w:style w:type="paragraph" w:customStyle="1" w:styleId="ManualNumPar2">
    <w:name w:val="Manual NumPar 2"/>
    <w:basedOn w:val="Normal"/>
    <w:next w:val="Normal"/>
    <w:rsid w:val="004A5913"/>
    <w:pPr>
      <w:suppressAutoHyphens w:val="0"/>
      <w:spacing w:before="120" w:line="360" w:lineRule="auto"/>
      <w:ind w:left="850" w:hanging="850"/>
      <w:jc w:val="left"/>
    </w:pPr>
    <w:rPr>
      <w:rFonts w:ascii="Times New Roman" w:eastAsia="Calibri" w:hAnsi="Times New Roman"/>
      <w:sz w:val="24"/>
      <w:lang w:eastAsia="en-US"/>
    </w:rPr>
  </w:style>
  <w:style w:type="character" w:customStyle="1" w:styleId="defaultparagraphfont-000015">
    <w:name w:val="defaultparagraphfont-000015"/>
    <w:basedOn w:val="DefaultParagraphFont"/>
    <w:rsid w:val="004A5913"/>
    <w:rPr>
      <w:rFonts w:ascii="Minion Pro" w:hAnsi="Minion Pro" w:hint="default"/>
      <w:b w:val="0"/>
      <w:bCs w:val="0"/>
      <w:sz w:val="24"/>
      <w:szCs w:val="24"/>
    </w:rPr>
  </w:style>
  <w:style w:type="paragraph" w:customStyle="1" w:styleId="Normal1">
    <w:name w:val="Normal1"/>
    <w:basedOn w:val="Normal"/>
    <w:rsid w:val="004A5913"/>
    <w:pPr>
      <w:suppressAutoHyphens w:val="0"/>
      <w:spacing w:before="100" w:beforeAutospacing="1" w:after="210" w:line="240" w:lineRule="auto"/>
      <w:jc w:val="left"/>
    </w:pPr>
    <w:rPr>
      <w:rFonts w:ascii="Times New Roman" w:eastAsiaTheme="minorEastAsia" w:hAnsi="Times New Roman"/>
      <w:sz w:val="24"/>
      <w:szCs w:val="24"/>
    </w:rPr>
  </w:style>
  <w:style w:type="character" w:customStyle="1" w:styleId="defaultparagraphfont-000005">
    <w:name w:val="defaultparagraphfont-000005"/>
    <w:basedOn w:val="DefaultParagraphFont"/>
    <w:rsid w:val="004A5913"/>
    <w:rPr>
      <w:rFonts w:ascii="Times New Roman" w:hAnsi="Times New Roman" w:cs="Times New Roman" w:hint="default"/>
      <w:b w:val="0"/>
      <w:bCs w:val="0"/>
      <w:sz w:val="24"/>
      <w:szCs w:val="24"/>
    </w:rPr>
  </w:style>
  <w:style w:type="character" w:styleId="PlaceholderText">
    <w:name w:val="Placeholder Text"/>
    <w:basedOn w:val="DefaultParagraphFont"/>
    <w:uiPriority w:val="99"/>
    <w:semiHidden/>
    <w:rsid w:val="004A59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3335253">
      <w:bodyDiv w:val="1"/>
      <w:marLeft w:val="0"/>
      <w:marRight w:val="0"/>
      <w:marTop w:val="0"/>
      <w:marBottom w:val="0"/>
      <w:divBdr>
        <w:top w:val="none" w:sz="0" w:space="0" w:color="auto"/>
        <w:left w:val="none" w:sz="0" w:space="0" w:color="auto"/>
        <w:bottom w:val="none" w:sz="0" w:space="0" w:color="auto"/>
        <w:right w:val="none" w:sz="0" w:space="0" w:color="auto"/>
      </w:divBdr>
      <w:divsChild>
        <w:div w:id="468717035">
          <w:marLeft w:val="547"/>
          <w:marRight w:val="0"/>
          <w:marTop w:val="0"/>
          <w:marBottom w:val="0"/>
          <w:divBdr>
            <w:top w:val="none" w:sz="0" w:space="0" w:color="auto"/>
            <w:left w:val="none" w:sz="0" w:space="0" w:color="auto"/>
            <w:bottom w:val="none" w:sz="0" w:space="0" w:color="auto"/>
            <w:right w:val="none" w:sz="0" w:space="0" w:color="auto"/>
          </w:divBdr>
        </w:div>
      </w:divsChild>
    </w:div>
    <w:div w:id="40985381">
      <w:bodyDiv w:val="1"/>
      <w:marLeft w:val="0"/>
      <w:marRight w:val="0"/>
      <w:marTop w:val="0"/>
      <w:marBottom w:val="0"/>
      <w:divBdr>
        <w:top w:val="none" w:sz="0" w:space="0" w:color="auto"/>
        <w:left w:val="none" w:sz="0" w:space="0" w:color="auto"/>
        <w:bottom w:val="none" w:sz="0" w:space="0" w:color="auto"/>
        <w:right w:val="none" w:sz="0" w:space="0" w:color="auto"/>
      </w:divBdr>
    </w:div>
    <w:div w:id="47581193">
      <w:bodyDiv w:val="1"/>
      <w:marLeft w:val="0"/>
      <w:marRight w:val="0"/>
      <w:marTop w:val="0"/>
      <w:marBottom w:val="0"/>
      <w:divBdr>
        <w:top w:val="none" w:sz="0" w:space="0" w:color="auto"/>
        <w:left w:val="none" w:sz="0" w:space="0" w:color="auto"/>
        <w:bottom w:val="none" w:sz="0" w:space="0" w:color="auto"/>
        <w:right w:val="none" w:sz="0" w:space="0" w:color="auto"/>
      </w:divBdr>
      <w:divsChild>
        <w:div w:id="2129739954">
          <w:marLeft w:val="0"/>
          <w:marRight w:val="0"/>
          <w:marTop w:val="0"/>
          <w:marBottom w:val="0"/>
          <w:divBdr>
            <w:top w:val="none" w:sz="0" w:space="0" w:color="auto"/>
            <w:left w:val="none" w:sz="0" w:space="0" w:color="auto"/>
            <w:bottom w:val="none" w:sz="0" w:space="0" w:color="auto"/>
            <w:right w:val="none" w:sz="0" w:space="0" w:color="auto"/>
          </w:divBdr>
          <w:divsChild>
            <w:div w:id="2142844535">
              <w:marLeft w:val="0"/>
              <w:marRight w:val="0"/>
              <w:marTop w:val="218"/>
              <w:marBottom w:val="327"/>
              <w:divBdr>
                <w:top w:val="none" w:sz="0" w:space="0" w:color="auto"/>
                <w:left w:val="none" w:sz="0" w:space="0" w:color="auto"/>
                <w:bottom w:val="none" w:sz="0" w:space="0" w:color="auto"/>
                <w:right w:val="none" w:sz="0" w:space="0" w:color="auto"/>
              </w:divBdr>
            </w:div>
          </w:divsChild>
        </w:div>
      </w:divsChild>
    </w:div>
    <w:div w:id="77483206">
      <w:bodyDiv w:val="1"/>
      <w:marLeft w:val="0"/>
      <w:marRight w:val="0"/>
      <w:marTop w:val="0"/>
      <w:marBottom w:val="0"/>
      <w:divBdr>
        <w:top w:val="none" w:sz="0" w:space="0" w:color="auto"/>
        <w:left w:val="none" w:sz="0" w:space="0" w:color="auto"/>
        <w:bottom w:val="none" w:sz="0" w:space="0" w:color="auto"/>
        <w:right w:val="none" w:sz="0" w:space="0" w:color="auto"/>
      </w:divBdr>
    </w:div>
    <w:div w:id="93323844">
      <w:bodyDiv w:val="1"/>
      <w:marLeft w:val="0"/>
      <w:marRight w:val="0"/>
      <w:marTop w:val="0"/>
      <w:marBottom w:val="0"/>
      <w:divBdr>
        <w:top w:val="none" w:sz="0" w:space="0" w:color="auto"/>
        <w:left w:val="none" w:sz="0" w:space="0" w:color="auto"/>
        <w:bottom w:val="none" w:sz="0" w:space="0" w:color="auto"/>
        <w:right w:val="none" w:sz="0" w:space="0" w:color="auto"/>
      </w:divBdr>
    </w:div>
    <w:div w:id="96801129">
      <w:bodyDiv w:val="1"/>
      <w:marLeft w:val="0"/>
      <w:marRight w:val="0"/>
      <w:marTop w:val="0"/>
      <w:marBottom w:val="0"/>
      <w:divBdr>
        <w:top w:val="none" w:sz="0" w:space="0" w:color="auto"/>
        <w:left w:val="none" w:sz="0" w:space="0" w:color="auto"/>
        <w:bottom w:val="none" w:sz="0" w:space="0" w:color="auto"/>
        <w:right w:val="none" w:sz="0" w:space="0" w:color="auto"/>
      </w:divBdr>
    </w:div>
    <w:div w:id="123625212">
      <w:bodyDiv w:val="1"/>
      <w:marLeft w:val="0"/>
      <w:marRight w:val="0"/>
      <w:marTop w:val="0"/>
      <w:marBottom w:val="0"/>
      <w:divBdr>
        <w:top w:val="none" w:sz="0" w:space="0" w:color="auto"/>
        <w:left w:val="none" w:sz="0" w:space="0" w:color="auto"/>
        <w:bottom w:val="none" w:sz="0" w:space="0" w:color="auto"/>
        <w:right w:val="none" w:sz="0" w:space="0" w:color="auto"/>
      </w:divBdr>
      <w:divsChild>
        <w:div w:id="406072293">
          <w:marLeft w:val="547"/>
          <w:marRight w:val="0"/>
          <w:marTop w:val="0"/>
          <w:marBottom w:val="0"/>
          <w:divBdr>
            <w:top w:val="none" w:sz="0" w:space="0" w:color="auto"/>
            <w:left w:val="none" w:sz="0" w:space="0" w:color="auto"/>
            <w:bottom w:val="none" w:sz="0" w:space="0" w:color="auto"/>
            <w:right w:val="none" w:sz="0" w:space="0" w:color="auto"/>
          </w:divBdr>
        </w:div>
      </w:divsChild>
    </w:div>
    <w:div w:id="130946897">
      <w:bodyDiv w:val="1"/>
      <w:marLeft w:val="0"/>
      <w:marRight w:val="0"/>
      <w:marTop w:val="0"/>
      <w:marBottom w:val="0"/>
      <w:divBdr>
        <w:top w:val="none" w:sz="0" w:space="0" w:color="auto"/>
        <w:left w:val="none" w:sz="0" w:space="0" w:color="auto"/>
        <w:bottom w:val="none" w:sz="0" w:space="0" w:color="auto"/>
        <w:right w:val="none" w:sz="0" w:space="0" w:color="auto"/>
      </w:divBdr>
    </w:div>
    <w:div w:id="131559358">
      <w:bodyDiv w:val="1"/>
      <w:marLeft w:val="0"/>
      <w:marRight w:val="0"/>
      <w:marTop w:val="0"/>
      <w:marBottom w:val="0"/>
      <w:divBdr>
        <w:top w:val="none" w:sz="0" w:space="0" w:color="auto"/>
        <w:left w:val="none" w:sz="0" w:space="0" w:color="auto"/>
        <w:bottom w:val="none" w:sz="0" w:space="0" w:color="auto"/>
        <w:right w:val="none" w:sz="0" w:space="0" w:color="auto"/>
      </w:divBdr>
      <w:divsChild>
        <w:div w:id="145246609">
          <w:marLeft w:val="360"/>
          <w:marRight w:val="0"/>
          <w:marTop w:val="200"/>
          <w:marBottom w:val="0"/>
          <w:divBdr>
            <w:top w:val="none" w:sz="0" w:space="0" w:color="auto"/>
            <w:left w:val="none" w:sz="0" w:space="0" w:color="auto"/>
            <w:bottom w:val="none" w:sz="0" w:space="0" w:color="auto"/>
            <w:right w:val="none" w:sz="0" w:space="0" w:color="auto"/>
          </w:divBdr>
        </w:div>
        <w:div w:id="825125152">
          <w:marLeft w:val="806"/>
          <w:marRight w:val="0"/>
          <w:marTop w:val="200"/>
          <w:marBottom w:val="0"/>
          <w:divBdr>
            <w:top w:val="none" w:sz="0" w:space="0" w:color="auto"/>
            <w:left w:val="none" w:sz="0" w:space="0" w:color="auto"/>
            <w:bottom w:val="none" w:sz="0" w:space="0" w:color="auto"/>
            <w:right w:val="none" w:sz="0" w:space="0" w:color="auto"/>
          </w:divBdr>
        </w:div>
        <w:div w:id="1233544499">
          <w:marLeft w:val="806"/>
          <w:marRight w:val="0"/>
          <w:marTop w:val="200"/>
          <w:marBottom w:val="0"/>
          <w:divBdr>
            <w:top w:val="none" w:sz="0" w:space="0" w:color="auto"/>
            <w:left w:val="none" w:sz="0" w:space="0" w:color="auto"/>
            <w:bottom w:val="none" w:sz="0" w:space="0" w:color="auto"/>
            <w:right w:val="none" w:sz="0" w:space="0" w:color="auto"/>
          </w:divBdr>
        </w:div>
      </w:divsChild>
    </w:div>
    <w:div w:id="152335907">
      <w:bodyDiv w:val="1"/>
      <w:marLeft w:val="0"/>
      <w:marRight w:val="0"/>
      <w:marTop w:val="0"/>
      <w:marBottom w:val="0"/>
      <w:divBdr>
        <w:top w:val="none" w:sz="0" w:space="0" w:color="auto"/>
        <w:left w:val="none" w:sz="0" w:space="0" w:color="auto"/>
        <w:bottom w:val="none" w:sz="0" w:space="0" w:color="auto"/>
        <w:right w:val="none" w:sz="0" w:space="0" w:color="auto"/>
      </w:divBdr>
      <w:divsChild>
        <w:div w:id="523785242">
          <w:marLeft w:val="547"/>
          <w:marRight w:val="0"/>
          <w:marTop w:val="0"/>
          <w:marBottom w:val="0"/>
          <w:divBdr>
            <w:top w:val="none" w:sz="0" w:space="0" w:color="auto"/>
            <w:left w:val="none" w:sz="0" w:space="0" w:color="auto"/>
            <w:bottom w:val="none" w:sz="0" w:space="0" w:color="auto"/>
            <w:right w:val="none" w:sz="0" w:space="0" w:color="auto"/>
          </w:divBdr>
        </w:div>
        <w:div w:id="1395810504">
          <w:marLeft w:val="547"/>
          <w:marRight w:val="0"/>
          <w:marTop w:val="0"/>
          <w:marBottom w:val="0"/>
          <w:divBdr>
            <w:top w:val="none" w:sz="0" w:space="0" w:color="auto"/>
            <w:left w:val="none" w:sz="0" w:space="0" w:color="auto"/>
            <w:bottom w:val="none" w:sz="0" w:space="0" w:color="auto"/>
            <w:right w:val="none" w:sz="0" w:space="0" w:color="auto"/>
          </w:divBdr>
        </w:div>
      </w:divsChild>
    </w:div>
    <w:div w:id="157115672">
      <w:bodyDiv w:val="1"/>
      <w:marLeft w:val="0"/>
      <w:marRight w:val="0"/>
      <w:marTop w:val="0"/>
      <w:marBottom w:val="0"/>
      <w:divBdr>
        <w:top w:val="none" w:sz="0" w:space="0" w:color="auto"/>
        <w:left w:val="none" w:sz="0" w:space="0" w:color="auto"/>
        <w:bottom w:val="none" w:sz="0" w:space="0" w:color="auto"/>
        <w:right w:val="none" w:sz="0" w:space="0" w:color="auto"/>
      </w:divBdr>
    </w:div>
    <w:div w:id="180093144">
      <w:bodyDiv w:val="1"/>
      <w:marLeft w:val="0"/>
      <w:marRight w:val="0"/>
      <w:marTop w:val="0"/>
      <w:marBottom w:val="0"/>
      <w:divBdr>
        <w:top w:val="none" w:sz="0" w:space="0" w:color="auto"/>
        <w:left w:val="none" w:sz="0" w:space="0" w:color="auto"/>
        <w:bottom w:val="none" w:sz="0" w:space="0" w:color="auto"/>
        <w:right w:val="none" w:sz="0" w:space="0" w:color="auto"/>
      </w:divBdr>
      <w:divsChild>
        <w:div w:id="1920670635">
          <w:marLeft w:val="0"/>
          <w:marRight w:val="0"/>
          <w:marTop w:val="0"/>
          <w:marBottom w:val="0"/>
          <w:divBdr>
            <w:top w:val="none" w:sz="0" w:space="0" w:color="auto"/>
            <w:left w:val="none" w:sz="0" w:space="0" w:color="auto"/>
            <w:bottom w:val="none" w:sz="0" w:space="0" w:color="auto"/>
            <w:right w:val="none" w:sz="0" w:space="0" w:color="auto"/>
          </w:divBdr>
          <w:divsChild>
            <w:div w:id="1843157405">
              <w:marLeft w:val="0"/>
              <w:marRight w:val="0"/>
              <w:marTop w:val="0"/>
              <w:marBottom w:val="0"/>
              <w:divBdr>
                <w:top w:val="none" w:sz="0" w:space="0" w:color="auto"/>
                <w:left w:val="none" w:sz="0" w:space="0" w:color="auto"/>
                <w:bottom w:val="none" w:sz="0" w:space="0" w:color="auto"/>
                <w:right w:val="none" w:sz="0" w:space="0" w:color="auto"/>
              </w:divBdr>
              <w:divsChild>
                <w:div w:id="125242775">
                  <w:marLeft w:val="0"/>
                  <w:marRight w:val="0"/>
                  <w:marTop w:val="0"/>
                  <w:marBottom w:val="0"/>
                  <w:divBdr>
                    <w:top w:val="none" w:sz="0" w:space="0" w:color="auto"/>
                    <w:left w:val="none" w:sz="0" w:space="0" w:color="auto"/>
                    <w:bottom w:val="none" w:sz="0" w:space="0" w:color="auto"/>
                    <w:right w:val="none" w:sz="0" w:space="0" w:color="auto"/>
                  </w:divBdr>
                  <w:divsChild>
                    <w:div w:id="1597205979">
                      <w:marLeft w:val="0"/>
                      <w:marRight w:val="0"/>
                      <w:marTop w:val="0"/>
                      <w:marBottom w:val="0"/>
                      <w:divBdr>
                        <w:top w:val="none" w:sz="0" w:space="0" w:color="auto"/>
                        <w:left w:val="none" w:sz="0" w:space="0" w:color="auto"/>
                        <w:bottom w:val="none" w:sz="0" w:space="0" w:color="auto"/>
                        <w:right w:val="none" w:sz="0" w:space="0" w:color="auto"/>
                      </w:divBdr>
                      <w:divsChild>
                        <w:div w:id="1528642053">
                          <w:marLeft w:val="0"/>
                          <w:marRight w:val="0"/>
                          <w:marTop w:val="0"/>
                          <w:marBottom w:val="0"/>
                          <w:divBdr>
                            <w:top w:val="none" w:sz="0" w:space="0" w:color="auto"/>
                            <w:left w:val="none" w:sz="0" w:space="0" w:color="auto"/>
                            <w:bottom w:val="none" w:sz="0" w:space="0" w:color="auto"/>
                            <w:right w:val="none" w:sz="0" w:space="0" w:color="auto"/>
                          </w:divBdr>
                          <w:divsChild>
                            <w:div w:id="15684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2223">
      <w:bodyDiv w:val="1"/>
      <w:marLeft w:val="0"/>
      <w:marRight w:val="0"/>
      <w:marTop w:val="0"/>
      <w:marBottom w:val="0"/>
      <w:divBdr>
        <w:top w:val="none" w:sz="0" w:space="0" w:color="auto"/>
        <w:left w:val="none" w:sz="0" w:space="0" w:color="auto"/>
        <w:bottom w:val="none" w:sz="0" w:space="0" w:color="auto"/>
        <w:right w:val="none" w:sz="0" w:space="0" w:color="auto"/>
      </w:divBdr>
    </w:div>
    <w:div w:id="184289102">
      <w:bodyDiv w:val="1"/>
      <w:marLeft w:val="0"/>
      <w:marRight w:val="0"/>
      <w:marTop w:val="0"/>
      <w:marBottom w:val="0"/>
      <w:divBdr>
        <w:top w:val="none" w:sz="0" w:space="0" w:color="auto"/>
        <w:left w:val="none" w:sz="0" w:space="0" w:color="auto"/>
        <w:bottom w:val="none" w:sz="0" w:space="0" w:color="auto"/>
        <w:right w:val="none" w:sz="0" w:space="0" w:color="auto"/>
      </w:divBdr>
    </w:div>
    <w:div w:id="204634508">
      <w:bodyDiv w:val="1"/>
      <w:marLeft w:val="0"/>
      <w:marRight w:val="0"/>
      <w:marTop w:val="0"/>
      <w:marBottom w:val="0"/>
      <w:divBdr>
        <w:top w:val="none" w:sz="0" w:space="0" w:color="auto"/>
        <w:left w:val="none" w:sz="0" w:space="0" w:color="auto"/>
        <w:bottom w:val="none" w:sz="0" w:space="0" w:color="auto"/>
        <w:right w:val="none" w:sz="0" w:space="0" w:color="auto"/>
      </w:divBdr>
    </w:div>
    <w:div w:id="211892062">
      <w:bodyDiv w:val="1"/>
      <w:marLeft w:val="0"/>
      <w:marRight w:val="0"/>
      <w:marTop w:val="0"/>
      <w:marBottom w:val="0"/>
      <w:divBdr>
        <w:top w:val="none" w:sz="0" w:space="0" w:color="auto"/>
        <w:left w:val="none" w:sz="0" w:space="0" w:color="auto"/>
        <w:bottom w:val="none" w:sz="0" w:space="0" w:color="auto"/>
        <w:right w:val="none" w:sz="0" w:space="0" w:color="auto"/>
      </w:divBdr>
      <w:divsChild>
        <w:div w:id="32190597">
          <w:marLeft w:val="0"/>
          <w:marRight w:val="0"/>
          <w:marTop w:val="0"/>
          <w:marBottom w:val="0"/>
          <w:divBdr>
            <w:top w:val="none" w:sz="0" w:space="0" w:color="auto"/>
            <w:left w:val="none" w:sz="0" w:space="0" w:color="auto"/>
            <w:bottom w:val="none" w:sz="0" w:space="0" w:color="auto"/>
            <w:right w:val="none" w:sz="0" w:space="0" w:color="auto"/>
          </w:divBdr>
        </w:div>
        <w:div w:id="1901792901">
          <w:marLeft w:val="0"/>
          <w:marRight w:val="0"/>
          <w:marTop w:val="0"/>
          <w:marBottom w:val="0"/>
          <w:divBdr>
            <w:top w:val="none" w:sz="0" w:space="0" w:color="auto"/>
            <w:left w:val="none" w:sz="0" w:space="0" w:color="auto"/>
            <w:bottom w:val="none" w:sz="0" w:space="0" w:color="auto"/>
            <w:right w:val="none" w:sz="0" w:space="0" w:color="auto"/>
          </w:divBdr>
          <w:divsChild>
            <w:div w:id="1928149406">
              <w:marLeft w:val="0"/>
              <w:marRight w:val="0"/>
              <w:marTop w:val="0"/>
              <w:marBottom w:val="0"/>
              <w:divBdr>
                <w:top w:val="none" w:sz="0" w:space="0" w:color="auto"/>
                <w:left w:val="none" w:sz="0" w:space="0" w:color="auto"/>
                <w:bottom w:val="none" w:sz="0" w:space="0" w:color="auto"/>
                <w:right w:val="none" w:sz="0" w:space="0" w:color="auto"/>
              </w:divBdr>
              <w:divsChild>
                <w:div w:id="1666980358">
                  <w:marLeft w:val="0"/>
                  <w:marRight w:val="0"/>
                  <w:marTop w:val="0"/>
                  <w:marBottom w:val="0"/>
                  <w:divBdr>
                    <w:top w:val="none" w:sz="0" w:space="0" w:color="auto"/>
                    <w:left w:val="none" w:sz="0" w:space="0" w:color="auto"/>
                    <w:bottom w:val="none" w:sz="0" w:space="0" w:color="auto"/>
                    <w:right w:val="none" w:sz="0" w:space="0" w:color="auto"/>
                  </w:divBdr>
                  <w:divsChild>
                    <w:div w:id="1077898130">
                      <w:marLeft w:val="0"/>
                      <w:marRight w:val="0"/>
                      <w:marTop w:val="0"/>
                      <w:marBottom w:val="0"/>
                      <w:divBdr>
                        <w:top w:val="none" w:sz="0" w:space="0" w:color="auto"/>
                        <w:left w:val="none" w:sz="0" w:space="0" w:color="auto"/>
                        <w:bottom w:val="none" w:sz="0" w:space="0" w:color="auto"/>
                        <w:right w:val="none" w:sz="0" w:space="0" w:color="auto"/>
                      </w:divBdr>
                    </w:div>
                    <w:div w:id="1090615977">
                      <w:marLeft w:val="0"/>
                      <w:marRight w:val="0"/>
                      <w:marTop w:val="0"/>
                      <w:marBottom w:val="0"/>
                      <w:divBdr>
                        <w:top w:val="none" w:sz="0" w:space="0" w:color="auto"/>
                        <w:left w:val="none" w:sz="0" w:space="0" w:color="auto"/>
                        <w:bottom w:val="none" w:sz="0" w:space="0" w:color="auto"/>
                        <w:right w:val="none" w:sz="0" w:space="0" w:color="auto"/>
                      </w:divBdr>
                    </w:div>
                    <w:div w:id="17162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9991">
      <w:bodyDiv w:val="1"/>
      <w:marLeft w:val="0"/>
      <w:marRight w:val="0"/>
      <w:marTop w:val="0"/>
      <w:marBottom w:val="0"/>
      <w:divBdr>
        <w:top w:val="none" w:sz="0" w:space="0" w:color="auto"/>
        <w:left w:val="none" w:sz="0" w:space="0" w:color="auto"/>
        <w:bottom w:val="none" w:sz="0" w:space="0" w:color="auto"/>
        <w:right w:val="none" w:sz="0" w:space="0" w:color="auto"/>
      </w:divBdr>
    </w:div>
    <w:div w:id="216019395">
      <w:bodyDiv w:val="1"/>
      <w:marLeft w:val="0"/>
      <w:marRight w:val="0"/>
      <w:marTop w:val="0"/>
      <w:marBottom w:val="0"/>
      <w:divBdr>
        <w:top w:val="none" w:sz="0" w:space="0" w:color="auto"/>
        <w:left w:val="none" w:sz="0" w:space="0" w:color="auto"/>
        <w:bottom w:val="none" w:sz="0" w:space="0" w:color="auto"/>
        <w:right w:val="none" w:sz="0" w:space="0" w:color="auto"/>
      </w:divBdr>
    </w:div>
    <w:div w:id="218442180">
      <w:bodyDiv w:val="1"/>
      <w:marLeft w:val="0"/>
      <w:marRight w:val="0"/>
      <w:marTop w:val="0"/>
      <w:marBottom w:val="0"/>
      <w:divBdr>
        <w:top w:val="none" w:sz="0" w:space="0" w:color="auto"/>
        <w:left w:val="none" w:sz="0" w:space="0" w:color="auto"/>
        <w:bottom w:val="none" w:sz="0" w:space="0" w:color="auto"/>
        <w:right w:val="none" w:sz="0" w:space="0" w:color="auto"/>
      </w:divBdr>
    </w:div>
    <w:div w:id="218514099">
      <w:bodyDiv w:val="1"/>
      <w:marLeft w:val="0"/>
      <w:marRight w:val="0"/>
      <w:marTop w:val="0"/>
      <w:marBottom w:val="0"/>
      <w:divBdr>
        <w:top w:val="none" w:sz="0" w:space="0" w:color="auto"/>
        <w:left w:val="none" w:sz="0" w:space="0" w:color="auto"/>
        <w:bottom w:val="none" w:sz="0" w:space="0" w:color="auto"/>
        <w:right w:val="none" w:sz="0" w:space="0" w:color="auto"/>
      </w:divBdr>
    </w:div>
    <w:div w:id="263611496">
      <w:bodyDiv w:val="1"/>
      <w:marLeft w:val="0"/>
      <w:marRight w:val="0"/>
      <w:marTop w:val="0"/>
      <w:marBottom w:val="0"/>
      <w:divBdr>
        <w:top w:val="none" w:sz="0" w:space="0" w:color="auto"/>
        <w:left w:val="none" w:sz="0" w:space="0" w:color="auto"/>
        <w:bottom w:val="none" w:sz="0" w:space="0" w:color="auto"/>
        <w:right w:val="none" w:sz="0" w:space="0" w:color="auto"/>
      </w:divBdr>
    </w:div>
    <w:div w:id="265767774">
      <w:bodyDiv w:val="1"/>
      <w:marLeft w:val="0"/>
      <w:marRight w:val="0"/>
      <w:marTop w:val="0"/>
      <w:marBottom w:val="0"/>
      <w:divBdr>
        <w:top w:val="none" w:sz="0" w:space="0" w:color="auto"/>
        <w:left w:val="none" w:sz="0" w:space="0" w:color="auto"/>
        <w:bottom w:val="none" w:sz="0" w:space="0" w:color="auto"/>
        <w:right w:val="none" w:sz="0" w:space="0" w:color="auto"/>
      </w:divBdr>
    </w:div>
    <w:div w:id="273830128">
      <w:bodyDiv w:val="1"/>
      <w:marLeft w:val="0"/>
      <w:marRight w:val="0"/>
      <w:marTop w:val="0"/>
      <w:marBottom w:val="0"/>
      <w:divBdr>
        <w:top w:val="none" w:sz="0" w:space="0" w:color="auto"/>
        <w:left w:val="none" w:sz="0" w:space="0" w:color="auto"/>
        <w:bottom w:val="none" w:sz="0" w:space="0" w:color="auto"/>
        <w:right w:val="none" w:sz="0" w:space="0" w:color="auto"/>
      </w:divBdr>
    </w:div>
    <w:div w:id="289166102">
      <w:bodyDiv w:val="1"/>
      <w:marLeft w:val="0"/>
      <w:marRight w:val="0"/>
      <w:marTop w:val="0"/>
      <w:marBottom w:val="0"/>
      <w:divBdr>
        <w:top w:val="none" w:sz="0" w:space="0" w:color="auto"/>
        <w:left w:val="none" w:sz="0" w:space="0" w:color="auto"/>
        <w:bottom w:val="none" w:sz="0" w:space="0" w:color="auto"/>
        <w:right w:val="none" w:sz="0" w:space="0" w:color="auto"/>
      </w:divBdr>
    </w:div>
    <w:div w:id="317808631">
      <w:bodyDiv w:val="1"/>
      <w:marLeft w:val="0"/>
      <w:marRight w:val="0"/>
      <w:marTop w:val="0"/>
      <w:marBottom w:val="0"/>
      <w:divBdr>
        <w:top w:val="none" w:sz="0" w:space="0" w:color="auto"/>
        <w:left w:val="none" w:sz="0" w:space="0" w:color="auto"/>
        <w:bottom w:val="none" w:sz="0" w:space="0" w:color="auto"/>
        <w:right w:val="none" w:sz="0" w:space="0" w:color="auto"/>
      </w:divBdr>
    </w:div>
    <w:div w:id="359671086">
      <w:bodyDiv w:val="1"/>
      <w:marLeft w:val="0"/>
      <w:marRight w:val="0"/>
      <w:marTop w:val="0"/>
      <w:marBottom w:val="0"/>
      <w:divBdr>
        <w:top w:val="none" w:sz="0" w:space="0" w:color="auto"/>
        <w:left w:val="none" w:sz="0" w:space="0" w:color="auto"/>
        <w:bottom w:val="none" w:sz="0" w:space="0" w:color="auto"/>
        <w:right w:val="none" w:sz="0" w:space="0" w:color="auto"/>
      </w:divBdr>
      <w:divsChild>
        <w:div w:id="332539136">
          <w:marLeft w:val="547"/>
          <w:marRight w:val="0"/>
          <w:marTop w:val="0"/>
          <w:marBottom w:val="0"/>
          <w:divBdr>
            <w:top w:val="none" w:sz="0" w:space="0" w:color="auto"/>
            <w:left w:val="none" w:sz="0" w:space="0" w:color="auto"/>
            <w:bottom w:val="none" w:sz="0" w:space="0" w:color="auto"/>
            <w:right w:val="none" w:sz="0" w:space="0" w:color="auto"/>
          </w:divBdr>
        </w:div>
      </w:divsChild>
    </w:div>
    <w:div w:id="360980123">
      <w:bodyDiv w:val="1"/>
      <w:marLeft w:val="0"/>
      <w:marRight w:val="0"/>
      <w:marTop w:val="0"/>
      <w:marBottom w:val="0"/>
      <w:divBdr>
        <w:top w:val="none" w:sz="0" w:space="0" w:color="auto"/>
        <w:left w:val="none" w:sz="0" w:space="0" w:color="auto"/>
        <w:bottom w:val="none" w:sz="0" w:space="0" w:color="auto"/>
        <w:right w:val="none" w:sz="0" w:space="0" w:color="auto"/>
      </w:divBdr>
    </w:div>
    <w:div w:id="366759525">
      <w:bodyDiv w:val="1"/>
      <w:marLeft w:val="0"/>
      <w:marRight w:val="0"/>
      <w:marTop w:val="0"/>
      <w:marBottom w:val="0"/>
      <w:divBdr>
        <w:top w:val="none" w:sz="0" w:space="0" w:color="auto"/>
        <w:left w:val="none" w:sz="0" w:space="0" w:color="auto"/>
        <w:bottom w:val="none" w:sz="0" w:space="0" w:color="auto"/>
        <w:right w:val="none" w:sz="0" w:space="0" w:color="auto"/>
      </w:divBdr>
    </w:div>
    <w:div w:id="395322702">
      <w:bodyDiv w:val="1"/>
      <w:marLeft w:val="0"/>
      <w:marRight w:val="0"/>
      <w:marTop w:val="0"/>
      <w:marBottom w:val="0"/>
      <w:divBdr>
        <w:top w:val="none" w:sz="0" w:space="0" w:color="auto"/>
        <w:left w:val="none" w:sz="0" w:space="0" w:color="auto"/>
        <w:bottom w:val="none" w:sz="0" w:space="0" w:color="auto"/>
        <w:right w:val="none" w:sz="0" w:space="0" w:color="auto"/>
      </w:divBdr>
    </w:div>
    <w:div w:id="435172470">
      <w:bodyDiv w:val="1"/>
      <w:marLeft w:val="0"/>
      <w:marRight w:val="0"/>
      <w:marTop w:val="0"/>
      <w:marBottom w:val="0"/>
      <w:divBdr>
        <w:top w:val="none" w:sz="0" w:space="0" w:color="auto"/>
        <w:left w:val="none" w:sz="0" w:space="0" w:color="auto"/>
        <w:bottom w:val="none" w:sz="0" w:space="0" w:color="auto"/>
        <w:right w:val="none" w:sz="0" w:space="0" w:color="auto"/>
      </w:divBdr>
    </w:div>
    <w:div w:id="458914094">
      <w:bodyDiv w:val="1"/>
      <w:marLeft w:val="0"/>
      <w:marRight w:val="0"/>
      <w:marTop w:val="0"/>
      <w:marBottom w:val="0"/>
      <w:divBdr>
        <w:top w:val="none" w:sz="0" w:space="0" w:color="auto"/>
        <w:left w:val="none" w:sz="0" w:space="0" w:color="auto"/>
        <w:bottom w:val="none" w:sz="0" w:space="0" w:color="auto"/>
        <w:right w:val="none" w:sz="0" w:space="0" w:color="auto"/>
      </w:divBdr>
    </w:div>
    <w:div w:id="471558161">
      <w:bodyDiv w:val="1"/>
      <w:marLeft w:val="0"/>
      <w:marRight w:val="0"/>
      <w:marTop w:val="0"/>
      <w:marBottom w:val="0"/>
      <w:divBdr>
        <w:top w:val="none" w:sz="0" w:space="0" w:color="auto"/>
        <w:left w:val="none" w:sz="0" w:space="0" w:color="auto"/>
        <w:bottom w:val="none" w:sz="0" w:space="0" w:color="auto"/>
        <w:right w:val="none" w:sz="0" w:space="0" w:color="auto"/>
      </w:divBdr>
      <w:divsChild>
        <w:div w:id="2023319670">
          <w:marLeft w:val="547"/>
          <w:marRight w:val="0"/>
          <w:marTop w:val="0"/>
          <w:marBottom w:val="0"/>
          <w:divBdr>
            <w:top w:val="none" w:sz="0" w:space="0" w:color="auto"/>
            <w:left w:val="none" w:sz="0" w:space="0" w:color="auto"/>
            <w:bottom w:val="none" w:sz="0" w:space="0" w:color="auto"/>
            <w:right w:val="none" w:sz="0" w:space="0" w:color="auto"/>
          </w:divBdr>
        </w:div>
      </w:divsChild>
    </w:div>
    <w:div w:id="489640867">
      <w:bodyDiv w:val="1"/>
      <w:marLeft w:val="0"/>
      <w:marRight w:val="0"/>
      <w:marTop w:val="0"/>
      <w:marBottom w:val="0"/>
      <w:divBdr>
        <w:top w:val="none" w:sz="0" w:space="0" w:color="auto"/>
        <w:left w:val="none" w:sz="0" w:space="0" w:color="auto"/>
        <w:bottom w:val="none" w:sz="0" w:space="0" w:color="auto"/>
        <w:right w:val="none" w:sz="0" w:space="0" w:color="auto"/>
      </w:divBdr>
      <w:divsChild>
        <w:div w:id="1080295638">
          <w:marLeft w:val="547"/>
          <w:marRight w:val="0"/>
          <w:marTop w:val="0"/>
          <w:marBottom w:val="0"/>
          <w:divBdr>
            <w:top w:val="none" w:sz="0" w:space="0" w:color="auto"/>
            <w:left w:val="none" w:sz="0" w:space="0" w:color="auto"/>
            <w:bottom w:val="none" w:sz="0" w:space="0" w:color="auto"/>
            <w:right w:val="none" w:sz="0" w:space="0" w:color="auto"/>
          </w:divBdr>
        </w:div>
      </w:divsChild>
    </w:div>
    <w:div w:id="522672653">
      <w:bodyDiv w:val="1"/>
      <w:marLeft w:val="0"/>
      <w:marRight w:val="0"/>
      <w:marTop w:val="0"/>
      <w:marBottom w:val="0"/>
      <w:divBdr>
        <w:top w:val="none" w:sz="0" w:space="0" w:color="auto"/>
        <w:left w:val="none" w:sz="0" w:space="0" w:color="auto"/>
        <w:bottom w:val="none" w:sz="0" w:space="0" w:color="auto"/>
        <w:right w:val="none" w:sz="0" w:space="0" w:color="auto"/>
      </w:divBdr>
      <w:divsChild>
        <w:div w:id="1930460840">
          <w:marLeft w:val="0"/>
          <w:marRight w:val="0"/>
          <w:marTop w:val="0"/>
          <w:marBottom w:val="0"/>
          <w:divBdr>
            <w:top w:val="none" w:sz="0" w:space="0" w:color="auto"/>
            <w:left w:val="none" w:sz="0" w:space="0" w:color="auto"/>
            <w:bottom w:val="none" w:sz="0" w:space="0" w:color="auto"/>
            <w:right w:val="none" w:sz="0" w:space="0" w:color="auto"/>
          </w:divBdr>
        </w:div>
      </w:divsChild>
    </w:div>
    <w:div w:id="537165298">
      <w:bodyDiv w:val="1"/>
      <w:marLeft w:val="0"/>
      <w:marRight w:val="0"/>
      <w:marTop w:val="0"/>
      <w:marBottom w:val="0"/>
      <w:divBdr>
        <w:top w:val="none" w:sz="0" w:space="0" w:color="auto"/>
        <w:left w:val="none" w:sz="0" w:space="0" w:color="auto"/>
        <w:bottom w:val="none" w:sz="0" w:space="0" w:color="auto"/>
        <w:right w:val="none" w:sz="0" w:space="0" w:color="auto"/>
      </w:divBdr>
    </w:div>
    <w:div w:id="557981829">
      <w:bodyDiv w:val="1"/>
      <w:marLeft w:val="0"/>
      <w:marRight w:val="0"/>
      <w:marTop w:val="0"/>
      <w:marBottom w:val="0"/>
      <w:divBdr>
        <w:top w:val="none" w:sz="0" w:space="0" w:color="auto"/>
        <w:left w:val="none" w:sz="0" w:space="0" w:color="auto"/>
        <w:bottom w:val="none" w:sz="0" w:space="0" w:color="auto"/>
        <w:right w:val="none" w:sz="0" w:space="0" w:color="auto"/>
      </w:divBdr>
      <w:divsChild>
        <w:div w:id="697435798">
          <w:marLeft w:val="547"/>
          <w:marRight w:val="0"/>
          <w:marTop w:val="0"/>
          <w:marBottom w:val="0"/>
          <w:divBdr>
            <w:top w:val="none" w:sz="0" w:space="0" w:color="auto"/>
            <w:left w:val="none" w:sz="0" w:space="0" w:color="auto"/>
            <w:bottom w:val="none" w:sz="0" w:space="0" w:color="auto"/>
            <w:right w:val="none" w:sz="0" w:space="0" w:color="auto"/>
          </w:divBdr>
        </w:div>
      </w:divsChild>
    </w:div>
    <w:div w:id="564224535">
      <w:bodyDiv w:val="1"/>
      <w:marLeft w:val="0"/>
      <w:marRight w:val="0"/>
      <w:marTop w:val="0"/>
      <w:marBottom w:val="0"/>
      <w:divBdr>
        <w:top w:val="none" w:sz="0" w:space="0" w:color="auto"/>
        <w:left w:val="none" w:sz="0" w:space="0" w:color="auto"/>
        <w:bottom w:val="none" w:sz="0" w:space="0" w:color="auto"/>
        <w:right w:val="none" w:sz="0" w:space="0" w:color="auto"/>
      </w:divBdr>
    </w:div>
    <w:div w:id="565995238">
      <w:bodyDiv w:val="1"/>
      <w:marLeft w:val="0"/>
      <w:marRight w:val="0"/>
      <w:marTop w:val="0"/>
      <w:marBottom w:val="0"/>
      <w:divBdr>
        <w:top w:val="none" w:sz="0" w:space="0" w:color="auto"/>
        <w:left w:val="none" w:sz="0" w:space="0" w:color="auto"/>
        <w:bottom w:val="none" w:sz="0" w:space="0" w:color="auto"/>
        <w:right w:val="none" w:sz="0" w:space="0" w:color="auto"/>
      </w:divBdr>
      <w:divsChild>
        <w:div w:id="454956311">
          <w:marLeft w:val="0"/>
          <w:marRight w:val="0"/>
          <w:marTop w:val="0"/>
          <w:marBottom w:val="0"/>
          <w:divBdr>
            <w:top w:val="none" w:sz="0" w:space="0" w:color="auto"/>
            <w:left w:val="none" w:sz="0" w:space="0" w:color="auto"/>
            <w:bottom w:val="none" w:sz="0" w:space="0" w:color="auto"/>
            <w:right w:val="none" w:sz="0" w:space="0" w:color="auto"/>
          </w:divBdr>
          <w:divsChild>
            <w:div w:id="1059783384">
              <w:marLeft w:val="0"/>
              <w:marRight w:val="0"/>
              <w:marTop w:val="0"/>
              <w:marBottom w:val="0"/>
              <w:divBdr>
                <w:top w:val="none" w:sz="0" w:space="0" w:color="auto"/>
                <w:left w:val="none" w:sz="0" w:space="0" w:color="auto"/>
                <w:bottom w:val="none" w:sz="0" w:space="0" w:color="auto"/>
                <w:right w:val="none" w:sz="0" w:space="0" w:color="auto"/>
              </w:divBdr>
              <w:divsChild>
                <w:div w:id="183446217">
                  <w:marLeft w:val="0"/>
                  <w:marRight w:val="0"/>
                  <w:marTop w:val="0"/>
                  <w:marBottom w:val="0"/>
                  <w:divBdr>
                    <w:top w:val="none" w:sz="0" w:space="0" w:color="auto"/>
                    <w:left w:val="none" w:sz="0" w:space="0" w:color="auto"/>
                    <w:bottom w:val="none" w:sz="0" w:space="0" w:color="auto"/>
                    <w:right w:val="none" w:sz="0" w:space="0" w:color="auto"/>
                  </w:divBdr>
                  <w:divsChild>
                    <w:div w:id="1105618518">
                      <w:marLeft w:val="0"/>
                      <w:marRight w:val="0"/>
                      <w:marTop w:val="0"/>
                      <w:marBottom w:val="0"/>
                      <w:divBdr>
                        <w:top w:val="none" w:sz="0" w:space="0" w:color="auto"/>
                        <w:left w:val="none" w:sz="0" w:space="0" w:color="auto"/>
                        <w:bottom w:val="none" w:sz="0" w:space="0" w:color="auto"/>
                        <w:right w:val="none" w:sz="0" w:space="0" w:color="auto"/>
                      </w:divBdr>
                      <w:divsChild>
                        <w:div w:id="19984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49988">
      <w:bodyDiv w:val="1"/>
      <w:marLeft w:val="0"/>
      <w:marRight w:val="0"/>
      <w:marTop w:val="0"/>
      <w:marBottom w:val="0"/>
      <w:divBdr>
        <w:top w:val="none" w:sz="0" w:space="0" w:color="auto"/>
        <w:left w:val="none" w:sz="0" w:space="0" w:color="auto"/>
        <w:bottom w:val="none" w:sz="0" w:space="0" w:color="auto"/>
        <w:right w:val="none" w:sz="0" w:space="0" w:color="auto"/>
      </w:divBdr>
    </w:div>
    <w:div w:id="572930034">
      <w:bodyDiv w:val="1"/>
      <w:marLeft w:val="0"/>
      <w:marRight w:val="0"/>
      <w:marTop w:val="0"/>
      <w:marBottom w:val="0"/>
      <w:divBdr>
        <w:top w:val="none" w:sz="0" w:space="0" w:color="auto"/>
        <w:left w:val="none" w:sz="0" w:space="0" w:color="auto"/>
        <w:bottom w:val="none" w:sz="0" w:space="0" w:color="auto"/>
        <w:right w:val="none" w:sz="0" w:space="0" w:color="auto"/>
      </w:divBdr>
    </w:div>
    <w:div w:id="587007053">
      <w:bodyDiv w:val="1"/>
      <w:marLeft w:val="0"/>
      <w:marRight w:val="0"/>
      <w:marTop w:val="0"/>
      <w:marBottom w:val="0"/>
      <w:divBdr>
        <w:top w:val="none" w:sz="0" w:space="0" w:color="auto"/>
        <w:left w:val="none" w:sz="0" w:space="0" w:color="auto"/>
        <w:bottom w:val="none" w:sz="0" w:space="0" w:color="auto"/>
        <w:right w:val="none" w:sz="0" w:space="0" w:color="auto"/>
      </w:divBdr>
      <w:divsChild>
        <w:div w:id="1132165860">
          <w:marLeft w:val="0"/>
          <w:marRight w:val="0"/>
          <w:marTop w:val="0"/>
          <w:marBottom w:val="0"/>
          <w:divBdr>
            <w:top w:val="none" w:sz="0" w:space="0" w:color="auto"/>
            <w:left w:val="none" w:sz="0" w:space="0" w:color="auto"/>
            <w:bottom w:val="none" w:sz="0" w:space="0" w:color="auto"/>
            <w:right w:val="none" w:sz="0" w:space="0" w:color="auto"/>
          </w:divBdr>
          <w:divsChild>
            <w:div w:id="2083017318">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592781063">
      <w:bodyDiv w:val="1"/>
      <w:marLeft w:val="0"/>
      <w:marRight w:val="0"/>
      <w:marTop w:val="0"/>
      <w:marBottom w:val="0"/>
      <w:divBdr>
        <w:top w:val="none" w:sz="0" w:space="0" w:color="auto"/>
        <w:left w:val="none" w:sz="0" w:space="0" w:color="auto"/>
        <w:bottom w:val="none" w:sz="0" w:space="0" w:color="auto"/>
        <w:right w:val="none" w:sz="0" w:space="0" w:color="auto"/>
      </w:divBdr>
    </w:div>
    <w:div w:id="609633124">
      <w:bodyDiv w:val="1"/>
      <w:marLeft w:val="0"/>
      <w:marRight w:val="0"/>
      <w:marTop w:val="0"/>
      <w:marBottom w:val="0"/>
      <w:divBdr>
        <w:top w:val="none" w:sz="0" w:space="0" w:color="auto"/>
        <w:left w:val="none" w:sz="0" w:space="0" w:color="auto"/>
        <w:bottom w:val="none" w:sz="0" w:space="0" w:color="auto"/>
        <w:right w:val="none" w:sz="0" w:space="0" w:color="auto"/>
      </w:divBdr>
    </w:div>
    <w:div w:id="633799199">
      <w:bodyDiv w:val="1"/>
      <w:marLeft w:val="0"/>
      <w:marRight w:val="0"/>
      <w:marTop w:val="0"/>
      <w:marBottom w:val="0"/>
      <w:divBdr>
        <w:top w:val="none" w:sz="0" w:space="0" w:color="auto"/>
        <w:left w:val="none" w:sz="0" w:space="0" w:color="auto"/>
        <w:bottom w:val="none" w:sz="0" w:space="0" w:color="auto"/>
        <w:right w:val="none" w:sz="0" w:space="0" w:color="auto"/>
      </w:divBdr>
    </w:div>
    <w:div w:id="642467709">
      <w:bodyDiv w:val="1"/>
      <w:marLeft w:val="0"/>
      <w:marRight w:val="0"/>
      <w:marTop w:val="0"/>
      <w:marBottom w:val="0"/>
      <w:divBdr>
        <w:top w:val="none" w:sz="0" w:space="0" w:color="auto"/>
        <w:left w:val="none" w:sz="0" w:space="0" w:color="auto"/>
        <w:bottom w:val="none" w:sz="0" w:space="0" w:color="auto"/>
        <w:right w:val="none" w:sz="0" w:space="0" w:color="auto"/>
      </w:divBdr>
    </w:div>
    <w:div w:id="712002854">
      <w:bodyDiv w:val="1"/>
      <w:marLeft w:val="0"/>
      <w:marRight w:val="0"/>
      <w:marTop w:val="0"/>
      <w:marBottom w:val="0"/>
      <w:divBdr>
        <w:top w:val="none" w:sz="0" w:space="0" w:color="auto"/>
        <w:left w:val="none" w:sz="0" w:space="0" w:color="auto"/>
        <w:bottom w:val="none" w:sz="0" w:space="0" w:color="auto"/>
        <w:right w:val="none" w:sz="0" w:space="0" w:color="auto"/>
      </w:divBdr>
    </w:div>
    <w:div w:id="715617356">
      <w:bodyDiv w:val="1"/>
      <w:marLeft w:val="0"/>
      <w:marRight w:val="0"/>
      <w:marTop w:val="0"/>
      <w:marBottom w:val="0"/>
      <w:divBdr>
        <w:top w:val="none" w:sz="0" w:space="0" w:color="auto"/>
        <w:left w:val="none" w:sz="0" w:space="0" w:color="auto"/>
        <w:bottom w:val="none" w:sz="0" w:space="0" w:color="auto"/>
        <w:right w:val="none" w:sz="0" w:space="0" w:color="auto"/>
      </w:divBdr>
      <w:divsChild>
        <w:div w:id="303316510">
          <w:marLeft w:val="327"/>
          <w:marRight w:val="327"/>
          <w:marTop w:val="0"/>
          <w:marBottom w:val="0"/>
          <w:divBdr>
            <w:top w:val="none" w:sz="0" w:space="0" w:color="auto"/>
            <w:left w:val="none" w:sz="0" w:space="0" w:color="auto"/>
            <w:bottom w:val="none" w:sz="0" w:space="0" w:color="auto"/>
            <w:right w:val="none" w:sz="0" w:space="0" w:color="auto"/>
          </w:divBdr>
          <w:divsChild>
            <w:div w:id="70861112">
              <w:marLeft w:val="0"/>
              <w:marRight w:val="0"/>
              <w:marTop w:val="0"/>
              <w:marBottom w:val="0"/>
              <w:divBdr>
                <w:top w:val="none" w:sz="0" w:space="0" w:color="auto"/>
                <w:left w:val="none" w:sz="0" w:space="0" w:color="auto"/>
                <w:bottom w:val="none" w:sz="0" w:space="0" w:color="auto"/>
                <w:right w:val="none" w:sz="0" w:space="0" w:color="auto"/>
              </w:divBdr>
            </w:div>
            <w:div w:id="101385977">
              <w:marLeft w:val="0"/>
              <w:marRight w:val="0"/>
              <w:marTop w:val="0"/>
              <w:marBottom w:val="0"/>
              <w:divBdr>
                <w:top w:val="none" w:sz="0" w:space="0" w:color="auto"/>
                <w:left w:val="none" w:sz="0" w:space="0" w:color="auto"/>
                <w:bottom w:val="none" w:sz="0" w:space="0" w:color="auto"/>
                <w:right w:val="none" w:sz="0" w:space="0" w:color="auto"/>
              </w:divBdr>
            </w:div>
            <w:div w:id="118257989">
              <w:marLeft w:val="0"/>
              <w:marRight w:val="0"/>
              <w:marTop w:val="0"/>
              <w:marBottom w:val="0"/>
              <w:divBdr>
                <w:top w:val="none" w:sz="0" w:space="0" w:color="auto"/>
                <w:left w:val="none" w:sz="0" w:space="0" w:color="auto"/>
                <w:bottom w:val="none" w:sz="0" w:space="0" w:color="auto"/>
                <w:right w:val="none" w:sz="0" w:space="0" w:color="auto"/>
              </w:divBdr>
            </w:div>
            <w:div w:id="239097746">
              <w:marLeft w:val="0"/>
              <w:marRight w:val="0"/>
              <w:marTop w:val="0"/>
              <w:marBottom w:val="0"/>
              <w:divBdr>
                <w:top w:val="none" w:sz="0" w:space="0" w:color="auto"/>
                <w:left w:val="none" w:sz="0" w:space="0" w:color="auto"/>
                <w:bottom w:val="none" w:sz="0" w:space="0" w:color="auto"/>
                <w:right w:val="none" w:sz="0" w:space="0" w:color="auto"/>
              </w:divBdr>
            </w:div>
            <w:div w:id="265580581">
              <w:marLeft w:val="0"/>
              <w:marRight w:val="0"/>
              <w:marTop w:val="0"/>
              <w:marBottom w:val="0"/>
              <w:divBdr>
                <w:top w:val="none" w:sz="0" w:space="0" w:color="auto"/>
                <w:left w:val="none" w:sz="0" w:space="0" w:color="auto"/>
                <w:bottom w:val="none" w:sz="0" w:space="0" w:color="auto"/>
                <w:right w:val="none" w:sz="0" w:space="0" w:color="auto"/>
              </w:divBdr>
            </w:div>
            <w:div w:id="302468206">
              <w:marLeft w:val="0"/>
              <w:marRight w:val="0"/>
              <w:marTop w:val="0"/>
              <w:marBottom w:val="0"/>
              <w:divBdr>
                <w:top w:val="none" w:sz="0" w:space="0" w:color="auto"/>
                <w:left w:val="none" w:sz="0" w:space="0" w:color="auto"/>
                <w:bottom w:val="none" w:sz="0" w:space="0" w:color="auto"/>
                <w:right w:val="none" w:sz="0" w:space="0" w:color="auto"/>
              </w:divBdr>
            </w:div>
            <w:div w:id="367996783">
              <w:marLeft w:val="0"/>
              <w:marRight w:val="0"/>
              <w:marTop w:val="0"/>
              <w:marBottom w:val="0"/>
              <w:divBdr>
                <w:top w:val="none" w:sz="0" w:space="0" w:color="auto"/>
                <w:left w:val="none" w:sz="0" w:space="0" w:color="auto"/>
                <w:bottom w:val="none" w:sz="0" w:space="0" w:color="auto"/>
                <w:right w:val="none" w:sz="0" w:space="0" w:color="auto"/>
              </w:divBdr>
              <w:divsChild>
                <w:div w:id="293751497">
                  <w:marLeft w:val="0"/>
                  <w:marRight w:val="0"/>
                  <w:marTop w:val="0"/>
                  <w:marBottom w:val="0"/>
                  <w:divBdr>
                    <w:top w:val="none" w:sz="0" w:space="0" w:color="auto"/>
                    <w:left w:val="none" w:sz="0" w:space="0" w:color="auto"/>
                    <w:bottom w:val="none" w:sz="0" w:space="0" w:color="auto"/>
                    <w:right w:val="none" w:sz="0" w:space="0" w:color="auto"/>
                  </w:divBdr>
                </w:div>
              </w:divsChild>
            </w:div>
            <w:div w:id="402141752">
              <w:marLeft w:val="0"/>
              <w:marRight w:val="0"/>
              <w:marTop w:val="0"/>
              <w:marBottom w:val="0"/>
              <w:divBdr>
                <w:top w:val="none" w:sz="0" w:space="0" w:color="auto"/>
                <w:left w:val="none" w:sz="0" w:space="0" w:color="auto"/>
                <w:bottom w:val="none" w:sz="0" w:space="0" w:color="auto"/>
                <w:right w:val="none" w:sz="0" w:space="0" w:color="auto"/>
              </w:divBdr>
            </w:div>
            <w:div w:id="484591531">
              <w:marLeft w:val="0"/>
              <w:marRight w:val="0"/>
              <w:marTop w:val="0"/>
              <w:marBottom w:val="0"/>
              <w:divBdr>
                <w:top w:val="none" w:sz="0" w:space="0" w:color="auto"/>
                <w:left w:val="none" w:sz="0" w:space="0" w:color="auto"/>
                <w:bottom w:val="none" w:sz="0" w:space="0" w:color="auto"/>
                <w:right w:val="none" w:sz="0" w:space="0" w:color="auto"/>
              </w:divBdr>
            </w:div>
            <w:div w:id="595745189">
              <w:marLeft w:val="0"/>
              <w:marRight w:val="0"/>
              <w:marTop w:val="0"/>
              <w:marBottom w:val="0"/>
              <w:divBdr>
                <w:top w:val="none" w:sz="0" w:space="0" w:color="auto"/>
                <w:left w:val="none" w:sz="0" w:space="0" w:color="auto"/>
                <w:bottom w:val="none" w:sz="0" w:space="0" w:color="auto"/>
                <w:right w:val="none" w:sz="0" w:space="0" w:color="auto"/>
              </w:divBdr>
            </w:div>
            <w:div w:id="628168096">
              <w:marLeft w:val="0"/>
              <w:marRight w:val="0"/>
              <w:marTop w:val="0"/>
              <w:marBottom w:val="0"/>
              <w:divBdr>
                <w:top w:val="none" w:sz="0" w:space="0" w:color="auto"/>
                <w:left w:val="none" w:sz="0" w:space="0" w:color="auto"/>
                <w:bottom w:val="none" w:sz="0" w:space="0" w:color="auto"/>
                <w:right w:val="none" w:sz="0" w:space="0" w:color="auto"/>
              </w:divBdr>
            </w:div>
            <w:div w:id="718477339">
              <w:marLeft w:val="0"/>
              <w:marRight w:val="0"/>
              <w:marTop w:val="0"/>
              <w:marBottom w:val="0"/>
              <w:divBdr>
                <w:top w:val="none" w:sz="0" w:space="0" w:color="auto"/>
                <w:left w:val="none" w:sz="0" w:space="0" w:color="auto"/>
                <w:bottom w:val="none" w:sz="0" w:space="0" w:color="auto"/>
                <w:right w:val="none" w:sz="0" w:space="0" w:color="auto"/>
              </w:divBdr>
            </w:div>
            <w:div w:id="821771030">
              <w:marLeft w:val="0"/>
              <w:marRight w:val="0"/>
              <w:marTop w:val="0"/>
              <w:marBottom w:val="0"/>
              <w:divBdr>
                <w:top w:val="none" w:sz="0" w:space="0" w:color="auto"/>
                <w:left w:val="none" w:sz="0" w:space="0" w:color="auto"/>
                <w:bottom w:val="none" w:sz="0" w:space="0" w:color="auto"/>
                <w:right w:val="none" w:sz="0" w:space="0" w:color="auto"/>
              </w:divBdr>
            </w:div>
            <w:div w:id="1033581447">
              <w:marLeft w:val="0"/>
              <w:marRight w:val="0"/>
              <w:marTop w:val="0"/>
              <w:marBottom w:val="0"/>
              <w:divBdr>
                <w:top w:val="none" w:sz="0" w:space="0" w:color="auto"/>
                <w:left w:val="none" w:sz="0" w:space="0" w:color="auto"/>
                <w:bottom w:val="none" w:sz="0" w:space="0" w:color="auto"/>
                <w:right w:val="none" w:sz="0" w:space="0" w:color="auto"/>
              </w:divBdr>
            </w:div>
            <w:div w:id="1158614895">
              <w:marLeft w:val="0"/>
              <w:marRight w:val="0"/>
              <w:marTop w:val="0"/>
              <w:marBottom w:val="0"/>
              <w:divBdr>
                <w:top w:val="none" w:sz="0" w:space="0" w:color="auto"/>
                <w:left w:val="none" w:sz="0" w:space="0" w:color="auto"/>
                <w:bottom w:val="none" w:sz="0" w:space="0" w:color="auto"/>
                <w:right w:val="none" w:sz="0" w:space="0" w:color="auto"/>
              </w:divBdr>
            </w:div>
            <w:div w:id="1184326298">
              <w:marLeft w:val="0"/>
              <w:marRight w:val="0"/>
              <w:marTop w:val="0"/>
              <w:marBottom w:val="0"/>
              <w:divBdr>
                <w:top w:val="none" w:sz="0" w:space="0" w:color="auto"/>
                <w:left w:val="none" w:sz="0" w:space="0" w:color="auto"/>
                <w:bottom w:val="none" w:sz="0" w:space="0" w:color="auto"/>
                <w:right w:val="none" w:sz="0" w:space="0" w:color="auto"/>
              </w:divBdr>
            </w:div>
            <w:div w:id="1189029255">
              <w:marLeft w:val="0"/>
              <w:marRight w:val="0"/>
              <w:marTop w:val="0"/>
              <w:marBottom w:val="0"/>
              <w:divBdr>
                <w:top w:val="none" w:sz="0" w:space="0" w:color="auto"/>
                <w:left w:val="none" w:sz="0" w:space="0" w:color="auto"/>
                <w:bottom w:val="none" w:sz="0" w:space="0" w:color="auto"/>
                <w:right w:val="none" w:sz="0" w:space="0" w:color="auto"/>
              </w:divBdr>
            </w:div>
            <w:div w:id="1238242845">
              <w:marLeft w:val="0"/>
              <w:marRight w:val="0"/>
              <w:marTop w:val="0"/>
              <w:marBottom w:val="0"/>
              <w:divBdr>
                <w:top w:val="none" w:sz="0" w:space="0" w:color="auto"/>
                <w:left w:val="none" w:sz="0" w:space="0" w:color="auto"/>
                <w:bottom w:val="none" w:sz="0" w:space="0" w:color="auto"/>
                <w:right w:val="none" w:sz="0" w:space="0" w:color="auto"/>
              </w:divBdr>
            </w:div>
            <w:div w:id="1303391233">
              <w:marLeft w:val="0"/>
              <w:marRight w:val="0"/>
              <w:marTop w:val="0"/>
              <w:marBottom w:val="0"/>
              <w:divBdr>
                <w:top w:val="none" w:sz="0" w:space="0" w:color="auto"/>
                <w:left w:val="none" w:sz="0" w:space="0" w:color="auto"/>
                <w:bottom w:val="none" w:sz="0" w:space="0" w:color="auto"/>
                <w:right w:val="none" w:sz="0" w:space="0" w:color="auto"/>
              </w:divBdr>
            </w:div>
            <w:div w:id="1410686762">
              <w:marLeft w:val="0"/>
              <w:marRight w:val="0"/>
              <w:marTop w:val="0"/>
              <w:marBottom w:val="0"/>
              <w:divBdr>
                <w:top w:val="none" w:sz="0" w:space="0" w:color="auto"/>
                <w:left w:val="none" w:sz="0" w:space="0" w:color="auto"/>
                <w:bottom w:val="none" w:sz="0" w:space="0" w:color="auto"/>
                <w:right w:val="none" w:sz="0" w:space="0" w:color="auto"/>
              </w:divBdr>
            </w:div>
            <w:div w:id="1563443389">
              <w:marLeft w:val="0"/>
              <w:marRight w:val="0"/>
              <w:marTop w:val="0"/>
              <w:marBottom w:val="0"/>
              <w:divBdr>
                <w:top w:val="none" w:sz="0" w:space="0" w:color="auto"/>
                <w:left w:val="none" w:sz="0" w:space="0" w:color="auto"/>
                <w:bottom w:val="none" w:sz="0" w:space="0" w:color="auto"/>
                <w:right w:val="none" w:sz="0" w:space="0" w:color="auto"/>
              </w:divBdr>
            </w:div>
            <w:div w:id="1657537940">
              <w:marLeft w:val="0"/>
              <w:marRight w:val="0"/>
              <w:marTop w:val="0"/>
              <w:marBottom w:val="0"/>
              <w:divBdr>
                <w:top w:val="none" w:sz="0" w:space="0" w:color="auto"/>
                <w:left w:val="none" w:sz="0" w:space="0" w:color="auto"/>
                <w:bottom w:val="none" w:sz="0" w:space="0" w:color="auto"/>
                <w:right w:val="none" w:sz="0" w:space="0" w:color="auto"/>
              </w:divBdr>
              <w:divsChild>
                <w:div w:id="1607543360">
                  <w:marLeft w:val="0"/>
                  <w:marRight w:val="0"/>
                  <w:marTop w:val="0"/>
                  <w:marBottom w:val="0"/>
                  <w:divBdr>
                    <w:top w:val="none" w:sz="0" w:space="0" w:color="auto"/>
                    <w:left w:val="none" w:sz="0" w:space="0" w:color="auto"/>
                    <w:bottom w:val="none" w:sz="0" w:space="0" w:color="auto"/>
                    <w:right w:val="none" w:sz="0" w:space="0" w:color="auto"/>
                  </w:divBdr>
                </w:div>
              </w:divsChild>
            </w:div>
            <w:div w:id="2126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7182">
      <w:bodyDiv w:val="1"/>
      <w:marLeft w:val="0"/>
      <w:marRight w:val="0"/>
      <w:marTop w:val="0"/>
      <w:marBottom w:val="0"/>
      <w:divBdr>
        <w:top w:val="none" w:sz="0" w:space="0" w:color="auto"/>
        <w:left w:val="none" w:sz="0" w:space="0" w:color="auto"/>
        <w:bottom w:val="none" w:sz="0" w:space="0" w:color="auto"/>
        <w:right w:val="none" w:sz="0" w:space="0" w:color="auto"/>
      </w:divBdr>
    </w:div>
    <w:div w:id="726535621">
      <w:bodyDiv w:val="1"/>
      <w:marLeft w:val="0"/>
      <w:marRight w:val="0"/>
      <w:marTop w:val="0"/>
      <w:marBottom w:val="0"/>
      <w:divBdr>
        <w:top w:val="none" w:sz="0" w:space="0" w:color="auto"/>
        <w:left w:val="none" w:sz="0" w:space="0" w:color="auto"/>
        <w:bottom w:val="none" w:sz="0" w:space="0" w:color="auto"/>
        <w:right w:val="none" w:sz="0" w:space="0" w:color="auto"/>
      </w:divBdr>
      <w:divsChild>
        <w:div w:id="53555218">
          <w:marLeft w:val="0"/>
          <w:marRight w:val="0"/>
          <w:marTop w:val="0"/>
          <w:marBottom w:val="0"/>
          <w:divBdr>
            <w:top w:val="none" w:sz="0" w:space="0" w:color="auto"/>
            <w:left w:val="none" w:sz="0" w:space="0" w:color="auto"/>
            <w:bottom w:val="none" w:sz="0" w:space="0" w:color="auto"/>
            <w:right w:val="none" w:sz="0" w:space="0" w:color="auto"/>
          </w:divBdr>
        </w:div>
        <w:div w:id="1283151137">
          <w:marLeft w:val="0"/>
          <w:marRight w:val="0"/>
          <w:marTop w:val="0"/>
          <w:marBottom w:val="0"/>
          <w:divBdr>
            <w:top w:val="none" w:sz="0" w:space="0" w:color="auto"/>
            <w:left w:val="none" w:sz="0" w:space="0" w:color="auto"/>
            <w:bottom w:val="none" w:sz="0" w:space="0" w:color="auto"/>
            <w:right w:val="none" w:sz="0" w:space="0" w:color="auto"/>
          </w:divBdr>
        </w:div>
        <w:div w:id="2049066579">
          <w:marLeft w:val="0"/>
          <w:marRight w:val="0"/>
          <w:marTop w:val="0"/>
          <w:marBottom w:val="0"/>
          <w:divBdr>
            <w:top w:val="none" w:sz="0" w:space="0" w:color="auto"/>
            <w:left w:val="none" w:sz="0" w:space="0" w:color="auto"/>
            <w:bottom w:val="none" w:sz="0" w:space="0" w:color="auto"/>
            <w:right w:val="none" w:sz="0" w:space="0" w:color="auto"/>
          </w:divBdr>
        </w:div>
      </w:divsChild>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7552974">
      <w:bodyDiv w:val="1"/>
      <w:marLeft w:val="0"/>
      <w:marRight w:val="0"/>
      <w:marTop w:val="0"/>
      <w:marBottom w:val="0"/>
      <w:divBdr>
        <w:top w:val="none" w:sz="0" w:space="0" w:color="auto"/>
        <w:left w:val="none" w:sz="0" w:space="0" w:color="auto"/>
        <w:bottom w:val="none" w:sz="0" w:space="0" w:color="auto"/>
        <w:right w:val="none" w:sz="0" w:space="0" w:color="auto"/>
      </w:divBdr>
    </w:div>
    <w:div w:id="737942137">
      <w:bodyDiv w:val="1"/>
      <w:marLeft w:val="0"/>
      <w:marRight w:val="0"/>
      <w:marTop w:val="0"/>
      <w:marBottom w:val="0"/>
      <w:divBdr>
        <w:top w:val="none" w:sz="0" w:space="0" w:color="auto"/>
        <w:left w:val="none" w:sz="0" w:space="0" w:color="auto"/>
        <w:bottom w:val="none" w:sz="0" w:space="0" w:color="auto"/>
        <w:right w:val="none" w:sz="0" w:space="0" w:color="auto"/>
      </w:divBdr>
      <w:divsChild>
        <w:div w:id="465009150">
          <w:marLeft w:val="547"/>
          <w:marRight w:val="0"/>
          <w:marTop w:val="0"/>
          <w:marBottom w:val="0"/>
          <w:divBdr>
            <w:top w:val="none" w:sz="0" w:space="0" w:color="auto"/>
            <w:left w:val="none" w:sz="0" w:space="0" w:color="auto"/>
            <w:bottom w:val="none" w:sz="0" w:space="0" w:color="auto"/>
            <w:right w:val="none" w:sz="0" w:space="0" w:color="auto"/>
          </w:divBdr>
        </w:div>
      </w:divsChild>
    </w:div>
    <w:div w:id="747851698">
      <w:bodyDiv w:val="1"/>
      <w:marLeft w:val="0"/>
      <w:marRight w:val="0"/>
      <w:marTop w:val="0"/>
      <w:marBottom w:val="0"/>
      <w:divBdr>
        <w:top w:val="none" w:sz="0" w:space="0" w:color="auto"/>
        <w:left w:val="none" w:sz="0" w:space="0" w:color="auto"/>
        <w:bottom w:val="none" w:sz="0" w:space="0" w:color="auto"/>
        <w:right w:val="none" w:sz="0" w:space="0" w:color="auto"/>
      </w:divBdr>
    </w:div>
    <w:div w:id="755635203">
      <w:bodyDiv w:val="1"/>
      <w:marLeft w:val="0"/>
      <w:marRight w:val="0"/>
      <w:marTop w:val="0"/>
      <w:marBottom w:val="0"/>
      <w:divBdr>
        <w:top w:val="none" w:sz="0" w:space="0" w:color="auto"/>
        <w:left w:val="none" w:sz="0" w:space="0" w:color="auto"/>
        <w:bottom w:val="none" w:sz="0" w:space="0" w:color="auto"/>
        <w:right w:val="none" w:sz="0" w:space="0" w:color="auto"/>
      </w:divBdr>
    </w:div>
    <w:div w:id="762843329">
      <w:bodyDiv w:val="1"/>
      <w:marLeft w:val="0"/>
      <w:marRight w:val="0"/>
      <w:marTop w:val="0"/>
      <w:marBottom w:val="0"/>
      <w:divBdr>
        <w:top w:val="none" w:sz="0" w:space="0" w:color="auto"/>
        <w:left w:val="none" w:sz="0" w:space="0" w:color="auto"/>
        <w:bottom w:val="none" w:sz="0" w:space="0" w:color="auto"/>
        <w:right w:val="none" w:sz="0" w:space="0" w:color="auto"/>
      </w:divBdr>
    </w:div>
    <w:div w:id="769935873">
      <w:bodyDiv w:val="1"/>
      <w:marLeft w:val="0"/>
      <w:marRight w:val="0"/>
      <w:marTop w:val="0"/>
      <w:marBottom w:val="0"/>
      <w:divBdr>
        <w:top w:val="none" w:sz="0" w:space="0" w:color="auto"/>
        <w:left w:val="none" w:sz="0" w:space="0" w:color="auto"/>
        <w:bottom w:val="none" w:sz="0" w:space="0" w:color="auto"/>
        <w:right w:val="none" w:sz="0" w:space="0" w:color="auto"/>
      </w:divBdr>
    </w:div>
    <w:div w:id="777334340">
      <w:bodyDiv w:val="1"/>
      <w:marLeft w:val="0"/>
      <w:marRight w:val="0"/>
      <w:marTop w:val="0"/>
      <w:marBottom w:val="0"/>
      <w:divBdr>
        <w:top w:val="none" w:sz="0" w:space="0" w:color="auto"/>
        <w:left w:val="none" w:sz="0" w:space="0" w:color="auto"/>
        <w:bottom w:val="none" w:sz="0" w:space="0" w:color="auto"/>
        <w:right w:val="none" w:sz="0" w:space="0" w:color="auto"/>
      </w:divBdr>
    </w:div>
    <w:div w:id="786973307">
      <w:bodyDiv w:val="1"/>
      <w:marLeft w:val="0"/>
      <w:marRight w:val="0"/>
      <w:marTop w:val="0"/>
      <w:marBottom w:val="0"/>
      <w:divBdr>
        <w:top w:val="none" w:sz="0" w:space="0" w:color="auto"/>
        <w:left w:val="none" w:sz="0" w:space="0" w:color="auto"/>
        <w:bottom w:val="none" w:sz="0" w:space="0" w:color="auto"/>
        <w:right w:val="none" w:sz="0" w:space="0" w:color="auto"/>
      </w:divBdr>
    </w:div>
    <w:div w:id="809059507">
      <w:bodyDiv w:val="1"/>
      <w:marLeft w:val="0"/>
      <w:marRight w:val="0"/>
      <w:marTop w:val="0"/>
      <w:marBottom w:val="0"/>
      <w:divBdr>
        <w:top w:val="none" w:sz="0" w:space="0" w:color="auto"/>
        <w:left w:val="none" w:sz="0" w:space="0" w:color="auto"/>
        <w:bottom w:val="none" w:sz="0" w:space="0" w:color="auto"/>
        <w:right w:val="none" w:sz="0" w:space="0" w:color="auto"/>
      </w:divBdr>
      <w:divsChild>
        <w:div w:id="662464827">
          <w:marLeft w:val="0"/>
          <w:marRight w:val="0"/>
          <w:marTop w:val="0"/>
          <w:marBottom w:val="0"/>
          <w:divBdr>
            <w:top w:val="none" w:sz="0" w:space="0" w:color="auto"/>
            <w:left w:val="none" w:sz="0" w:space="0" w:color="auto"/>
            <w:bottom w:val="none" w:sz="0" w:space="0" w:color="auto"/>
            <w:right w:val="none" w:sz="0" w:space="0" w:color="auto"/>
          </w:divBdr>
          <w:divsChild>
            <w:div w:id="1209150745">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815220040">
      <w:bodyDiv w:val="1"/>
      <w:marLeft w:val="0"/>
      <w:marRight w:val="0"/>
      <w:marTop w:val="0"/>
      <w:marBottom w:val="0"/>
      <w:divBdr>
        <w:top w:val="none" w:sz="0" w:space="0" w:color="auto"/>
        <w:left w:val="none" w:sz="0" w:space="0" w:color="auto"/>
        <w:bottom w:val="none" w:sz="0" w:space="0" w:color="auto"/>
        <w:right w:val="none" w:sz="0" w:space="0" w:color="auto"/>
      </w:divBdr>
    </w:div>
    <w:div w:id="818036478">
      <w:bodyDiv w:val="1"/>
      <w:marLeft w:val="0"/>
      <w:marRight w:val="0"/>
      <w:marTop w:val="0"/>
      <w:marBottom w:val="0"/>
      <w:divBdr>
        <w:top w:val="none" w:sz="0" w:space="0" w:color="auto"/>
        <w:left w:val="none" w:sz="0" w:space="0" w:color="auto"/>
        <w:bottom w:val="none" w:sz="0" w:space="0" w:color="auto"/>
        <w:right w:val="none" w:sz="0" w:space="0" w:color="auto"/>
      </w:divBdr>
    </w:div>
    <w:div w:id="904029397">
      <w:bodyDiv w:val="1"/>
      <w:marLeft w:val="0"/>
      <w:marRight w:val="0"/>
      <w:marTop w:val="0"/>
      <w:marBottom w:val="0"/>
      <w:divBdr>
        <w:top w:val="none" w:sz="0" w:space="0" w:color="auto"/>
        <w:left w:val="none" w:sz="0" w:space="0" w:color="auto"/>
        <w:bottom w:val="none" w:sz="0" w:space="0" w:color="auto"/>
        <w:right w:val="none" w:sz="0" w:space="0" w:color="auto"/>
      </w:divBdr>
    </w:div>
    <w:div w:id="966013272">
      <w:bodyDiv w:val="1"/>
      <w:marLeft w:val="0"/>
      <w:marRight w:val="0"/>
      <w:marTop w:val="0"/>
      <w:marBottom w:val="0"/>
      <w:divBdr>
        <w:top w:val="none" w:sz="0" w:space="0" w:color="auto"/>
        <w:left w:val="none" w:sz="0" w:space="0" w:color="auto"/>
        <w:bottom w:val="none" w:sz="0" w:space="0" w:color="auto"/>
        <w:right w:val="none" w:sz="0" w:space="0" w:color="auto"/>
      </w:divBdr>
      <w:divsChild>
        <w:div w:id="1415391476">
          <w:marLeft w:val="547"/>
          <w:marRight w:val="0"/>
          <w:marTop w:val="0"/>
          <w:marBottom w:val="0"/>
          <w:divBdr>
            <w:top w:val="none" w:sz="0" w:space="0" w:color="auto"/>
            <w:left w:val="none" w:sz="0" w:space="0" w:color="auto"/>
            <w:bottom w:val="none" w:sz="0" w:space="0" w:color="auto"/>
            <w:right w:val="none" w:sz="0" w:space="0" w:color="auto"/>
          </w:divBdr>
        </w:div>
      </w:divsChild>
    </w:div>
    <w:div w:id="982152435">
      <w:bodyDiv w:val="1"/>
      <w:marLeft w:val="0"/>
      <w:marRight w:val="0"/>
      <w:marTop w:val="0"/>
      <w:marBottom w:val="0"/>
      <w:divBdr>
        <w:top w:val="none" w:sz="0" w:space="0" w:color="auto"/>
        <w:left w:val="none" w:sz="0" w:space="0" w:color="auto"/>
        <w:bottom w:val="none" w:sz="0" w:space="0" w:color="auto"/>
        <w:right w:val="none" w:sz="0" w:space="0" w:color="auto"/>
      </w:divBdr>
    </w:div>
    <w:div w:id="988630785">
      <w:bodyDiv w:val="1"/>
      <w:marLeft w:val="0"/>
      <w:marRight w:val="0"/>
      <w:marTop w:val="0"/>
      <w:marBottom w:val="0"/>
      <w:divBdr>
        <w:top w:val="none" w:sz="0" w:space="0" w:color="auto"/>
        <w:left w:val="none" w:sz="0" w:space="0" w:color="auto"/>
        <w:bottom w:val="none" w:sz="0" w:space="0" w:color="auto"/>
        <w:right w:val="none" w:sz="0" w:space="0" w:color="auto"/>
      </w:divBdr>
    </w:div>
    <w:div w:id="999885667">
      <w:bodyDiv w:val="1"/>
      <w:marLeft w:val="0"/>
      <w:marRight w:val="0"/>
      <w:marTop w:val="0"/>
      <w:marBottom w:val="0"/>
      <w:divBdr>
        <w:top w:val="none" w:sz="0" w:space="0" w:color="auto"/>
        <w:left w:val="none" w:sz="0" w:space="0" w:color="auto"/>
        <w:bottom w:val="none" w:sz="0" w:space="0" w:color="auto"/>
        <w:right w:val="none" w:sz="0" w:space="0" w:color="auto"/>
      </w:divBdr>
    </w:div>
    <w:div w:id="1005128224">
      <w:bodyDiv w:val="1"/>
      <w:marLeft w:val="0"/>
      <w:marRight w:val="0"/>
      <w:marTop w:val="0"/>
      <w:marBottom w:val="0"/>
      <w:divBdr>
        <w:top w:val="none" w:sz="0" w:space="0" w:color="auto"/>
        <w:left w:val="none" w:sz="0" w:space="0" w:color="auto"/>
        <w:bottom w:val="none" w:sz="0" w:space="0" w:color="auto"/>
        <w:right w:val="none" w:sz="0" w:space="0" w:color="auto"/>
      </w:divBdr>
    </w:div>
    <w:div w:id="1008866409">
      <w:bodyDiv w:val="1"/>
      <w:marLeft w:val="0"/>
      <w:marRight w:val="0"/>
      <w:marTop w:val="0"/>
      <w:marBottom w:val="0"/>
      <w:divBdr>
        <w:top w:val="none" w:sz="0" w:space="0" w:color="auto"/>
        <w:left w:val="none" w:sz="0" w:space="0" w:color="auto"/>
        <w:bottom w:val="none" w:sz="0" w:space="0" w:color="auto"/>
        <w:right w:val="none" w:sz="0" w:space="0" w:color="auto"/>
      </w:divBdr>
    </w:div>
    <w:div w:id="1029839318">
      <w:bodyDiv w:val="1"/>
      <w:marLeft w:val="0"/>
      <w:marRight w:val="0"/>
      <w:marTop w:val="0"/>
      <w:marBottom w:val="0"/>
      <w:divBdr>
        <w:top w:val="none" w:sz="0" w:space="0" w:color="auto"/>
        <w:left w:val="none" w:sz="0" w:space="0" w:color="auto"/>
        <w:bottom w:val="none" w:sz="0" w:space="0" w:color="auto"/>
        <w:right w:val="none" w:sz="0" w:space="0" w:color="auto"/>
      </w:divBdr>
    </w:div>
    <w:div w:id="1037391740">
      <w:bodyDiv w:val="1"/>
      <w:marLeft w:val="0"/>
      <w:marRight w:val="0"/>
      <w:marTop w:val="0"/>
      <w:marBottom w:val="0"/>
      <w:divBdr>
        <w:top w:val="none" w:sz="0" w:space="0" w:color="auto"/>
        <w:left w:val="none" w:sz="0" w:space="0" w:color="auto"/>
        <w:bottom w:val="none" w:sz="0" w:space="0" w:color="auto"/>
        <w:right w:val="none" w:sz="0" w:space="0" w:color="auto"/>
      </w:divBdr>
      <w:divsChild>
        <w:div w:id="2004039645">
          <w:marLeft w:val="0"/>
          <w:marRight w:val="0"/>
          <w:marTop w:val="0"/>
          <w:marBottom w:val="0"/>
          <w:divBdr>
            <w:top w:val="none" w:sz="0" w:space="0" w:color="auto"/>
            <w:left w:val="none" w:sz="0" w:space="0" w:color="auto"/>
            <w:bottom w:val="none" w:sz="0" w:space="0" w:color="auto"/>
            <w:right w:val="none" w:sz="0" w:space="0" w:color="auto"/>
          </w:divBdr>
          <w:divsChild>
            <w:div w:id="696272530">
              <w:marLeft w:val="0"/>
              <w:marRight w:val="0"/>
              <w:marTop w:val="0"/>
              <w:marBottom w:val="0"/>
              <w:divBdr>
                <w:top w:val="none" w:sz="0" w:space="0" w:color="auto"/>
                <w:left w:val="none" w:sz="0" w:space="0" w:color="auto"/>
                <w:bottom w:val="none" w:sz="0" w:space="0" w:color="auto"/>
                <w:right w:val="none" w:sz="0" w:space="0" w:color="auto"/>
              </w:divBdr>
              <w:divsChild>
                <w:div w:id="358092013">
                  <w:marLeft w:val="0"/>
                  <w:marRight w:val="0"/>
                  <w:marTop w:val="0"/>
                  <w:marBottom w:val="0"/>
                  <w:divBdr>
                    <w:top w:val="none" w:sz="0" w:space="0" w:color="auto"/>
                    <w:left w:val="none" w:sz="0" w:space="0" w:color="auto"/>
                    <w:bottom w:val="none" w:sz="0" w:space="0" w:color="auto"/>
                    <w:right w:val="none" w:sz="0" w:space="0" w:color="auto"/>
                  </w:divBdr>
                  <w:divsChild>
                    <w:div w:id="1126391605">
                      <w:marLeft w:val="0"/>
                      <w:marRight w:val="0"/>
                      <w:marTop w:val="0"/>
                      <w:marBottom w:val="0"/>
                      <w:divBdr>
                        <w:top w:val="none" w:sz="0" w:space="0" w:color="auto"/>
                        <w:left w:val="none" w:sz="0" w:space="0" w:color="auto"/>
                        <w:bottom w:val="none" w:sz="0" w:space="0" w:color="auto"/>
                        <w:right w:val="none" w:sz="0" w:space="0" w:color="auto"/>
                      </w:divBdr>
                      <w:divsChild>
                        <w:div w:id="14343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96595">
      <w:bodyDiv w:val="1"/>
      <w:marLeft w:val="0"/>
      <w:marRight w:val="0"/>
      <w:marTop w:val="0"/>
      <w:marBottom w:val="0"/>
      <w:divBdr>
        <w:top w:val="none" w:sz="0" w:space="0" w:color="auto"/>
        <w:left w:val="none" w:sz="0" w:space="0" w:color="auto"/>
        <w:bottom w:val="none" w:sz="0" w:space="0" w:color="auto"/>
        <w:right w:val="none" w:sz="0" w:space="0" w:color="auto"/>
      </w:divBdr>
    </w:div>
    <w:div w:id="1085612444">
      <w:bodyDiv w:val="1"/>
      <w:marLeft w:val="0"/>
      <w:marRight w:val="0"/>
      <w:marTop w:val="0"/>
      <w:marBottom w:val="0"/>
      <w:divBdr>
        <w:top w:val="none" w:sz="0" w:space="0" w:color="auto"/>
        <w:left w:val="none" w:sz="0" w:space="0" w:color="auto"/>
        <w:bottom w:val="none" w:sz="0" w:space="0" w:color="auto"/>
        <w:right w:val="none" w:sz="0" w:space="0" w:color="auto"/>
      </w:divBdr>
    </w:div>
    <w:div w:id="1093746142">
      <w:bodyDiv w:val="1"/>
      <w:marLeft w:val="0"/>
      <w:marRight w:val="0"/>
      <w:marTop w:val="0"/>
      <w:marBottom w:val="0"/>
      <w:divBdr>
        <w:top w:val="none" w:sz="0" w:space="0" w:color="auto"/>
        <w:left w:val="none" w:sz="0" w:space="0" w:color="auto"/>
        <w:bottom w:val="none" w:sz="0" w:space="0" w:color="auto"/>
        <w:right w:val="none" w:sz="0" w:space="0" w:color="auto"/>
      </w:divBdr>
      <w:divsChild>
        <w:div w:id="1249386327">
          <w:marLeft w:val="0"/>
          <w:marRight w:val="0"/>
          <w:marTop w:val="0"/>
          <w:marBottom w:val="225"/>
          <w:divBdr>
            <w:top w:val="none" w:sz="0" w:space="0" w:color="auto"/>
            <w:left w:val="none" w:sz="0" w:space="0" w:color="auto"/>
            <w:bottom w:val="none" w:sz="0" w:space="0" w:color="auto"/>
            <w:right w:val="none" w:sz="0" w:space="0" w:color="auto"/>
          </w:divBdr>
          <w:divsChild>
            <w:div w:id="312682787">
              <w:marLeft w:val="0"/>
              <w:marRight w:val="0"/>
              <w:marTop w:val="0"/>
              <w:marBottom w:val="0"/>
              <w:divBdr>
                <w:top w:val="none" w:sz="0" w:space="0" w:color="auto"/>
                <w:left w:val="none" w:sz="0" w:space="0" w:color="auto"/>
                <w:bottom w:val="none" w:sz="0" w:space="0" w:color="auto"/>
                <w:right w:val="none" w:sz="0" w:space="0" w:color="auto"/>
              </w:divBdr>
            </w:div>
          </w:divsChild>
        </w:div>
        <w:div w:id="1442991848">
          <w:marLeft w:val="0"/>
          <w:marRight w:val="0"/>
          <w:marTop w:val="0"/>
          <w:marBottom w:val="240"/>
          <w:divBdr>
            <w:top w:val="none" w:sz="0" w:space="0" w:color="auto"/>
            <w:left w:val="none" w:sz="0" w:space="0" w:color="auto"/>
            <w:bottom w:val="dashed" w:sz="6" w:space="0" w:color="B3B3B3"/>
            <w:right w:val="none" w:sz="0" w:space="0" w:color="auto"/>
          </w:divBdr>
        </w:div>
      </w:divsChild>
    </w:div>
    <w:div w:id="1153834551">
      <w:bodyDiv w:val="1"/>
      <w:marLeft w:val="0"/>
      <w:marRight w:val="0"/>
      <w:marTop w:val="0"/>
      <w:marBottom w:val="0"/>
      <w:divBdr>
        <w:top w:val="none" w:sz="0" w:space="0" w:color="auto"/>
        <w:left w:val="none" w:sz="0" w:space="0" w:color="auto"/>
        <w:bottom w:val="none" w:sz="0" w:space="0" w:color="auto"/>
        <w:right w:val="none" w:sz="0" w:space="0" w:color="auto"/>
      </w:divBdr>
    </w:div>
    <w:div w:id="1160923874">
      <w:bodyDiv w:val="1"/>
      <w:marLeft w:val="0"/>
      <w:marRight w:val="0"/>
      <w:marTop w:val="0"/>
      <w:marBottom w:val="0"/>
      <w:divBdr>
        <w:top w:val="none" w:sz="0" w:space="0" w:color="auto"/>
        <w:left w:val="none" w:sz="0" w:space="0" w:color="auto"/>
        <w:bottom w:val="none" w:sz="0" w:space="0" w:color="auto"/>
        <w:right w:val="none" w:sz="0" w:space="0" w:color="auto"/>
      </w:divBdr>
    </w:div>
    <w:div w:id="1164198904">
      <w:bodyDiv w:val="1"/>
      <w:marLeft w:val="0"/>
      <w:marRight w:val="0"/>
      <w:marTop w:val="0"/>
      <w:marBottom w:val="0"/>
      <w:divBdr>
        <w:top w:val="none" w:sz="0" w:space="0" w:color="auto"/>
        <w:left w:val="none" w:sz="0" w:space="0" w:color="auto"/>
        <w:bottom w:val="none" w:sz="0" w:space="0" w:color="auto"/>
        <w:right w:val="none" w:sz="0" w:space="0" w:color="auto"/>
      </w:divBdr>
      <w:divsChild>
        <w:div w:id="1538469112">
          <w:marLeft w:val="547"/>
          <w:marRight w:val="0"/>
          <w:marTop w:val="0"/>
          <w:marBottom w:val="0"/>
          <w:divBdr>
            <w:top w:val="none" w:sz="0" w:space="0" w:color="auto"/>
            <w:left w:val="none" w:sz="0" w:space="0" w:color="auto"/>
            <w:bottom w:val="none" w:sz="0" w:space="0" w:color="auto"/>
            <w:right w:val="none" w:sz="0" w:space="0" w:color="auto"/>
          </w:divBdr>
        </w:div>
      </w:divsChild>
    </w:div>
    <w:div w:id="1172835736">
      <w:bodyDiv w:val="1"/>
      <w:marLeft w:val="0"/>
      <w:marRight w:val="0"/>
      <w:marTop w:val="0"/>
      <w:marBottom w:val="0"/>
      <w:divBdr>
        <w:top w:val="none" w:sz="0" w:space="0" w:color="auto"/>
        <w:left w:val="none" w:sz="0" w:space="0" w:color="auto"/>
        <w:bottom w:val="none" w:sz="0" w:space="0" w:color="auto"/>
        <w:right w:val="none" w:sz="0" w:space="0" w:color="auto"/>
      </w:divBdr>
    </w:div>
    <w:div w:id="1185830093">
      <w:bodyDiv w:val="1"/>
      <w:marLeft w:val="0"/>
      <w:marRight w:val="0"/>
      <w:marTop w:val="0"/>
      <w:marBottom w:val="0"/>
      <w:divBdr>
        <w:top w:val="none" w:sz="0" w:space="0" w:color="auto"/>
        <w:left w:val="none" w:sz="0" w:space="0" w:color="auto"/>
        <w:bottom w:val="none" w:sz="0" w:space="0" w:color="auto"/>
        <w:right w:val="none" w:sz="0" w:space="0" w:color="auto"/>
      </w:divBdr>
    </w:div>
    <w:div w:id="1202130286">
      <w:bodyDiv w:val="1"/>
      <w:marLeft w:val="0"/>
      <w:marRight w:val="0"/>
      <w:marTop w:val="0"/>
      <w:marBottom w:val="0"/>
      <w:divBdr>
        <w:top w:val="none" w:sz="0" w:space="0" w:color="auto"/>
        <w:left w:val="none" w:sz="0" w:space="0" w:color="auto"/>
        <w:bottom w:val="none" w:sz="0" w:space="0" w:color="auto"/>
        <w:right w:val="none" w:sz="0" w:space="0" w:color="auto"/>
      </w:divBdr>
    </w:div>
    <w:div w:id="1247615394">
      <w:bodyDiv w:val="1"/>
      <w:marLeft w:val="0"/>
      <w:marRight w:val="0"/>
      <w:marTop w:val="0"/>
      <w:marBottom w:val="0"/>
      <w:divBdr>
        <w:top w:val="none" w:sz="0" w:space="0" w:color="auto"/>
        <w:left w:val="none" w:sz="0" w:space="0" w:color="auto"/>
        <w:bottom w:val="none" w:sz="0" w:space="0" w:color="auto"/>
        <w:right w:val="none" w:sz="0" w:space="0" w:color="auto"/>
      </w:divBdr>
    </w:div>
    <w:div w:id="1255632515">
      <w:bodyDiv w:val="1"/>
      <w:marLeft w:val="0"/>
      <w:marRight w:val="0"/>
      <w:marTop w:val="0"/>
      <w:marBottom w:val="0"/>
      <w:divBdr>
        <w:top w:val="none" w:sz="0" w:space="0" w:color="auto"/>
        <w:left w:val="none" w:sz="0" w:space="0" w:color="auto"/>
        <w:bottom w:val="none" w:sz="0" w:space="0" w:color="auto"/>
        <w:right w:val="none" w:sz="0" w:space="0" w:color="auto"/>
      </w:divBdr>
      <w:divsChild>
        <w:div w:id="1568374504">
          <w:marLeft w:val="547"/>
          <w:marRight w:val="0"/>
          <w:marTop w:val="0"/>
          <w:marBottom w:val="0"/>
          <w:divBdr>
            <w:top w:val="none" w:sz="0" w:space="0" w:color="auto"/>
            <w:left w:val="none" w:sz="0" w:space="0" w:color="auto"/>
            <w:bottom w:val="none" w:sz="0" w:space="0" w:color="auto"/>
            <w:right w:val="none" w:sz="0" w:space="0" w:color="auto"/>
          </w:divBdr>
        </w:div>
      </w:divsChild>
    </w:div>
    <w:div w:id="1260983704">
      <w:bodyDiv w:val="1"/>
      <w:marLeft w:val="0"/>
      <w:marRight w:val="0"/>
      <w:marTop w:val="0"/>
      <w:marBottom w:val="0"/>
      <w:divBdr>
        <w:top w:val="none" w:sz="0" w:space="0" w:color="auto"/>
        <w:left w:val="none" w:sz="0" w:space="0" w:color="auto"/>
        <w:bottom w:val="none" w:sz="0" w:space="0" w:color="auto"/>
        <w:right w:val="none" w:sz="0" w:space="0" w:color="auto"/>
      </w:divBdr>
    </w:div>
    <w:div w:id="1271163396">
      <w:bodyDiv w:val="1"/>
      <w:marLeft w:val="0"/>
      <w:marRight w:val="0"/>
      <w:marTop w:val="0"/>
      <w:marBottom w:val="0"/>
      <w:divBdr>
        <w:top w:val="none" w:sz="0" w:space="0" w:color="auto"/>
        <w:left w:val="none" w:sz="0" w:space="0" w:color="auto"/>
        <w:bottom w:val="none" w:sz="0" w:space="0" w:color="auto"/>
        <w:right w:val="none" w:sz="0" w:space="0" w:color="auto"/>
      </w:divBdr>
      <w:divsChild>
        <w:div w:id="801458443">
          <w:marLeft w:val="432"/>
          <w:marRight w:val="0"/>
          <w:marTop w:val="86"/>
          <w:marBottom w:val="0"/>
          <w:divBdr>
            <w:top w:val="none" w:sz="0" w:space="0" w:color="auto"/>
            <w:left w:val="none" w:sz="0" w:space="0" w:color="auto"/>
            <w:bottom w:val="none" w:sz="0" w:space="0" w:color="auto"/>
            <w:right w:val="none" w:sz="0" w:space="0" w:color="auto"/>
          </w:divBdr>
        </w:div>
      </w:divsChild>
    </w:div>
    <w:div w:id="1274216797">
      <w:bodyDiv w:val="1"/>
      <w:marLeft w:val="0"/>
      <w:marRight w:val="0"/>
      <w:marTop w:val="0"/>
      <w:marBottom w:val="0"/>
      <w:divBdr>
        <w:top w:val="none" w:sz="0" w:space="0" w:color="auto"/>
        <w:left w:val="none" w:sz="0" w:space="0" w:color="auto"/>
        <w:bottom w:val="none" w:sz="0" w:space="0" w:color="auto"/>
        <w:right w:val="none" w:sz="0" w:space="0" w:color="auto"/>
      </w:divBdr>
      <w:divsChild>
        <w:div w:id="1076322439">
          <w:marLeft w:val="0"/>
          <w:marRight w:val="0"/>
          <w:marTop w:val="0"/>
          <w:marBottom w:val="0"/>
          <w:divBdr>
            <w:top w:val="none" w:sz="0" w:space="0" w:color="auto"/>
            <w:left w:val="none" w:sz="0" w:space="0" w:color="auto"/>
            <w:bottom w:val="none" w:sz="0" w:space="0" w:color="auto"/>
            <w:right w:val="none" w:sz="0" w:space="0" w:color="auto"/>
          </w:divBdr>
          <w:divsChild>
            <w:div w:id="153684721">
              <w:marLeft w:val="0"/>
              <w:marRight w:val="0"/>
              <w:marTop w:val="0"/>
              <w:marBottom w:val="0"/>
              <w:divBdr>
                <w:top w:val="none" w:sz="0" w:space="0" w:color="auto"/>
                <w:left w:val="none" w:sz="0" w:space="0" w:color="auto"/>
                <w:bottom w:val="none" w:sz="0" w:space="0" w:color="auto"/>
                <w:right w:val="none" w:sz="0" w:space="0" w:color="auto"/>
              </w:divBdr>
              <w:divsChild>
                <w:div w:id="93325182">
                  <w:marLeft w:val="-225"/>
                  <w:marRight w:val="-225"/>
                  <w:marTop w:val="0"/>
                  <w:marBottom w:val="0"/>
                  <w:divBdr>
                    <w:top w:val="none" w:sz="0" w:space="0" w:color="auto"/>
                    <w:left w:val="none" w:sz="0" w:space="0" w:color="auto"/>
                    <w:bottom w:val="none" w:sz="0" w:space="0" w:color="auto"/>
                    <w:right w:val="none" w:sz="0" w:space="0" w:color="auto"/>
                  </w:divBdr>
                  <w:divsChild>
                    <w:div w:id="1148518660">
                      <w:marLeft w:val="0"/>
                      <w:marRight w:val="0"/>
                      <w:marTop w:val="0"/>
                      <w:marBottom w:val="0"/>
                      <w:divBdr>
                        <w:top w:val="none" w:sz="0" w:space="0" w:color="auto"/>
                        <w:left w:val="none" w:sz="0" w:space="0" w:color="auto"/>
                        <w:bottom w:val="none" w:sz="0" w:space="0" w:color="auto"/>
                        <w:right w:val="none" w:sz="0" w:space="0" w:color="auto"/>
                      </w:divBdr>
                      <w:divsChild>
                        <w:div w:id="950362844">
                          <w:marLeft w:val="0"/>
                          <w:marRight w:val="0"/>
                          <w:marTop w:val="0"/>
                          <w:marBottom w:val="0"/>
                          <w:divBdr>
                            <w:top w:val="none" w:sz="0" w:space="0" w:color="auto"/>
                            <w:left w:val="none" w:sz="0" w:space="0" w:color="auto"/>
                            <w:bottom w:val="none" w:sz="0" w:space="0" w:color="auto"/>
                            <w:right w:val="none" w:sz="0" w:space="0" w:color="auto"/>
                          </w:divBdr>
                          <w:divsChild>
                            <w:div w:id="696468333">
                              <w:marLeft w:val="0"/>
                              <w:marRight w:val="0"/>
                              <w:marTop w:val="0"/>
                              <w:marBottom w:val="0"/>
                              <w:divBdr>
                                <w:top w:val="none" w:sz="0" w:space="0" w:color="auto"/>
                                <w:left w:val="none" w:sz="0" w:space="0" w:color="auto"/>
                                <w:bottom w:val="none" w:sz="0" w:space="0" w:color="auto"/>
                                <w:right w:val="none" w:sz="0" w:space="0" w:color="auto"/>
                              </w:divBdr>
                              <w:divsChild>
                                <w:div w:id="1996910000">
                                  <w:marLeft w:val="0"/>
                                  <w:marRight w:val="0"/>
                                  <w:marTop w:val="0"/>
                                  <w:marBottom w:val="0"/>
                                  <w:divBdr>
                                    <w:top w:val="none" w:sz="0" w:space="0" w:color="auto"/>
                                    <w:left w:val="none" w:sz="0" w:space="0" w:color="auto"/>
                                    <w:bottom w:val="none" w:sz="0" w:space="0" w:color="auto"/>
                                    <w:right w:val="none" w:sz="0" w:space="0" w:color="auto"/>
                                  </w:divBdr>
                                  <w:divsChild>
                                    <w:div w:id="187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213158">
      <w:bodyDiv w:val="1"/>
      <w:marLeft w:val="0"/>
      <w:marRight w:val="0"/>
      <w:marTop w:val="0"/>
      <w:marBottom w:val="0"/>
      <w:divBdr>
        <w:top w:val="none" w:sz="0" w:space="0" w:color="auto"/>
        <w:left w:val="none" w:sz="0" w:space="0" w:color="auto"/>
        <w:bottom w:val="none" w:sz="0" w:space="0" w:color="auto"/>
        <w:right w:val="none" w:sz="0" w:space="0" w:color="auto"/>
      </w:divBdr>
    </w:div>
    <w:div w:id="1309361558">
      <w:bodyDiv w:val="1"/>
      <w:marLeft w:val="0"/>
      <w:marRight w:val="0"/>
      <w:marTop w:val="0"/>
      <w:marBottom w:val="0"/>
      <w:divBdr>
        <w:top w:val="none" w:sz="0" w:space="0" w:color="auto"/>
        <w:left w:val="none" w:sz="0" w:space="0" w:color="auto"/>
        <w:bottom w:val="none" w:sz="0" w:space="0" w:color="auto"/>
        <w:right w:val="none" w:sz="0" w:space="0" w:color="auto"/>
      </w:divBdr>
    </w:div>
    <w:div w:id="1327856727">
      <w:bodyDiv w:val="1"/>
      <w:marLeft w:val="0"/>
      <w:marRight w:val="0"/>
      <w:marTop w:val="0"/>
      <w:marBottom w:val="0"/>
      <w:divBdr>
        <w:top w:val="none" w:sz="0" w:space="0" w:color="auto"/>
        <w:left w:val="none" w:sz="0" w:space="0" w:color="auto"/>
        <w:bottom w:val="none" w:sz="0" w:space="0" w:color="auto"/>
        <w:right w:val="none" w:sz="0" w:space="0" w:color="auto"/>
      </w:divBdr>
    </w:div>
    <w:div w:id="1336885842">
      <w:bodyDiv w:val="1"/>
      <w:marLeft w:val="0"/>
      <w:marRight w:val="0"/>
      <w:marTop w:val="0"/>
      <w:marBottom w:val="0"/>
      <w:divBdr>
        <w:top w:val="none" w:sz="0" w:space="0" w:color="auto"/>
        <w:left w:val="none" w:sz="0" w:space="0" w:color="auto"/>
        <w:bottom w:val="none" w:sz="0" w:space="0" w:color="auto"/>
        <w:right w:val="none" w:sz="0" w:space="0" w:color="auto"/>
      </w:divBdr>
    </w:div>
    <w:div w:id="1344479671">
      <w:bodyDiv w:val="1"/>
      <w:marLeft w:val="0"/>
      <w:marRight w:val="0"/>
      <w:marTop w:val="0"/>
      <w:marBottom w:val="0"/>
      <w:divBdr>
        <w:top w:val="none" w:sz="0" w:space="0" w:color="auto"/>
        <w:left w:val="none" w:sz="0" w:space="0" w:color="auto"/>
        <w:bottom w:val="none" w:sz="0" w:space="0" w:color="auto"/>
        <w:right w:val="none" w:sz="0" w:space="0" w:color="auto"/>
      </w:divBdr>
    </w:div>
    <w:div w:id="1364937097">
      <w:bodyDiv w:val="1"/>
      <w:marLeft w:val="0"/>
      <w:marRight w:val="0"/>
      <w:marTop w:val="0"/>
      <w:marBottom w:val="0"/>
      <w:divBdr>
        <w:top w:val="none" w:sz="0" w:space="0" w:color="auto"/>
        <w:left w:val="none" w:sz="0" w:space="0" w:color="auto"/>
        <w:bottom w:val="none" w:sz="0" w:space="0" w:color="auto"/>
        <w:right w:val="none" w:sz="0" w:space="0" w:color="auto"/>
      </w:divBdr>
    </w:div>
    <w:div w:id="1413165932">
      <w:bodyDiv w:val="1"/>
      <w:marLeft w:val="0"/>
      <w:marRight w:val="0"/>
      <w:marTop w:val="0"/>
      <w:marBottom w:val="0"/>
      <w:divBdr>
        <w:top w:val="none" w:sz="0" w:space="0" w:color="auto"/>
        <w:left w:val="none" w:sz="0" w:space="0" w:color="auto"/>
        <w:bottom w:val="none" w:sz="0" w:space="0" w:color="auto"/>
        <w:right w:val="none" w:sz="0" w:space="0" w:color="auto"/>
      </w:divBdr>
      <w:divsChild>
        <w:div w:id="571893746">
          <w:marLeft w:val="0"/>
          <w:marRight w:val="0"/>
          <w:marTop w:val="0"/>
          <w:marBottom w:val="0"/>
          <w:divBdr>
            <w:top w:val="none" w:sz="0" w:space="0" w:color="auto"/>
            <w:left w:val="none" w:sz="0" w:space="0" w:color="auto"/>
            <w:bottom w:val="none" w:sz="0" w:space="0" w:color="auto"/>
            <w:right w:val="none" w:sz="0" w:space="0" w:color="auto"/>
          </w:divBdr>
        </w:div>
        <w:div w:id="1291210098">
          <w:marLeft w:val="0"/>
          <w:marRight w:val="0"/>
          <w:marTop w:val="0"/>
          <w:marBottom w:val="0"/>
          <w:divBdr>
            <w:top w:val="none" w:sz="0" w:space="0" w:color="auto"/>
            <w:left w:val="none" w:sz="0" w:space="0" w:color="auto"/>
            <w:bottom w:val="none" w:sz="0" w:space="0" w:color="auto"/>
            <w:right w:val="none" w:sz="0" w:space="0" w:color="auto"/>
          </w:divBdr>
        </w:div>
        <w:div w:id="1813522637">
          <w:marLeft w:val="0"/>
          <w:marRight w:val="0"/>
          <w:marTop w:val="0"/>
          <w:marBottom w:val="0"/>
          <w:divBdr>
            <w:top w:val="none" w:sz="0" w:space="0" w:color="auto"/>
            <w:left w:val="none" w:sz="0" w:space="0" w:color="auto"/>
            <w:bottom w:val="none" w:sz="0" w:space="0" w:color="auto"/>
            <w:right w:val="none" w:sz="0" w:space="0" w:color="auto"/>
          </w:divBdr>
        </w:div>
      </w:divsChild>
    </w:div>
    <w:div w:id="1455758462">
      <w:bodyDiv w:val="1"/>
      <w:marLeft w:val="0"/>
      <w:marRight w:val="0"/>
      <w:marTop w:val="0"/>
      <w:marBottom w:val="0"/>
      <w:divBdr>
        <w:top w:val="none" w:sz="0" w:space="0" w:color="auto"/>
        <w:left w:val="none" w:sz="0" w:space="0" w:color="auto"/>
        <w:bottom w:val="none" w:sz="0" w:space="0" w:color="auto"/>
        <w:right w:val="none" w:sz="0" w:space="0" w:color="auto"/>
      </w:divBdr>
    </w:div>
    <w:div w:id="1461150491">
      <w:bodyDiv w:val="1"/>
      <w:marLeft w:val="0"/>
      <w:marRight w:val="0"/>
      <w:marTop w:val="0"/>
      <w:marBottom w:val="0"/>
      <w:divBdr>
        <w:top w:val="none" w:sz="0" w:space="0" w:color="auto"/>
        <w:left w:val="none" w:sz="0" w:space="0" w:color="auto"/>
        <w:bottom w:val="none" w:sz="0" w:space="0" w:color="auto"/>
        <w:right w:val="none" w:sz="0" w:space="0" w:color="auto"/>
      </w:divBdr>
    </w:div>
    <w:div w:id="1467429404">
      <w:bodyDiv w:val="1"/>
      <w:marLeft w:val="0"/>
      <w:marRight w:val="0"/>
      <w:marTop w:val="0"/>
      <w:marBottom w:val="0"/>
      <w:divBdr>
        <w:top w:val="none" w:sz="0" w:space="0" w:color="auto"/>
        <w:left w:val="none" w:sz="0" w:space="0" w:color="auto"/>
        <w:bottom w:val="none" w:sz="0" w:space="0" w:color="auto"/>
        <w:right w:val="none" w:sz="0" w:space="0" w:color="auto"/>
      </w:divBdr>
      <w:divsChild>
        <w:div w:id="23558542">
          <w:marLeft w:val="547"/>
          <w:marRight w:val="0"/>
          <w:marTop w:val="0"/>
          <w:marBottom w:val="0"/>
          <w:divBdr>
            <w:top w:val="none" w:sz="0" w:space="0" w:color="auto"/>
            <w:left w:val="none" w:sz="0" w:space="0" w:color="auto"/>
            <w:bottom w:val="none" w:sz="0" w:space="0" w:color="auto"/>
            <w:right w:val="none" w:sz="0" w:space="0" w:color="auto"/>
          </w:divBdr>
        </w:div>
      </w:divsChild>
    </w:div>
    <w:div w:id="1468161552">
      <w:bodyDiv w:val="1"/>
      <w:marLeft w:val="0"/>
      <w:marRight w:val="0"/>
      <w:marTop w:val="0"/>
      <w:marBottom w:val="0"/>
      <w:divBdr>
        <w:top w:val="none" w:sz="0" w:space="0" w:color="auto"/>
        <w:left w:val="none" w:sz="0" w:space="0" w:color="auto"/>
        <w:bottom w:val="none" w:sz="0" w:space="0" w:color="auto"/>
        <w:right w:val="none" w:sz="0" w:space="0" w:color="auto"/>
      </w:divBdr>
    </w:div>
    <w:div w:id="1486125733">
      <w:bodyDiv w:val="1"/>
      <w:marLeft w:val="0"/>
      <w:marRight w:val="0"/>
      <w:marTop w:val="0"/>
      <w:marBottom w:val="0"/>
      <w:divBdr>
        <w:top w:val="none" w:sz="0" w:space="0" w:color="auto"/>
        <w:left w:val="none" w:sz="0" w:space="0" w:color="auto"/>
        <w:bottom w:val="none" w:sz="0" w:space="0" w:color="auto"/>
        <w:right w:val="none" w:sz="0" w:space="0" w:color="auto"/>
      </w:divBdr>
    </w:div>
    <w:div w:id="1489830157">
      <w:bodyDiv w:val="1"/>
      <w:marLeft w:val="0"/>
      <w:marRight w:val="0"/>
      <w:marTop w:val="0"/>
      <w:marBottom w:val="0"/>
      <w:divBdr>
        <w:top w:val="none" w:sz="0" w:space="0" w:color="auto"/>
        <w:left w:val="none" w:sz="0" w:space="0" w:color="auto"/>
        <w:bottom w:val="none" w:sz="0" w:space="0" w:color="auto"/>
        <w:right w:val="none" w:sz="0" w:space="0" w:color="auto"/>
      </w:divBdr>
    </w:div>
    <w:div w:id="1490242836">
      <w:bodyDiv w:val="1"/>
      <w:marLeft w:val="0"/>
      <w:marRight w:val="0"/>
      <w:marTop w:val="0"/>
      <w:marBottom w:val="0"/>
      <w:divBdr>
        <w:top w:val="none" w:sz="0" w:space="0" w:color="auto"/>
        <w:left w:val="none" w:sz="0" w:space="0" w:color="auto"/>
        <w:bottom w:val="none" w:sz="0" w:space="0" w:color="auto"/>
        <w:right w:val="none" w:sz="0" w:space="0" w:color="auto"/>
      </w:divBdr>
      <w:divsChild>
        <w:div w:id="101463564">
          <w:marLeft w:val="360"/>
          <w:marRight w:val="0"/>
          <w:marTop w:val="200"/>
          <w:marBottom w:val="0"/>
          <w:divBdr>
            <w:top w:val="none" w:sz="0" w:space="0" w:color="auto"/>
            <w:left w:val="none" w:sz="0" w:space="0" w:color="auto"/>
            <w:bottom w:val="none" w:sz="0" w:space="0" w:color="auto"/>
            <w:right w:val="none" w:sz="0" w:space="0" w:color="auto"/>
          </w:divBdr>
        </w:div>
        <w:div w:id="255331559">
          <w:marLeft w:val="360"/>
          <w:marRight w:val="0"/>
          <w:marTop w:val="200"/>
          <w:marBottom w:val="0"/>
          <w:divBdr>
            <w:top w:val="none" w:sz="0" w:space="0" w:color="auto"/>
            <w:left w:val="none" w:sz="0" w:space="0" w:color="auto"/>
            <w:bottom w:val="none" w:sz="0" w:space="0" w:color="auto"/>
            <w:right w:val="none" w:sz="0" w:space="0" w:color="auto"/>
          </w:divBdr>
        </w:div>
        <w:div w:id="537622466">
          <w:marLeft w:val="806"/>
          <w:marRight w:val="0"/>
          <w:marTop w:val="200"/>
          <w:marBottom w:val="0"/>
          <w:divBdr>
            <w:top w:val="none" w:sz="0" w:space="0" w:color="auto"/>
            <w:left w:val="none" w:sz="0" w:space="0" w:color="auto"/>
            <w:bottom w:val="none" w:sz="0" w:space="0" w:color="auto"/>
            <w:right w:val="none" w:sz="0" w:space="0" w:color="auto"/>
          </w:divBdr>
        </w:div>
        <w:div w:id="611209400">
          <w:marLeft w:val="360"/>
          <w:marRight w:val="0"/>
          <w:marTop w:val="200"/>
          <w:marBottom w:val="0"/>
          <w:divBdr>
            <w:top w:val="none" w:sz="0" w:space="0" w:color="auto"/>
            <w:left w:val="none" w:sz="0" w:space="0" w:color="auto"/>
            <w:bottom w:val="none" w:sz="0" w:space="0" w:color="auto"/>
            <w:right w:val="none" w:sz="0" w:space="0" w:color="auto"/>
          </w:divBdr>
        </w:div>
        <w:div w:id="635110547">
          <w:marLeft w:val="806"/>
          <w:marRight w:val="0"/>
          <w:marTop w:val="200"/>
          <w:marBottom w:val="0"/>
          <w:divBdr>
            <w:top w:val="none" w:sz="0" w:space="0" w:color="auto"/>
            <w:left w:val="none" w:sz="0" w:space="0" w:color="auto"/>
            <w:bottom w:val="none" w:sz="0" w:space="0" w:color="auto"/>
            <w:right w:val="none" w:sz="0" w:space="0" w:color="auto"/>
          </w:divBdr>
        </w:div>
        <w:div w:id="803734805">
          <w:marLeft w:val="360"/>
          <w:marRight w:val="0"/>
          <w:marTop w:val="200"/>
          <w:marBottom w:val="0"/>
          <w:divBdr>
            <w:top w:val="none" w:sz="0" w:space="0" w:color="auto"/>
            <w:left w:val="none" w:sz="0" w:space="0" w:color="auto"/>
            <w:bottom w:val="none" w:sz="0" w:space="0" w:color="auto"/>
            <w:right w:val="none" w:sz="0" w:space="0" w:color="auto"/>
          </w:divBdr>
        </w:div>
        <w:div w:id="871576032">
          <w:marLeft w:val="360"/>
          <w:marRight w:val="0"/>
          <w:marTop w:val="200"/>
          <w:marBottom w:val="0"/>
          <w:divBdr>
            <w:top w:val="none" w:sz="0" w:space="0" w:color="auto"/>
            <w:left w:val="none" w:sz="0" w:space="0" w:color="auto"/>
            <w:bottom w:val="none" w:sz="0" w:space="0" w:color="auto"/>
            <w:right w:val="none" w:sz="0" w:space="0" w:color="auto"/>
          </w:divBdr>
        </w:div>
        <w:div w:id="929048534">
          <w:marLeft w:val="360"/>
          <w:marRight w:val="0"/>
          <w:marTop w:val="200"/>
          <w:marBottom w:val="0"/>
          <w:divBdr>
            <w:top w:val="none" w:sz="0" w:space="0" w:color="auto"/>
            <w:left w:val="none" w:sz="0" w:space="0" w:color="auto"/>
            <w:bottom w:val="none" w:sz="0" w:space="0" w:color="auto"/>
            <w:right w:val="none" w:sz="0" w:space="0" w:color="auto"/>
          </w:divBdr>
        </w:div>
      </w:divsChild>
    </w:div>
    <w:div w:id="1497843923">
      <w:bodyDiv w:val="1"/>
      <w:marLeft w:val="0"/>
      <w:marRight w:val="0"/>
      <w:marTop w:val="0"/>
      <w:marBottom w:val="0"/>
      <w:divBdr>
        <w:top w:val="none" w:sz="0" w:space="0" w:color="auto"/>
        <w:left w:val="none" w:sz="0" w:space="0" w:color="auto"/>
        <w:bottom w:val="none" w:sz="0" w:space="0" w:color="auto"/>
        <w:right w:val="none" w:sz="0" w:space="0" w:color="auto"/>
      </w:divBdr>
    </w:div>
    <w:div w:id="1501314320">
      <w:bodyDiv w:val="1"/>
      <w:marLeft w:val="0"/>
      <w:marRight w:val="0"/>
      <w:marTop w:val="0"/>
      <w:marBottom w:val="0"/>
      <w:divBdr>
        <w:top w:val="none" w:sz="0" w:space="0" w:color="auto"/>
        <w:left w:val="none" w:sz="0" w:space="0" w:color="auto"/>
        <w:bottom w:val="none" w:sz="0" w:space="0" w:color="auto"/>
        <w:right w:val="none" w:sz="0" w:space="0" w:color="auto"/>
      </w:divBdr>
    </w:div>
    <w:div w:id="1538929127">
      <w:bodyDiv w:val="1"/>
      <w:marLeft w:val="0"/>
      <w:marRight w:val="0"/>
      <w:marTop w:val="0"/>
      <w:marBottom w:val="0"/>
      <w:divBdr>
        <w:top w:val="none" w:sz="0" w:space="0" w:color="auto"/>
        <w:left w:val="none" w:sz="0" w:space="0" w:color="auto"/>
        <w:bottom w:val="none" w:sz="0" w:space="0" w:color="auto"/>
        <w:right w:val="none" w:sz="0" w:space="0" w:color="auto"/>
      </w:divBdr>
    </w:div>
    <w:div w:id="1542208043">
      <w:bodyDiv w:val="1"/>
      <w:marLeft w:val="0"/>
      <w:marRight w:val="0"/>
      <w:marTop w:val="0"/>
      <w:marBottom w:val="0"/>
      <w:divBdr>
        <w:top w:val="none" w:sz="0" w:space="0" w:color="auto"/>
        <w:left w:val="none" w:sz="0" w:space="0" w:color="auto"/>
        <w:bottom w:val="none" w:sz="0" w:space="0" w:color="auto"/>
        <w:right w:val="none" w:sz="0" w:space="0" w:color="auto"/>
      </w:divBdr>
      <w:divsChild>
        <w:div w:id="1192304634">
          <w:marLeft w:val="0"/>
          <w:marRight w:val="0"/>
          <w:marTop w:val="0"/>
          <w:marBottom w:val="0"/>
          <w:divBdr>
            <w:top w:val="none" w:sz="0" w:space="0" w:color="auto"/>
            <w:left w:val="none" w:sz="0" w:space="0" w:color="auto"/>
            <w:bottom w:val="none" w:sz="0" w:space="0" w:color="auto"/>
            <w:right w:val="none" w:sz="0" w:space="0" w:color="auto"/>
          </w:divBdr>
          <w:divsChild>
            <w:div w:id="1460416107">
              <w:marLeft w:val="0"/>
              <w:marRight w:val="0"/>
              <w:marTop w:val="0"/>
              <w:marBottom w:val="0"/>
              <w:divBdr>
                <w:top w:val="none" w:sz="0" w:space="0" w:color="auto"/>
                <w:left w:val="none" w:sz="0" w:space="0" w:color="auto"/>
                <w:bottom w:val="none" w:sz="0" w:space="0" w:color="auto"/>
                <w:right w:val="none" w:sz="0" w:space="0" w:color="auto"/>
              </w:divBdr>
              <w:divsChild>
                <w:div w:id="1432778061">
                  <w:marLeft w:val="0"/>
                  <w:marRight w:val="0"/>
                  <w:marTop w:val="0"/>
                  <w:marBottom w:val="0"/>
                  <w:divBdr>
                    <w:top w:val="none" w:sz="0" w:space="0" w:color="auto"/>
                    <w:left w:val="none" w:sz="0" w:space="0" w:color="auto"/>
                    <w:bottom w:val="none" w:sz="0" w:space="0" w:color="auto"/>
                    <w:right w:val="none" w:sz="0" w:space="0" w:color="auto"/>
                  </w:divBdr>
                  <w:divsChild>
                    <w:div w:id="1293436595">
                      <w:marLeft w:val="0"/>
                      <w:marRight w:val="0"/>
                      <w:marTop w:val="0"/>
                      <w:marBottom w:val="0"/>
                      <w:divBdr>
                        <w:top w:val="none" w:sz="0" w:space="0" w:color="auto"/>
                        <w:left w:val="none" w:sz="0" w:space="0" w:color="auto"/>
                        <w:bottom w:val="none" w:sz="0" w:space="0" w:color="auto"/>
                        <w:right w:val="none" w:sz="0" w:space="0" w:color="auto"/>
                      </w:divBdr>
                      <w:divsChild>
                        <w:div w:id="239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84585">
      <w:bodyDiv w:val="1"/>
      <w:marLeft w:val="0"/>
      <w:marRight w:val="0"/>
      <w:marTop w:val="0"/>
      <w:marBottom w:val="0"/>
      <w:divBdr>
        <w:top w:val="none" w:sz="0" w:space="0" w:color="auto"/>
        <w:left w:val="none" w:sz="0" w:space="0" w:color="auto"/>
        <w:bottom w:val="none" w:sz="0" w:space="0" w:color="auto"/>
        <w:right w:val="none" w:sz="0" w:space="0" w:color="auto"/>
      </w:divBdr>
    </w:div>
    <w:div w:id="1546599770">
      <w:bodyDiv w:val="1"/>
      <w:marLeft w:val="0"/>
      <w:marRight w:val="0"/>
      <w:marTop w:val="0"/>
      <w:marBottom w:val="0"/>
      <w:divBdr>
        <w:top w:val="none" w:sz="0" w:space="0" w:color="auto"/>
        <w:left w:val="none" w:sz="0" w:space="0" w:color="auto"/>
        <w:bottom w:val="none" w:sz="0" w:space="0" w:color="auto"/>
        <w:right w:val="none" w:sz="0" w:space="0" w:color="auto"/>
      </w:divBdr>
    </w:div>
    <w:div w:id="1555847665">
      <w:bodyDiv w:val="1"/>
      <w:marLeft w:val="0"/>
      <w:marRight w:val="0"/>
      <w:marTop w:val="0"/>
      <w:marBottom w:val="0"/>
      <w:divBdr>
        <w:top w:val="none" w:sz="0" w:space="0" w:color="auto"/>
        <w:left w:val="none" w:sz="0" w:space="0" w:color="auto"/>
        <w:bottom w:val="none" w:sz="0" w:space="0" w:color="auto"/>
        <w:right w:val="none" w:sz="0" w:space="0" w:color="auto"/>
      </w:divBdr>
    </w:div>
    <w:div w:id="1582569014">
      <w:bodyDiv w:val="1"/>
      <w:marLeft w:val="0"/>
      <w:marRight w:val="0"/>
      <w:marTop w:val="0"/>
      <w:marBottom w:val="0"/>
      <w:divBdr>
        <w:top w:val="none" w:sz="0" w:space="0" w:color="auto"/>
        <w:left w:val="none" w:sz="0" w:space="0" w:color="auto"/>
        <w:bottom w:val="none" w:sz="0" w:space="0" w:color="auto"/>
        <w:right w:val="none" w:sz="0" w:space="0" w:color="auto"/>
      </w:divBdr>
    </w:div>
    <w:div w:id="1587376974">
      <w:bodyDiv w:val="1"/>
      <w:marLeft w:val="0"/>
      <w:marRight w:val="0"/>
      <w:marTop w:val="0"/>
      <w:marBottom w:val="0"/>
      <w:divBdr>
        <w:top w:val="none" w:sz="0" w:space="0" w:color="auto"/>
        <w:left w:val="none" w:sz="0" w:space="0" w:color="auto"/>
        <w:bottom w:val="none" w:sz="0" w:space="0" w:color="auto"/>
        <w:right w:val="none" w:sz="0" w:space="0" w:color="auto"/>
      </w:divBdr>
    </w:div>
    <w:div w:id="1597247190">
      <w:bodyDiv w:val="1"/>
      <w:marLeft w:val="0"/>
      <w:marRight w:val="0"/>
      <w:marTop w:val="0"/>
      <w:marBottom w:val="0"/>
      <w:divBdr>
        <w:top w:val="none" w:sz="0" w:space="0" w:color="auto"/>
        <w:left w:val="none" w:sz="0" w:space="0" w:color="auto"/>
        <w:bottom w:val="none" w:sz="0" w:space="0" w:color="auto"/>
        <w:right w:val="none" w:sz="0" w:space="0" w:color="auto"/>
      </w:divBdr>
      <w:divsChild>
        <w:div w:id="1331835302">
          <w:marLeft w:val="0"/>
          <w:marRight w:val="0"/>
          <w:marTop w:val="0"/>
          <w:marBottom w:val="225"/>
          <w:divBdr>
            <w:top w:val="none" w:sz="0" w:space="0" w:color="auto"/>
            <w:left w:val="none" w:sz="0" w:space="0" w:color="auto"/>
            <w:bottom w:val="none" w:sz="0" w:space="0" w:color="auto"/>
            <w:right w:val="none" w:sz="0" w:space="0" w:color="auto"/>
          </w:divBdr>
          <w:divsChild>
            <w:div w:id="14566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70669">
      <w:bodyDiv w:val="1"/>
      <w:marLeft w:val="0"/>
      <w:marRight w:val="0"/>
      <w:marTop w:val="0"/>
      <w:marBottom w:val="0"/>
      <w:divBdr>
        <w:top w:val="none" w:sz="0" w:space="0" w:color="auto"/>
        <w:left w:val="none" w:sz="0" w:space="0" w:color="auto"/>
        <w:bottom w:val="none" w:sz="0" w:space="0" w:color="auto"/>
        <w:right w:val="none" w:sz="0" w:space="0" w:color="auto"/>
      </w:divBdr>
    </w:div>
    <w:div w:id="1632401673">
      <w:bodyDiv w:val="1"/>
      <w:marLeft w:val="0"/>
      <w:marRight w:val="0"/>
      <w:marTop w:val="0"/>
      <w:marBottom w:val="0"/>
      <w:divBdr>
        <w:top w:val="none" w:sz="0" w:space="0" w:color="auto"/>
        <w:left w:val="none" w:sz="0" w:space="0" w:color="auto"/>
        <w:bottom w:val="none" w:sz="0" w:space="0" w:color="auto"/>
        <w:right w:val="none" w:sz="0" w:space="0" w:color="auto"/>
      </w:divBdr>
    </w:div>
    <w:div w:id="1635909643">
      <w:bodyDiv w:val="1"/>
      <w:marLeft w:val="0"/>
      <w:marRight w:val="0"/>
      <w:marTop w:val="0"/>
      <w:marBottom w:val="0"/>
      <w:divBdr>
        <w:top w:val="none" w:sz="0" w:space="0" w:color="auto"/>
        <w:left w:val="none" w:sz="0" w:space="0" w:color="auto"/>
        <w:bottom w:val="none" w:sz="0" w:space="0" w:color="auto"/>
        <w:right w:val="none" w:sz="0" w:space="0" w:color="auto"/>
      </w:divBdr>
      <w:divsChild>
        <w:div w:id="1961910358">
          <w:marLeft w:val="0"/>
          <w:marRight w:val="0"/>
          <w:marTop w:val="0"/>
          <w:marBottom w:val="0"/>
          <w:divBdr>
            <w:top w:val="none" w:sz="0" w:space="0" w:color="auto"/>
            <w:left w:val="none" w:sz="0" w:space="0" w:color="auto"/>
            <w:bottom w:val="none" w:sz="0" w:space="0" w:color="auto"/>
            <w:right w:val="none" w:sz="0" w:space="0" w:color="auto"/>
          </w:divBdr>
          <w:divsChild>
            <w:div w:id="199052316">
              <w:marLeft w:val="0"/>
              <w:marRight w:val="0"/>
              <w:marTop w:val="0"/>
              <w:marBottom w:val="0"/>
              <w:divBdr>
                <w:top w:val="none" w:sz="0" w:space="0" w:color="auto"/>
                <w:left w:val="none" w:sz="0" w:space="0" w:color="auto"/>
                <w:bottom w:val="none" w:sz="0" w:space="0" w:color="auto"/>
                <w:right w:val="none" w:sz="0" w:space="0" w:color="auto"/>
              </w:divBdr>
            </w:div>
            <w:div w:id="579103790">
              <w:marLeft w:val="0"/>
              <w:marRight w:val="0"/>
              <w:marTop w:val="0"/>
              <w:marBottom w:val="0"/>
              <w:divBdr>
                <w:top w:val="none" w:sz="0" w:space="0" w:color="auto"/>
                <w:left w:val="none" w:sz="0" w:space="0" w:color="auto"/>
                <w:bottom w:val="none" w:sz="0" w:space="0" w:color="auto"/>
                <w:right w:val="none" w:sz="0" w:space="0" w:color="auto"/>
              </w:divBdr>
            </w:div>
            <w:div w:id="1149707690">
              <w:marLeft w:val="0"/>
              <w:marRight w:val="0"/>
              <w:marTop w:val="0"/>
              <w:marBottom w:val="0"/>
              <w:divBdr>
                <w:top w:val="none" w:sz="0" w:space="0" w:color="auto"/>
                <w:left w:val="none" w:sz="0" w:space="0" w:color="auto"/>
                <w:bottom w:val="none" w:sz="0" w:space="0" w:color="auto"/>
                <w:right w:val="none" w:sz="0" w:space="0" w:color="auto"/>
              </w:divBdr>
            </w:div>
            <w:div w:id="12543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6242">
      <w:bodyDiv w:val="1"/>
      <w:marLeft w:val="0"/>
      <w:marRight w:val="0"/>
      <w:marTop w:val="0"/>
      <w:marBottom w:val="0"/>
      <w:divBdr>
        <w:top w:val="none" w:sz="0" w:space="0" w:color="auto"/>
        <w:left w:val="none" w:sz="0" w:space="0" w:color="auto"/>
        <w:bottom w:val="none" w:sz="0" w:space="0" w:color="auto"/>
        <w:right w:val="none" w:sz="0" w:space="0" w:color="auto"/>
      </w:divBdr>
    </w:div>
    <w:div w:id="1676031759">
      <w:bodyDiv w:val="1"/>
      <w:marLeft w:val="0"/>
      <w:marRight w:val="0"/>
      <w:marTop w:val="0"/>
      <w:marBottom w:val="0"/>
      <w:divBdr>
        <w:top w:val="none" w:sz="0" w:space="0" w:color="auto"/>
        <w:left w:val="none" w:sz="0" w:space="0" w:color="auto"/>
        <w:bottom w:val="none" w:sz="0" w:space="0" w:color="auto"/>
        <w:right w:val="none" w:sz="0" w:space="0" w:color="auto"/>
      </w:divBdr>
    </w:div>
    <w:div w:id="1687175937">
      <w:bodyDiv w:val="1"/>
      <w:marLeft w:val="0"/>
      <w:marRight w:val="0"/>
      <w:marTop w:val="0"/>
      <w:marBottom w:val="0"/>
      <w:divBdr>
        <w:top w:val="none" w:sz="0" w:space="0" w:color="auto"/>
        <w:left w:val="none" w:sz="0" w:space="0" w:color="auto"/>
        <w:bottom w:val="none" w:sz="0" w:space="0" w:color="auto"/>
        <w:right w:val="none" w:sz="0" w:space="0" w:color="auto"/>
      </w:divBdr>
    </w:div>
    <w:div w:id="1690982510">
      <w:bodyDiv w:val="1"/>
      <w:marLeft w:val="0"/>
      <w:marRight w:val="0"/>
      <w:marTop w:val="0"/>
      <w:marBottom w:val="0"/>
      <w:divBdr>
        <w:top w:val="none" w:sz="0" w:space="0" w:color="auto"/>
        <w:left w:val="none" w:sz="0" w:space="0" w:color="auto"/>
        <w:bottom w:val="none" w:sz="0" w:space="0" w:color="auto"/>
        <w:right w:val="none" w:sz="0" w:space="0" w:color="auto"/>
      </w:divBdr>
    </w:div>
    <w:div w:id="1709376951">
      <w:bodyDiv w:val="1"/>
      <w:marLeft w:val="0"/>
      <w:marRight w:val="0"/>
      <w:marTop w:val="0"/>
      <w:marBottom w:val="0"/>
      <w:divBdr>
        <w:top w:val="none" w:sz="0" w:space="0" w:color="auto"/>
        <w:left w:val="none" w:sz="0" w:space="0" w:color="auto"/>
        <w:bottom w:val="none" w:sz="0" w:space="0" w:color="auto"/>
        <w:right w:val="none" w:sz="0" w:space="0" w:color="auto"/>
      </w:divBdr>
    </w:div>
    <w:div w:id="1714233899">
      <w:bodyDiv w:val="1"/>
      <w:marLeft w:val="0"/>
      <w:marRight w:val="0"/>
      <w:marTop w:val="0"/>
      <w:marBottom w:val="0"/>
      <w:divBdr>
        <w:top w:val="none" w:sz="0" w:space="0" w:color="auto"/>
        <w:left w:val="none" w:sz="0" w:space="0" w:color="auto"/>
        <w:bottom w:val="none" w:sz="0" w:space="0" w:color="auto"/>
        <w:right w:val="none" w:sz="0" w:space="0" w:color="auto"/>
      </w:divBdr>
    </w:div>
    <w:div w:id="1759132753">
      <w:bodyDiv w:val="1"/>
      <w:marLeft w:val="0"/>
      <w:marRight w:val="0"/>
      <w:marTop w:val="0"/>
      <w:marBottom w:val="0"/>
      <w:divBdr>
        <w:top w:val="none" w:sz="0" w:space="0" w:color="auto"/>
        <w:left w:val="none" w:sz="0" w:space="0" w:color="auto"/>
        <w:bottom w:val="none" w:sz="0" w:space="0" w:color="auto"/>
        <w:right w:val="none" w:sz="0" w:space="0" w:color="auto"/>
      </w:divBdr>
    </w:div>
    <w:div w:id="1764109501">
      <w:bodyDiv w:val="1"/>
      <w:marLeft w:val="0"/>
      <w:marRight w:val="0"/>
      <w:marTop w:val="0"/>
      <w:marBottom w:val="0"/>
      <w:divBdr>
        <w:top w:val="none" w:sz="0" w:space="0" w:color="auto"/>
        <w:left w:val="none" w:sz="0" w:space="0" w:color="auto"/>
        <w:bottom w:val="none" w:sz="0" w:space="0" w:color="auto"/>
        <w:right w:val="none" w:sz="0" w:space="0" w:color="auto"/>
      </w:divBdr>
    </w:div>
    <w:div w:id="1766414629">
      <w:bodyDiv w:val="1"/>
      <w:marLeft w:val="0"/>
      <w:marRight w:val="0"/>
      <w:marTop w:val="0"/>
      <w:marBottom w:val="0"/>
      <w:divBdr>
        <w:top w:val="none" w:sz="0" w:space="0" w:color="auto"/>
        <w:left w:val="none" w:sz="0" w:space="0" w:color="auto"/>
        <w:bottom w:val="none" w:sz="0" w:space="0" w:color="auto"/>
        <w:right w:val="none" w:sz="0" w:space="0" w:color="auto"/>
      </w:divBdr>
      <w:divsChild>
        <w:div w:id="323436601">
          <w:marLeft w:val="547"/>
          <w:marRight w:val="0"/>
          <w:marTop w:val="0"/>
          <w:marBottom w:val="0"/>
          <w:divBdr>
            <w:top w:val="none" w:sz="0" w:space="0" w:color="auto"/>
            <w:left w:val="none" w:sz="0" w:space="0" w:color="auto"/>
            <w:bottom w:val="none" w:sz="0" w:space="0" w:color="auto"/>
            <w:right w:val="none" w:sz="0" w:space="0" w:color="auto"/>
          </w:divBdr>
        </w:div>
      </w:divsChild>
    </w:div>
    <w:div w:id="1777628809">
      <w:bodyDiv w:val="1"/>
      <w:marLeft w:val="0"/>
      <w:marRight w:val="0"/>
      <w:marTop w:val="0"/>
      <w:marBottom w:val="0"/>
      <w:divBdr>
        <w:top w:val="none" w:sz="0" w:space="0" w:color="auto"/>
        <w:left w:val="none" w:sz="0" w:space="0" w:color="auto"/>
        <w:bottom w:val="none" w:sz="0" w:space="0" w:color="auto"/>
        <w:right w:val="none" w:sz="0" w:space="0" w:color="auto"/>
      </w:divBdr>
      <w:divsChild>
        <w:div w:id="56905930">
          <w:marLeft w:val="547"/>
          <w:marRight w:val="0"/>
          <w:marTop w:val="96"/>
          <w:marBottom w:val="0"/>
          <w:divBdr>
            <w:top w:val="none" w:sz="0" w:space="0" w:color="auto"/>
            <w:left w:val="none" w:sz="0" w:space="0" w:color="auto"/>
            <w:bottom w:val="none" w:sz="0" w:space="0" w:color="auto"/>
            <w:right w:val="none" w:sz="0" w:space="0" w:color="auto"/>
          </w:divBdr>
        </w:div>
        <w:div w:id="619142425">
          <w:marLeft w:val="547"/>
          <w:marRight w:val="0"/>
          <w:marTop w:val="96"/>
          <w:marBottom w:val="0"/>
          <w:divBdr>
            <w:top w:val="none" w:sz="0" w:space="0" w:color="auto"/>
            <w:left w:val="none" w:sz="0" w:space="0" w:color="auto"/>
            <w:bottom w:val="none" w:sz="0" w:space="0" w:color="auto"/>
            <w:right w:val="none" w:sz="0" w:space="0" w:color="auto"/>
          </w:divBdr>
        </w:div>
        <w:div w:id="822430157">
          <w:marLeft w:val="547"/>
          <w:marRight w:val="0"/>
          <w:marTop w:val="96"/>
          <w:marBottom w:val="0"/>
          <w:divBdr>
            <w:top w:val="none" w:sz="0" w:space="0" w:color="auto"/>
            <w:left w:val="none" w:sz="0" w:space="0" w:color="auto"/>
            <w:bottom w:val="none" w:sz="0" w:space="0" w:color="auto"/>
            <w:right w:val="none" w:sz="0" w:space="0" w:color="auto"/>
          </w:divBdr>
        </w:div>
        <w:div w:id="903443524">
          <w:marLeft w:val="547"/>
          <w:marRight w:val="0"/>
          <w:marTop w:val="96"/>
          <w:marBottom w:val="0"/>
          <w:divBdr>
            <w:top w:val="none" w:sz="0" w:space="0" w:color="auto"/>
            <w:left w:val="none" w:sz="0" w:space="0" w:color="auto"/>
            <w:bottom w:val="none" w:sz="0" w:space="0" w:color="auto"/>
            <w:right w:val="none" w:sz="0" w:space="0" w:color="auto"/>
          </w:divBdr>
        </w:div>
        <w:div w:id="1702510952">
          <w:marLeft w:val="547"/>
          <w:marRight w:val="0"/>
          <w:marTop w:val="96"/>
          <w:marBottom w:val="0"/>
          <w:divBdr>
            <w:top w:val="none" w:sz="0" w:space="0" w:color="auto"/>
            <w:left w:val="none" w:sz="0" w:space="0" w:color="auto"/>
            <w:bottom w:val="none" w:sz="0" w:space="0" w:color="auto"/>
            <w:right w:val="none" w:sz="0" w:space="0" w:color="auto"/>
          </w:divBdr>
        </w:div>
        <w:div w:id="1905022693">
          <w:marLeft w:val="1166"/>
          <w:marRight w:val="0"/>
          <w:marTop w:val="77"/>
          <w:marBottom w:val="0"/>
          <w:divBdr>
            <w:top w:val="none" w:sz="0" w:space="0" w:color="auto"/>
            <w:left w:val="none" w:sz="0" w:space="0" w:color="auto"/>
            <w:bottom w:val="none" w:sz="0" w:space="0" w:color="auto"/>
            <w:right w:val="none" w:sz="0" w:space="0" w:color="auto"/>
          </w:divBdr>
        </w:div>
      </w:divsChild>
    </w:div>
    <w:div w:id="1818961534">
      <w:bodyDiv w:val="1"/>
      <w:marLeft w:val="0"/>
      <w:marRight w:val="0"/>
      <w:marTop w:val="0"/>
      <w:marBottom w:val="0"/>
      <w:divBdr>
        <w:top w:val="none" w:sz="0" w:space="0" w:color="auto"/>
        <w:left w:val="none" w:sz="0" w:space="0" w:color="auto"/>
        <w:bottom w:val="none" w:sz="0" w:space="0" w:color="auto"/>
        <w:right w:val="none" w:sz="0" w:space="0" w:color="auto"/>
      </w:divBdr>
    </w:div>
    <w:div w:id="1825775923">
      <w:bodyDiv w:val="1"/>
      <w:marLeft w:val="0"/>
      <w:marRight w:val="0"/>
      <w:marTop w:val="0"/>
      <w:marBottom w:val="0"/>
      <w:divBdr>
        <w:top w:val="none" w:sz="0" w:space="0" w:color="auto"/>
        <w:left w:val="none" w:sz="0" w:space="0" w:color="auto"/>
        <w:bottom w:val="none" w:sz="0" w:space="0" w:color="auto"/>
        <w:right w:val="none" w:sz="0" w:space="0" w:color="auto"/>
      </w:divBdr>
    </w:div>
    <w:div w:id="1826890615">
      <w:bodyDiv w:val="1"/>
      <w:marLeft w:val="0"/>
      <w:marRight w:val="0"/>
      <w:marTop w:val="0"/>
      <w:marBottom w:val="0"/>
      <w:divBdr>
        <w:top w:val="none" w:sz="0" w:space="0" w:color="auto"/>
        <w:left w:val="none" w:sz="0" w:space="0" w:color="auto"/>
        <w:bottom w:val="none" w:sz="0" w:space="0" w:color="auto"/>
        <w:right w:val="none" w:sz="0" w:space="0" w:color="auto"/>
      </w:divBdr>
    </w:div>
    <w:div w:id="1833447714">
      <w:bodyDiv w:val="1"/>
      <w:marLeft w:val="0"/>
      <w:marRight w:val="0"/>
      <w:marTop w:val="0"/>
      <w:marBottom w:val="0"/>
      <w:divBdr>
        <w:top w:val="none" w:sz="0" w:space="0" w:color="auto"/>
        <w:left w:val="none" w:sz="0" w:space="0" w:color="auto"/>
        <w:bottom w:val="none" w:sz="0" w:space="0" w:color="auto"/>
        <w:right w:val="none" w:sz="0" w:space="0" w:color="auto"/>
      </w:divBdr>
    </w:div>
    <w:div w:id="1838881307">
      <w:bodyDiv w:val="1"/>
      <w:marLeft w:val="0"/>
      <w:marRight w:val="0"/>
      <w:marTop w:val="0"/>
      <w:marBottom w:val="0"/>
      <w:divBdr>
        <w:top w:val="none" w:sz="0" w:space="0" w:color="auto"/>
        <w:left w:val="none" w:sz="0" w:space="0" w:color="auto"/>
        <w:bottom w:val="none" w:sz="0" w:space="0" w:color="auto"/>
        <w:right w:val="none" w:sz="0" w:space="0" w:color="auto"/>
      </w:divBdr>
      <w:divsChild>
        <w:div w:id="90203483">
          <w:marLeft w:val="0"/>
          <w:marRight w:val="0"/>
          <w:marTop w:val="0"/>
          <w:marBottom w:val="0"/>
          <w:divBdr>
            <w:top w:val="none" w:sz="0" w:space="0" w:color="auto"/>
            <w:left w:val="none" w:sz="0" w:space="0" w:color="auto"/>
            <w:bottom w:val="none" w:sz="0" w:space="0" w:color="auto"/>
            <w:right w:val="none" w:sz="0" w:space="0" w:color="auto"/>
          </w:divBdr>
        </w:div>
        <w:div w:id="470176008">
          <w:marLeft w:val="0"/>
          <w:marRight w:val="0"/>
          <w:marTop w:val="0"/>
          <w:marBottom w:val="0"/>
          <w:divBdr>
            <w:top w:val="none" w:sz="0" w:space="0" w:color="auto"/>
            <w:left w:val="none" w:sz="0" w:space="0" w:color="auto"/>
            <w:bottom w:val="none" w:sz="0" w:space="0" w:color="auto"/>
            <w:right w:val="none" w:sz="0" w:space="0" w:color="auto"/>
          </w:divBdr>
        </w:div>
        <w:div w:id="1202403719">
          <w:marLeft w:val="0"/>
          <w:marRight w:val="0"/>
          <w:marTop w:val="0"/>
          <w:marBottom w:val="0"/>
          <w:divBdr>
            <w:top w:val="none" w:sz="0" w:space="0" w:color="auto"/>
            <w:left w:val="none" w:sz="0" w:space="0" w:color="auto"/>
            <w:bottom w:val="none" w:sz="0" w:space="0" w:color="auto"/>
            <w:right w:val="none" w:sz="0" w:space="0" w:color="auto"/>
          </w:divBdr>
        </w:div>
      </w:divsChild>
    </w:div>
    <w:div w:id="1840120534">
      <w:bodyDiv w:val="1"/>
      <w:marLeft w:val="0"/>
      <w:marRight w:val="0"/>
      <w:marTop w:val="0"/>
      <w:marBottom w:val="0"/>
      <w:divBdr>
        <w:top w:val="none" w:sz="0" w:space="0" w:color="auto"/>
        <w:left w:val="none" w:sz="0" w:space="0" w:color="auto"/>
        <w:bottom w:val="none" w:sz="0" w:space="0" w:color="auto"/>
        <w:right w:val="none" w:sz="0" w:space="0" w:color="auto"/>
      </w:divBdr>
    </w:div>
    <w:div w:id="1864590537">
      <w:bodyDiv w:val="1"/>
      <w:marLeft w:val="0"/>
      <w:marRight w:val="0"/>
      <w:marTop w:val="0"/>
      <w:marBottom w:val="0"/>
      <w:divBdr>
        <w:top w:val="none" w:sz="0" w:space="0" w:color="auto"/>
        <w:left w:val="none" w:sz="0" w:space="0" w:color="auto"/>
        <w:bottom w:val="none" w:sz="0" w:space="0" w:color="auto"/>
        <w:right w:val="none" w:sz="0" w:space="0" w:color="auto"/>
      </w:divBdr>
    </w:div>
    <w:div w:id="1871214274">
      <w:bodyDiv w:val="1"/>
      <w:marLeft w:val="0"/>
      <w:marRight w:val="0"/>
      <w:marTop w:val="0"/>
      <w:marBottom w:val="0"/>
      <w:divBdr>
        <w:top w:val="none" w:sz="0" w:space="0" w:color="auto"/>
        <w:left w:val="none" w:sz="0" w:space="0" w:color="auto"/>
        <w:bottom w:val="none" w:sz="0" w:space="0" w:color="auto"/>
        <w:right w:val="none" w:sz="0" w:space="0" w:color="auto"/>
      </w:divBdr>
    </w:div>
    <w:div w:id="1874492081">
      <w:bodyDiv w:val="1"/>
      <w:marLeft w:val="0"/>
      <w:marRight w:val="0"/>
      <w:marTop w:val="0"/>
      <w:marBottom w:val="0"/>
      <w:divBdr>
        <w:top w:val="none" w:sz="0" w:space="0" w:color="auto"/>
        <w:left w:val="none" w:sz="0" w:space="0" w:color="auto"/>
        <w:bottom w:val="none" w:sz="0" w:space="0" w:color="auto"/>
        <w:right w:val="none" w:sz="0" w:space="0" w:color="auto"/>
      </w:divBdr>
    </w:div>
    <w:div w:id="1875075253">
      <w:bodyDiv w:val="1"/>
      <w:marLeft w:val="0"/>
      <w:marRight w:val="0"/>
      <w:marTop w:val="0"/>
      <w:marBottom w:val="0"/>
      <w:divBdr>
        <w:top w:val="none" w:sz="0" w:space="0" w:color="auto"/>
        <w:left w:val="none" w:sz="0" w:space="0" w:color="auto"/>
        <w:bottom w:val="none" w:sz="0" w:space="0" w:color="auto"/>
        <w:right w:val="none" w:sz="0" w:space="0" w:color="auto"/>
      </w:divBdr>
    </w:div>
    <w:div w:id="1893690315">
      <w:bodyDiv w:val="1"/>
      <w:marLeft w:val="0"/>
      <w:marRight w:val="0"/>
      <w:marTop w:val="0"/>
      <w:marBottom w:val="0"/>
      <w:divBdr>
        <w:top w:val="none" w:sz="0" w:space="0" w:color="auto"/>
        <w:left w:val="none" w:sz="0" w:space="0" w:color="auto"/>
        <w:bottom w:val="none" w:sz="0" w:space="0" w:color="auto"/>
        <w:right w:val="none" w:sz="0" w:space="0" w:color="auto"/>
      </w:divBdr>
    </w:div>
    <w:div w:id="1923224271">
      <w:bodyDiv w:val="1"/>
      <w:marLeft w:val="0"/>
      <w:marRight w:val="0"/>
      <w:marTop w:val="0"/>
      <w:marBottom w:val="0"/>
      <w:divBdr>
        <w:top w:val="none" w:sz="0" w:space="0" w:color="auto"/>
        <w:left w:val="none" w:sz="0" w:space="0" w:color="auto"/>
        <w:bottom w:val="none" w:sz="0" w:space="0" w:color="auto"/>
        <w:right w:val="none" w:sz="0" w:space="0" w:color="auto"/>
      </w:divBdr>
    </w:div>
    <w:div w:id="1939831964">
      <w:bodyDiv w:val="1"/>
      <w:marLeft w:val="0"/>
      <w:marRight w:val="0"/>
      <w:marTop w:val="0"/>
      <w:marBottom w:val="0"/>
      <w:divBdr>
        <w:top w:val="none" w:sz="0" w:space="0" w:color="auto"/>
        <w:left w:val="none" w:sz="0" w:space="0" w:color="auto"/>
        <w:bottom w:val="none" w:sz="0" w:space="0" w:color="auto"/>
        <w:right w:val="none" w:sz="0" w:space="0" w:color="auto"/>
      </w:divBdr>
    </w:div>
    <w:div w:id="1960600705">
      <w:bodyDiv w:val="1"/>
      <w:marLeft w:val="0"/>
      <w:marRight w:val="0"/>
      <w:marTop w:val="0"/>
      <w:marBottom w:val="0"/>
      <w:divBdr>
        <w:top w:val="none" w:sz="0" w:space="0" w:color="auto"/>
        <w:left w:val="none" w:sz="0" w:space="0" w:color="auto"/>
        <w:bottom w:val="none" w:sz="0" w:space="0" w:color="auto"/>
        <w:right w:val="none" w:sz="0" w:space="0" w:color="auto"/>
      </w:divBdr>
    </w:div>
    <w:div w:id="1960646794">
      <w:bodyDiv w:val="1"/>
      <w:marLeft w:val="0"/>
      <w:marRight w:val="0"/>
      <w:marTop w:val="0"/>
      <w:marBottom w:val="0"/>
      <w:divBdr>
        <w:top w:val="none" w:sz="0" w:space="0" w:color="auto"/>
        <w:left w:val="none" w:sz="0" w:space="0" w:color="auto"/>
        <w:bottom w:val="none" w:sz="0" w:space="0" w:color="auto"/>
        <w:right w:val="none" w:sz="0" w:space="0" w:color="auto"/>
      </w:divBdr>
    </w:div>
    <w:div w:id="1966347842">
      <w:bodyDiv w:val="1"/>
      <w:marLeft w:val="0"/>
      <w:marRight w:val="0"/>
      <w:marTop w:val="0"/>
      <w:marBottom w:val="0"/>
      <w:divBdr>
        <w:top w:val="none" w:sz="0" w:space="0" w:color="auto"/>
        <w:left w:val="none" w:sz="0" w:space="0" w:color="auto"/>
        <w:bottom w:val="none" w:sz="0" w:space="0" w:color="auto"/>
        <w:right w:val="none" w:sz="0" w:space="0" w:color="auto"/>
      </w:divBdr>
    </w:div>
    <w:div w:id="1969772334">
      <w:bodyDiv w:val="1"/>
      <w:marLeft w:val="0"/>
      <w:marRight w:val="0"/>
      <w:marTop w:val="0"/>
      <w:marBottom w:val="0"/>
      <w:divBdr>
        <w:top w:val="none" w:sz="0" w:space="0" w:color="auto"/>
        <w:left w:val="none" w:sz="0" w:space="0" w:color="auto"/>
        <w:bottom w:val="none" w:sz="0" w:space="0" w:color="auto"/>
        <w:right w:val="none" w:sz="0" w:space="0" w:color="auto"/>
      </w:divBdr>
    </w:div>
    <w:div w:id="1976838155">
      <w:bodyDiv w:val="1"/>
      <w:marLeft w:val="0"/>
      <w:marRight w:val="0"/>
      <w:marTop w:val="0"/>
      <w:marBottom w:val="0"/>
      <w:divBdr>
        <w:top w:val="none" w:sz="0" w:space="0" w:color="auto"/>
        <w:left w:val="none" w:sz="0" w:space="0" w:color="auto"/>
        <w:bottom w:val="none" w:sz="0" w:space="0" w:color="auto"/>
        <w:right w:val="none" w:sz="0" w:space="0" w:color="auto"/>
      </w:divBdr>
    </w:div>
    <w:div w:id="1979216922">
      <w:bodyDiv w:val="1"/>
      <w:marLeft w:val="0"/>
      <w:marRight w:val="0"/>
      <w:marTop w:val="0"/>
      <w:marBottom w:val="0"/>
      <w:divBdr>
        <w:top w:val="none" w:sz="0" w:space="0" w:color="auto"/>
        <w:left w:val="none" w:sz="0" w:space="0" w:color="auto"/>
        <w:bottom w:val="none" w:sz="0" w:space="0" w:color="auto"/>
        <w:right w:val="none" w:sz="0" w:space="0" w:color="auto"/>
      </w:divBdr>
    </w:div>
    <w:div w:id="1986086375">
      <w:bodyDiv w:val="1"/>
      <w:marLeft w:val="0"/>
      <w:marRight w:val="0"/>
      <w:marTop w:val="0"/>
      <w:marBottom w:val="0"/>
      <w:divBdr>
        <w:top w:val="none" w:sz="0" w:space="0" w:color="auto"/>
        <w:left w:val="none" w:sz="0" w:space="0" w:color="auto"/>
        <w:bottom w:val="none" w:sz="0" w:space="0" w:color="auto"/>
        <w:right w:val="none" w:sz="0" w:space="0" w:color="auto"/>
      </w:divBdr>
      <w:divsChild>
        <w:div w:id="906495717">
          <w:marLeft w:val="0"/>
          <w:marRight w:val="0"/>
          <w:marTop w:val="0"/>
          <w:marBottom w:val="0"/>
          <w:divBdr>
            <w:top w:val="none" w:sz="0" w:space="0" w:color="auto"/>
            <w:left w:val="none" w:sz="0" w:space="0" w:color="auto"/>
            <w:bottom w:val="none" w:sz="0" w:space="0" w:color="auto"/>
            <w:right w:val="none" w:sz="0" w:space="0" w:color="auto"/>
          </w:divBdr>
          <w:divsChild>
            <w:div w:id="1505824800">
              <w:marLeft w:val="0"/>
              <w:marRight w:val="0"/>
              <w:marTop w:val="0"/>
              <w:marBottom w:val="0"/>
              <w:divBdr>
                <w:top w:val="none" w:sz="0" w:space="0" w:color="auto"/>
                <w:left w:val="none" w:sz="0" w:space="0" w:color="auto"/>
                <w:bottom w:val="none" w:sz="0" w:space="0" w:color="auto"/>
                <w:right w:val="none" w:sz="0" w:space="0" w:color="auto"/>
              </w:divBdr>
              <w:divsChild>
                <w:div w:id="472676279">
                  <w:marLeft w:val="0"/>
                  <w:marRight w:val="0"/>
                  <w:marTop w:val="0"/>
                  <w:marBottom w:val="0"/>
                  <w:divBdr>
                    <w:top w:val="none" w:sz="0" w:space="0" w:color="auto"/>
                    <w:left w:val="none" w:sz="0" w:space="0" w:color="auto"/>
                    <w:bottom w:val="none" w:sz="0" w:space="0" w:color="auto"/>
                    <w:right w:val="none" w:sz="0" w:space="0" w:color="auto"/>
                  </w:divBdr>
                  <w:divsChild>
                    <w:div w:id="2144033756">
                      <w:marLeft w:val="-225"/>
                      <w:marRight w:val="-225"/>
                      <w:marTop w:val="0"/>
                      <w:marBottom w:val="0"/>
                      <w:divBdr>
                        <w:top w:val="none" w:sz="0" w:space="0" w:color="auto"/>
                        <w:left w:val="none" w:sz="0" w:space="0" w:color="auto"/>
                        <w:bottom w:val="none" w:sz="0" w:space="0" w:color="auto"/>
                        <w:right w:val="none" w:sz="0" w:space="0" w:color="auto"/>
                      </w:divBdr>
                      <w:divsChild>
                        <w:div w:id="1988121973">
                          <w:marLeft w:val="0"/>
                          <w:marRight w:val="0"/>
                          <w:marTop w:val="0"/>
                          <w:marBottom w:val="0"/>
                          <w:divBdr>
                            <w:top w:val="none" w:sz="0" w:space="0" w:color="auto"/>
                            <w:left w:val="none" w:sz="0" w:space="0" w:color="auto"/>
                            <w:bottom w:val="none" w:sz="0" w:space="0" w:color="auto"/>
                            <w:right w:val="none" w:sz="0" w:space="0" w:color="auto"/>
                          </w:divBdr>
                          <w:divsChild>
                            <w:div w:id="989946960">
                              <w:marLeft w:val="0"/>
                              <w:marRight w:val="0"/>
                              <w:marTop w:val="0"/>
                              <w:marBottom w:val="0"/>
                              <w:divBdr>
                                <w:top w:val="none" w:sz="0" w:space="0" w:color="auto"/>
                                <w:left w:val="none" w:sz="0" w:space="0" w:color="auto"/>
                                <w:bottom w:val="none" w:sz="0" w:space="0" w:color="auto"/>
                                <w:right w:val="none" w:sz="0" w:space="0" w:color="auto"/>
                              </w:divBdr>
                              <w:divsChild>
                                <w:div w:id="1471551771">
                                  <w:marLeft w:val="0"/>
                                  <w:marRight w:val="0"/>
                                  <w:marTop w:val="0"/>
                                  <w:marBottom w:val="0"/>
                                  <w:divBdr>
                                    <w:top w:val="none" w:sz="0" w:space="0" w:color="auto"/>
                                    <w:left w:val="none" w:sz="0" w:space="0" w:color="auto"/>
                                    <w:bottom w:val="none" w:sz="0" w:space="0" w:color="auto"/>
                                    <w:right w:val="none" w:sz="0" w:space="0" w:color="auto"/>
                                  </w:divBdr>
                                  <w:divsChild>
                                    <w:div w:id="1210729392">
                                      <w:marLeft w:val="0"/>
                                      <w:marRight w:val="0"/>
                                      <w:marTop w:val="0"/>
                                      <w:marBottom w:val="0"/>
                                      <w:divBdr>
                                        <w:top w:val="none" w:sz="0" w:space="0" w:color="auto"/>
                                        <w:left w:val="none" w:sz="0" w:space="0" w:color="auto"/>
                                        <w:bottom w:val="none" w:sz="0" w:space="0" w:color="auto"/>
                                        <w:right w:val="none" w:sz="0" w:space="0" w:color="auto"/>
                                      </w:divBdr>
                                      <w:divsChild>
                                        <w:div w:id="1550264248">
                                          <w:marLeft w:val="0"/>
                                          <w:marRight w:val="0"/>
                                          <w:marTop w:val="0"/>
                                          <w:marBottom w:val="0"/>
                                          <w:divBdr>
                                            <w:top w:val="none" w:sz="0" w:space="0" w:color="auto"/>
                                            <w:left w:val="none" w:sz="0" w:space="0" w:color="auto"/>
                                            <w:bottom w:val="none" w:sz="0" w:space="0" w:color="auto"/>
                                            <w:right w:val="none" w:sz="0" w:space="0" w:color="auto"/>
                                          </w:divBdr>
                                          <w:divsChild>
                                            <w:div w:id="20448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051314">
      <w:bodyDiv w:val="1"/>
      <w:marLeft w:val="0"/>
      <w:marRight w:val="0"/>
      <w:marTop w:val="0"/>
      <w:marBottom w:val="0"/>
      <w:divBdr>
        <w:top w:val="none" w:sz="0" w:space="0" w:color="auto"/>
        <w:left w:val="none" w:sz="0" w:space="0" w:color="auto"/>
        <w:bottom w:val="none" w:sz="0" w:space="0" w:color="auto"/>
        <w:right w:val="none" w:sz="0" w:space="0" w:color="auto"/>
      </w:divBdr>
      <w:divsChild>
        <w:div w:id="1133251071">
          <w:marLeft w:val="547"/>
          <w:marRight w:val="0"/>
          <w:marTop w:val="0"/>
          <w:marBottom w:val="0"/>
          <w:divBdr>
            <w:top w:val="none" w:sz="0" w:space="0" w:color="auto"/>
            <w:left w:val="none" w:sz="0" w:space="0" w:color="auto"/>
            <w:bottom w:val="none" w:sz="0" w:space="0" w:color="auto"/>
            <w:right w:val="none" w:sz="0" w:space="0" w:color="auto"/>
          </w:divBdr>
        </w:div>
      </w:divsChild>
    </w:div>
    <w:div w:id="2112166929">
      <w:bodyDiv w:val="1"/>
      <w:marLeft w:val="0"/>
      <w:marRight w:val="0"/>
      <w:marTop w:val="0"/>
      <w:marBottom w:val="0"/>
      <w:divBdr>
        <w:top w:val="none" w:sz="0" w:space="0" w:color="auto"/>
        <w:left w:val="none" w:sz="0" w:space="0" w:color="auto"/>
        <w:bottom w:val="none" w:sz="0" w:space="0" w:color="auto"/>
        <w:right w:val="none" w:sz="0" w:space="0" w:color="auto"/>
      </w:divBdr>
    </w:div>
    <w:div w:id="21373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zakon.hr/cms.htm?id=384" TargetMode="External"/><Relationship Id="rId26" Type="http://schemas.openxmlformats.org/officeDocument/2006/relationships/image" Target="media/image9.emf"/><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49.jpeg"/><Relationship Id="rId76" Type="http://schemas.openxmlformats.org/officeDocument/2006/relationships/image" Target="media/image57.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hyperlink" Target="http://www.zakon.hr/cms.htm?id=382" TargetMode="External"/><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7.png"/><Relationship Id="rId74" Type="http://schemas.openxmlformats.org/officeDocument/2006/relationships/image" Target="media/image55.emf"/><Relationship Id="rId79" Type="http://schemas.openxmlformats.org/officeDocument/2006/relationships/image" Target="media/image60.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2.emf"/><Relationship Id="rId82" Type="http://schemas.openxmlformats.org/officeDocument/2006/relationships/header" Target="header1.xml"/><Relationship Id="rId19" Type="http://schemas.openxmlformats.org/officeDocument/2006/relationships/hyperlink" Target="http://www.zakon.hr/cms.htm?id=38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arodne-novine.nn.hr/clanci/sluzbeni/2015_02_18_389.html"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50.jp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zakon.hr/cms.htm?id=383"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emf"/><Relationship Id="rId67" Type="http://schemas.openxmlformats.org/officeDocument/2006/relationships/image" Target="media/image48.png"/><Relationship Id="rId20" Type="http://schemas.openxmlformats.org/officeDocument/2006/relationships/hyperlink" Target="http://www.zakon.hr/cms.htm?id=17725"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u.hr/"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chart" Target="charts/chart2.xml"/><Relationship Id="rId65" Type="http://schemas.openxmlformats.org/officeDocument/2006/relationships/image" Target="media/image46.emf"/><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yperlink" Target="https://mzoe.hr/hr/energetika/energetska-politika-i-planiranje.html" TargetMode="External"/><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mgipu.hr/default.aspx?id=12841" TargetMode="External"/><Relationship Id="rId1" Type="http://schemas.openxmlformats.org/officeDocument/2006/relationships/hyperlink" Target="https://www.hbor.hr/152-milijuna-kuna-povoljnih-kredita-za-javnu-rasvjet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Users\vbukarica\Desktop\Ciljevi_EnU_NEC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Users\vbukarica\Desktop\Ciljevi_EnU_NEC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100"/>
              <a:t>KRETANJE</a:t>
            </a:r>
            <a:r>
              <a:rPr lang="en-GB" sz="1100" baseline="0"/>
              <a:t> PRIMARNE I NEPOSREDNE POTROŠNJE ENERGIJE U RAZDOBLJU OD 2020. DO 2030. GODINE</a:t>
            </a:r>
            <a:endParaRPr lang="hr-HR" sz="11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2"/>
          <c:order val="0"/>
          <c:tx>
            <c:strRef>
              <c:f>Data!$A$6</c:f>
              <c:strCache>
                <c:ptCount val="1"/>
                <c:pt idx="0">
                  <c:v>Primarna potrošnja energije</c:v>
                </c:pt>
              </c:strCache>
            </c:strRef>
          </c:tx>
          <c:spPr>
            <a:ln w="22225" cap="rnd">
              <a:solidFill>
                <a:schemeClr val="accent1">
                  <a:lumMod val="75000"/>
                </a:schemeClr>
              </a:solidFill>
              <a:round/>
            </a:ln>
            <a:effectLst/>
          </c:spPr>
          <c:marker>
            <c:symbol val="triangle"/>
            <c:size val="6"/>
            <c:spPr>
              <a:solidFill>
                <a:schemeClr val="accent1">
                  <a:lumMod val="75000"/>
                </a:schemeClr>
              </a:solidFill>
              <a:ln w="9525">
                <a:solidFill>
                  <a:schemeClr val="accent1">
                    <a:lumMod val="75000"/>
                  </a:schemeClr>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0D-411B-B168-6B95DA989DFF}"/>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D-411B-B168-6B95DA989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Data!$B$3:$L$3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Data!$B$6:$L$6</c:f>
              <c:numCache>
                <c:formatCode>#,##0.00</c:formatCode>
                <c:ptCount val="11"/>
                <c:pt idx="0">
                  <c:v>356.17845276988112</c:v>
                </c:pt>
                <c:pt idx="1">
                  <c:v>357.31944461753579</c:v>
                </c:pt>
                <c:pt idx="2">
                  <c:v>358.46409154984337</c:v>
                </c:pt>
                <c:pt idx="3">
                  <c:v>359.61240527560255</c:v>
                </c:pt>
                <c:pt idx="4">
                  <c:v>360.76439754112022</c:v>
                </c:pt>
                <c:pt idx="5">
                  <c:v>361.92008013033183</c:v>
                </c:pt>
                <c:pt idx="6">
                  <c:v>363.0794648649217</c:v>
                </c:pt>
                <c:pt idx="7">
                  <c:v>364.24256360444417</c:v>
                </c:pt>
                <c:pt idx="8">
                  <c:v>365.40938824644468</c:v>
                </c:pt>
                <c:pt idx="9">
                  <c:v>366.57995072658173</c:v>
                </c:pt>
                <c:pt idx="10">
                  <c:v>367.7542630187487</c:v>
                </c:pt>
              </c:numCache>
            </c:numRef>
          </c:val>
          <c:smooth val="0"/>
          <c:extLst>
            <c:ext xmlns:c16="http://schemas.microsoft.com/office/drawing/2014/chart" uri="{C3380CC4-5D6E-409C-BE32-E72D297353CC}">
              <c16:uniqueId val="{00000006-E40D-411B-B168-6B95DA989DFF}"/>
            </c:ext>
          </c:extLst>
        </c:ser>
        <c:ser>
          <c:idx val="3"/>
          <c:order val="1"/>
          <c:tx>
            <c:strRef>
              <c:f>Data!$A$7</c:f>
              <c:strCache>
                <c:ptCount val="1"/>
                <c:pt idx="0">
                  <c:v>Neposredna potrošnja energije</c:v>
                </c:pt>
              </c:strCache>
            </c:strRef>
          </c:tx>
          <c:spPr>
            <a:ln w="22225" cap="rnd">
              <a:solidFill>
                <a:schemeClr val="accent4">
                  <a:lumMod val="75000"/>
                </a:schemeClr>
              </a:solidFill>
              <a:round/>
            </a:ln>
            <a:effectLst/>
          </c:spPr>
          <c:marker>
            <c:symbol val="x"/>
            <c:size val="6"/>
            <c:spPr>
              <a:solidFill>
                <a:schemeClr val="accent4">
                  <a:lumMod val="75000"/>
                </a:schemeClr>
              </a:solidFill>
              <a:ln w="9525">
                <a:solidFill>
                  <a:schemeClr val="accent4">
                    <a:lumMod val="75000"/>
                  </a:schemeClr>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0D-411B-B168-6B95DA989DFF}"/>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0D-411B-B168-6B95DA989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Data!$B$3:$L$3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Data!$B$7:$L$7</c:f>
              <c:numCache>
                <c:formatCode>#,##0.00</c:formatCode>
                <c:ptCount val="11"/>
                <c:pt idx="0">
                  <c:v>281.66071328152469</c:v>
                </c:pt>
                <c:pt idx="1">
                  <c:v>282.88993295557731</c:v>
                </c:pt>
                <c:pt idx="2">
                  <c:v>284.12451717262735</c:v>
                </c:pt>
                <c:pt idx="3">
                  <c:v>285.36448934453693</c:v>
                </c:pt>
                <c:pt idx="4">
                  <c:v>286.60987298534195</c:v>
                </c:pt>
                <c:pt idx="5">
                  <c:v>287.86069171169788</c:v>
                </c:pt>
                <c:pt idx="6">
                  <c:v>287.67061043204484</c:v>
                </c:pt>
                <c:pt idx="7">
                  <c:v>287.4806546675938</c:v>
                </c:pt>
                <c:pt idx="8">
                  <c:v>287.29082433546409</c:v>
                </c:pt>
                <c:pt idx="9">
                  <c:v>287.10111935282981</c:v>
                </c:pt>
                <c:pt idx="10">
                  <c:v>286.9115396369196</c:v>
                </c:pt>
              </c:numCache>
            </c:numRef>
          </c:val>
          <c:smooth val="0"/>
          <c:extLst>
            <c:ext xmlns:c16="http://schemas.microsoft.com/office/drawing/2014/chart" uri="{C3380CC4-5D6E-409C-BE32-E72D297353CC}">
              <c16:uniqueId val="{00000009-E40D-411B-B168-6B95DA989DFF}"/>
            </c:ext>
          </c:extLst>
        </c:ser>
        <c:dLbls>
          <c:showLegendKey val="0"/>
          <c:showVal val="0"/>
          <c:showCatName val="0"/>
          <c:showSerName val="0"/>
          <c:showPercent val="0"/>
          <c:showBubbleSize val="0"/>
        </c:dLbls>
        <c:marker val="1"/>
        <c:smooth val="0"/>
        <c:axId val="719437464"/>
        <c:axId val="719438448"/>
      </c:lineChart>
      <c:catAx>
        <c:axId val="7194374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Godina</a:t>
                </a:r>
                <a:endParaRPr lang="hr-H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719438448"/>
        <c:crossesAt val="250"/>
        <c:auto val="1"/>
        <c:lblAlgn val="ctr"/>
        <c:lblOffset val="100"/>
        <c:noMultiLvlLbl val="0"/>
      </c:catAx>
      <c:valAx>
        <c:axId val="719438448"/>
        <c:scaling>
          <c:orientation val="minMax"/>
          <c:max val="400"/>
          <c:min val="25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PJ</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943746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100"/>
              <a:t>KRETANJE</a:t>
            </a:r>
            <a:r>
              <a:rPr lang="en-GB" sz="1100" baseline="0"/>
              <a:t> PRIMARNE I NEPOSREDNE POTROŠNJE ENERGIJE U RAZDOBLJU OD 2020. DO 2040. GODINE</a:t>
            </a:r>
            <a:endParaRPr lang="hr-HR" sz="11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1"/>
          <c:order val="0"/>
          <c:tx>
            <c:strRef>
              <c:f>Data!$A$26</c:f>
              <c:strCache>
                <c:ptCount val="1"/>
                <c:pt idx="0">
                  <c:v>Primarna potrošnja energije - S3</c:v>
                </c:pt>
              </c:strCache>
            </c:strRef>
          </c:tx>
          <c:spPr>
            <a:ln w="22225" cap="rnd">
              <a:solidFill>
                <a:srgbClr val="002060"/>
              </a:solidFill>
              <a:round/>
            </a:ln>
            <a:effectLst/>
          </c:spPr>
          <c:marker>
            <c:symbol val="square"/>
            <c:size val="6"/>
            <c:spPr>
              <a:solidFill>
                <a:schemeClr val="accent1">
                  <a:lumMod val="50000"/>
                </a:schemeClr>
              </a:solidFill>
              <a:ln w="9525">
                <a:solidFill>
                  <a:srgbClr val="002060"/>
                </a:solidFill>
                <a:round/>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51E5-4833-A55D-C8AFBD876C96}"/>
                </c:ext>
              </c:extLst>
            </c:dLbl>
            <c:dLbl>
              <c:idx val="2"/>
              <c:delete val="1"/>
              <c:extLst>
                <c:ext xmlns:c15="http://schemas.microsoft.com/office/drawing/2012/chart" uri="{CE6537A1-D6FC-4f65-9D91-7224C49458BB}"/>
                <c:ext xmlns:c16="http://schemas.microsoft.com/office/drawing/2014/chart" uri="{C3380CC4-5D6E-409C-BE32-E72D297353CC}">
                  <c16:uniqueId val="{00000001-51E5-4833-A55D-C8AFBD876C96}"/>
                </c:ext>
              </c:extLst>
            </c:dLbl>
            <c:dLbl>
              <c:idx val="3"/>
              <c:delete val="1"/>
              <c:extLst>
                <c:ext xmlns:c15="http://schemas.microsoft.com/office/drawing/2012/chart" uri="{CE6537A1-D6FC-4f65-9D91-7224C49458BB}"/>
                <c:ext xmlns:c16="http://schemas.microsoft.com/office/drawing/2014/chart" uri="{C3380CC4-5D6E-409C-BE32-E72D297353CC}">
                  <c16:uniqueId val="{00000002-51E5-4833-A55D-C8AFBD876C96}"/>
                </c:ext>
              </c:extLst>
            </c:dLbl>
            <c:dLbl>
              <c:idx val="4"/>
              <c:delete val="1"/>
              <c:extLst>
                <c:ext xmlns:c15="http://schemas.microsoft.com/office/drawing/2012/chart" uri="{CE6537A1-D6FC-4f65-9D91-7224C49458BB}"/>
                <c:ext xmlns:c16="http://schemas.microsoft.com/office/drawing/2014/chart" uri="{C3380CC4-5D6E-409C-BE32-E72D297353CC}">
                  <c16:uniqueId val="{00000003-51E5-4833-A55D-C8AFBD876C96}"/>
                </c:ext>
              </c:extLst>
            </c:dLbl>
            <c:dLbl>
              <c:idx val="5"/>
              <c:delete val="1"/>
              <c:extLst>
                <c:ext xmlns:c15="http://schemas.microsoft.com/office/drawing/2012/chart" uri="{CE6537A1-D6FC-4f65-9D91-7224C49458BB}"/>
                <c:ext xmlns:c16="http://schemas.microsoft.com/office/drawing/2014/chart" uri="{C3380CC4-5D6E-409C-BE32-E72D297353CC}">
                  <c16:uniqueId val="{00000004-51E5-4833-A55D-C8AFBD876C96}"/>
                </c:ext>
              </c:extLst>
            </c:dLbl>
            <c:dLbl>
              <c:idx val="6"/>
              <c:delete val="1"/>
              <c:extLst>
                <c:ext xmlns:c15="http://schemas.microsoft.com/office/drawing/2012/chart" uri="{CE6537A1-D6FC-4f65-9D91-7224C49458BB}"/>
                <c:ext xmlns:c16="http://schemas.microsoft.com/office/drawing/2014/chart" uri="{C3380CC4-5D6E-409C-BE32-E72D297353CC}">
                  <c16:uniqueId val="{00000005-51E5-4833-A55D-C8AFBD876C96}"/>
                </c:ext>
              </c:extLst>
            </c:dLbl>
            <c:dLbl>
              <c:idx val="7"/>
              <c:delete val="1"/>
              <c:extLst>
                <c:ext xmlns:c15="http://schemas.microsoft.com/office/drawing/2012/chart" uri="{CE6537A1-D6FC-4f65-9D91-7224C49458BB}"/>
                <c:ext xmlns:c16="http://schemas.microsoft.com/office/drawing/2014/chart" uri="{C3380CC4-5D6E-409C-BE32-E72D297353CC}">
                  <c16:uniqueId val="{00000006-51E5-4833-A55D-C8AFBD876C96}"/>
                </c:ext>
              </c:extLst>
            </c:dLbl>
            <c:dLbl>
              <c:idx val="8"/>
              <c:delete val="1"/>
              <c:extLst>
                <c:ext xmlns:c15="http://schemas.microsoft.com/office/drawing/2012/chart" uri="{CE6537A1-D6FC-4f65-9D91-7224C49458BB}"/>
                <c:ext xmlns:c16="http://schemas.microsoft.com/office/drawing/2014/chart" uri="{C3380CC4-5D6E-409C-BE32-E72D297353CC}">
                  <c16:uniqueId val="{00000007-51E5-4833-A55D-C8AFBD876C96}"/>
                </c:ext>
              </c:extLst>
            </c:dLbl>
            <c:dLbl>
              <c:idx val="9"/>
              <c:delete val="1"/>
              <c:extLst>
                <c:ext xmlns:c15="http://schemas.microsoft.com/office/drawing/2012/chart" uri="{CE6537A1-D6FC-4f65-9D91-7224C49458BB}"/>
                <c:ext xmlns:c16="http://schemas.microsoft.com/office/drawing/2014/chart" uri="{C3380CC4-5D6E-409C-BE32-E72D297353CC}">
                  <c16:uniqueId val="{00000008-51E5-4833-A55D-C8AFBD876C96}"/>
                </c:ext>
              </c:extLst>
            </c:dLbl>
            <c:dLbl>
              <c:idx val="11"/>
              <c:delete val="1"/>
              <c:extLst>
                <c:ext xmlns:c15="http://schemas.microsoft.com/office/drawing/2012/chart" uri="{CE6537A1-D6FC-4f65-9D91-7224C49458BB}"/>
                <c:ext xmlns:c16="http://schemas.microsoft.com/office/drawing/2014/chart" uri="{C3380CC4-5D6E-409C-BE32-E72D297353CC}">
                  <c16:uniqueId val="{00000009-51E5-4833-A55D-C8AFBD876C96}"/>
                </c:ext>
              </c:extLst>
            </c:dLbl>
            <c:dLbl>
              <c:idx val="12"/>
              <c:delete val="1"/>
              <c:extLst>
                <c:ext xmlns:c15="http://schemas.microsoft.com/office/drawing/2012/chart" uri="{CE6537A1-D6FC-4f65-9D91-7224C49458BB}"/>
                <c:ext xmlns:c16="http://schemas.microsoft.com/office/drawing/2014/chart" uri="{C3380CC4-5D6E-409C-BE32-E72D297353CC}">
                  <c16:uniqueId val="{0000000A-51E5-4833-A55D-C8AFBD876C96}"/>
                </c:ext>
              </c:extLst>
            </c:dLbl>
            <c:dLbl>
              <c:idx val="13"/>
              <c:delete val="1"/>
              <c:extLst>
                <c:ext xmlns:c15="http://schemas.microsoft.com/office/drawing/2012/chart" uri="{CE6537A1-D6FC-4f65-9D91-7224C49458BB}"/>
                <c:ext xmlns:c16="http://schemas.microsoft.com/office/drawing/2014/chart" uri="{C3380CC4-5D6E-409C-BE32-E72D297353CC}">
                  <c16:uniqueId val="{0000000B-51E5-4833-A55D-C8AFBD876C96}"/>
                </c:ext>
              </c:extLst>
            </c:dLbl>
            <c:dLbl>
              <c:idx val="14"/>
              <c:delete val="1"/>
              <c:extLst>
                <c:ext xmlns:c15="http://schemas.microsoft.com/office/drawing/2012/chart" uri="{CE6537A1-D6FC-4f65-9D91-7224C49458BB}"/>
                <c:ext xmlns:c16="http://schemas.microsoft.com/office/drawing/2014/chart" uri="{C3380CC4-5D6E-409C-BE32-E72D297353CC}">
                  <c16:uniqueId val="{0000000C-51E5-4833-A55D-C8AFBD876C96}"/>
                </c:ext>
              </c:extLst>
            </c:dLbl>
            <c:dLbl>
              <c:idx val="15"/>
              <c:delete val="1"/>
              <c:extLst>
                <c:ext xmlns:c15="http://schemas.microsoft.com/office/drawing/2012/chart" uri="{CE6537A1-D6FC-4f65-9D91-7224C49458BB}"/>
                <c:ext xmlns:c16="http://schemas.microsoft.com/office/drawing/2014/chart" uri="{C3380CC4-5D6E-409C-BE32-E72D297353CC}">
                  <c16:uniqueId val="{0000000D-51E5-4833-A55D-C8AFBD876C96}"/>
                </c:ext>
              </c:extLst>
            </c:dLbl>
            <c:dLbl>
              <c:idx val="16"/>
              <c:delete val="1"/>
              <c:extLst>
                <c:ext xmlns:c15="http://schemas.microsoft.com/office/drawing/2012/chart" uri="{CE6537A1-D6FC-4f65-9D91-7224C49458BB}"/>
                <c:ext xmlns:c16="http://schemas.microsoft.com/office/drawing/2014/chart" uri="{C3380CC4-5D6E-409C-BE32-E72D297353CC}">
                  <c16:uniqueId val="{0000000E-51E5-4833-A55D-C8AFBD876C96}"/>
                </c:ext>
              </c:extLst>
            </c:dLbl>
            <c:dLbl>
              <c:idx val="17"/>
              <c:delete val="1"/>
              <c:extLst>
                <c:ext xmlns:c15="http://schemas.microsoft.com/office/drawing/2012/chart" uri="{CE6537A1-D6FC-4f65-9D91-7224C49458BB}"/>
                <c:ext xmlns:c16="http://schemas.microsoft.com/office/drawing/2014/chart" uri="{C3380CC4-5D6E-409C-BE32-E72D297353CC}">
                  <c16:uniqueId val="{0000000F-51E5-4833-A55D-C8AFBD876C96}"/>
                </c:ext>
              </c:extLst>
            </c:dLbl>
            <c:dLbl>
              <c:idx val="18"/>
              <c:delete val="1"/>
              <c:extLst>
                <c:ext xmlns:c15="http://schemas.microsoft.com/office/drawing/2012/chart" uri="{CE6537A1-D6FC-4f65-9D91-7224C49458BB}"/>
                <c:ext xmlns:c16="http://schemas.microsoft.com/office/drawing/2014/chart" uri="{C3380CC4-5D6E-409C-BE32-E72D297353CC}">
                  <c16:uniqueId val="{00000010-51E5-4833-A55D-C8AFBD876C96}"/>
                </c:ext>
              </c:extLst>
            </c:dLbl>
            <c:dLbl>
              <c:idx val="19"/>
              <c:delete val="1"/>
              <c:extLst>
                <c:ext xmlns:c15="http://schemas.microsoft.com/office/drawing/2012/chart" uri="{CE6537A1-D6FC-4f65-9D91-7224C49458BB}"/>
                <c:ext xmlns:c16="http://schemas.microsoft.com/office/drawing/2014/chart" uri="{C3380CC4-5D6E-409C-BE32-E72D297353CC}">
                  <c16:uniqueId val="{00000011-51E5-4833-A55D-C8AFBD876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Data!$B$25:$V$25</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Data!$B$26:$V$26</c:f>
              <c:numCache>
                <c:formatCode>#,##0.00</c:formatCode>
                <c:ptCount val="21"/>
                <c:pt idx="0">
                  <c:v>356.17845276988112</c:v>
                </c:pt>
                <c:pt idx="1">
                  <c:v>358.91890023294047</c:v>
                </c:pt>
                <c:pt idx="2">
                  <c:v>361.6804327791636</c:v>
                </c:pt>
                <c:pt idx="3">
                  <c:v>364.46321263779879</c:v>
                </c:pt>
                <c:pt idx="4">
                  <c:v>367.26740328629097</c:v>
                </c:pt>
                <c:pt idx="5">
                  <c:v>370.09316945988536</c:v>
                </c:pt>
                <c:pt idx="6">
                  <c:v>372.9406771613049</c:v>
                </c:pt>
                <c:pt idx="7">
                  <c:v>375.81009367050245</c:v>
                </c:pt>
                <c:pt idx="8">
                  <c:v>378.70158755448767</c:v>
                </c:pt>
                <c:pt idx="9">
                  <c:v>381.61532867722974</c:v>
                </c:pt>
                <c:pt idx="10">
                  <c:v>384.55148820963586</c:v>
                </c:pt>
                <c:pt idx="11">
                  <c:v>383.5598491536939</c:v>
                </c:pt>
                <c:pt idx="12">
                  <c:v>382.57076722741448</c:v>
                </c:pt>
                <c:pt idx="13">
                  <c:v>381.58423583675301</c:v>
                </c:pt>
                <c:pt idx="14">
                  <c:v>380.600248404669</c:v>
                </c:pt>
                <c:pt idx="15">
                  <c:v>379.61879837108199</c:v>
                </c:pt>
                <c:pt idx="16">
                  <c:v>378.639879192828</c:v>
                </c:pt>
                <c:pt idx="17">
                  <c:v>377.66348434361589</c:v>
                </c:pt>
                <c:pt idx="18">
                  <c:v>376.68960731398369</c:v>
                </c:pt>
                <c:pt idx="19">
                  <c:v>375.71824161125534</c:v>
                </c:pt>
                <c:pt idx="20">
                  <c:v>374.74938075949734</c:v>
                </c:pt>
              </c:numCache>
            </c:numRef>
          </c:val>
          <c:smooth val="0"/>
          <c:extLst>
            <c:ext xmlns:c16="http://schemas.microsoft.com/office/drawing/2014/chart" uri="{C3380CC4-5D6E-409C-BE32-E72D297353CC}">
              <c16:uniqueId val="{00000012-51E5-4833-A55D-C8AFBD876C96}"/>
            </c:ext>
          </c:extLst>
        </c:ser>
        <c:ser>
          <c:idx val="2"/>
          <c:order val="1"/>
          <c:tx>
            <c:strRef>
              <c:f>Data!$A$27</c:f>
              <c:strCache>
                <c:ptCount val="1"/>
                <c:pt idx="0">
                  <c:v>Neposredna potrošnja energije - S3</c:v>
                </c:pt>
              </c:strCache>
            </c:strRef>
          </c:tx>
          <c:spPr>
            <a:ln w="22225" cap="rnd">
              <a:solidFill>
                <a:schemeClr val="accent4">
                  <a:lumMod val="50000"/>
                </a:schemeClr>
              </a:solidFill>
              <a:round/>
            </a:ln>
            <a:effectLst/>
          </c:spPr>
          <c:marker>
            <c:symbol val="triangle"/>
            <c:size val="6"/>
            <c:spPr>
              <a:solidFill>
                <a:schemeClr val="accent4">
                  <a:lumMod val="50000"/>
                </a:schemeClr>
              </a:solidFill>
              <a:ln w="9525">
                <a:solidFill>
                  <a:schemeClr val="accent4">
                    <a:lumMod val="50000"/>
                  </a:schemeClr>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1E5-4833-A55D-C8AFBD876C96}"/>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1E5-4833-A55D-C8AFBD876C96}"/>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1E5-4833-A55D-C8AFBD876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Data!$B$25:$V$25</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Data!$B$27:$V$27</c:f>
              <c:numCache>
                <c:formatCode>#,##0.00</c:formatCode>
                <c:ptCount val="21"/>
                <c:pt idx="0">
                  <c:v>281.66071328152469</c:v>
                </c:pt>
                <c:pt idx="1">
                  <c:v>283.22191256113632</c:v>
                </c:pt>
                <c:pt idx="2">
                  <c:v>284.79176531308445</c:v>
                </c:pt>
                <c:pt idx="3">
                  <c:v>286.37031950215135</c:v>
                </c:pt>
                <c:pt idx="4">
                  <c:v>287.95762335898013</c:v>
                </c:pt>
                <c:pt idx="5">
                  <c:v>289.55372538154859</c:v>
                </c:pt>
                <c:pt idx="6">
                  <c:v>291.15867433665085</c:v>
                </c:pt>
                <c:pt idx="7">
                  <c:v>292.77251926138734</c:v>
                </c:pt>
                <c:pt idx="8">
                  <c:v>294.39530946466323</c:v>
                </c:pt>
                <c:pt idx="9">
                  <c:v>296.02709452869482</c:v>
                </c:pt>
                <c:pt idx="10">
                  <c:v>297.66792431052465</c:v>
                </c:pt>
                <c:pt idx="11">
                  <c:v>296.36405688846401</c:v>
                </c:pt>
                <c:pt idx="12">
                  <c:v>295.06590076451602</c:v>
                </c:pt>
                <c:pt idx="13">
                  <c:v>293.77343092162329</c:v>
                </c:pt>
                <c:pt idx="14">
                  <c:v>292.48662245231003</c:v>
                </c:pt>
                <c:pt idx="15">
                  <c:v>291.20545055820202</c:v>
                </c:pt>
                <c:pt idx="16">
                  <c:v>289.92989054954876</c:v>
                </c:pt>
                <c:pt idx="17">
                  <c:v>288.65991784474767</c:v>
                </c:pt>
                <c:pt idx="18">
                  <c:v>287.39550796987032</c:v>
                </c:pt>
                <c:pt idx="19">
                  <c:v>286.13663655819084</c:v>
                </c:pt>
                <c:pt idx="20">
                  <c:v>284.8832793497163</c:v>
                </c:pt>
              </c:numCache>
            </c:numRef>
          </c:val>
          <c:smooth val="0"/>
          <c:extLst>
            <c:ext xmlns:c16="http://schemas.microsoft.com/office/drawing/2014/chart" uri="{C3380CC4-5D6E-409C-BE32-E72D297353CC}">
              <c16:uniqueId val="{00000016-51E5-4833-A55D-C8AFBD876C96}"/>
            </c:ext>
          </c:extLst>
        </c:ser>
        <c:dLbls>
          <c:showLegendKey val="0"/>
          <c:showVal val="0"/>
          <c:showCatName val="0"/>
          <c:showSerName val="0"/>
          <c:showPercent val="0"/>
          <c:showBubbleSize val="0"/>
        </c:dLbls>
        <c:marker val="1"/>
        <c:smooth val="0"/>
        <c:axId val="719437464"/>
        <c:axId val="719438448"/>
      </c:lineChart>
      <c:catAx>
        <c:axId val="7194374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Godina</a:t>
                </a:r>
                <a:endParaRPr lang="hr-H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719438448"/>
        <c:crossesAt val="250"/>
        <c:auto val="1"/>
        <c:lblAlgn val="ctr"/>
        <c:lblOffset val="100"/>
        <c:noMultiLvlLbl val="0"/>
      </c:catAx>
      <c:valAx>
        <c:axId val="719438448"/>
        <c:scaling>
          <c:orientation val="minMax"/>
          <c:max val="400"/>
          <c:min val="25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PJ</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943746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0C07A3557FB58408C384EA4F761FC1E" ma:contentTypeVersion="4" ma:contentTypeDescription="Stvaranje novog dokumenta." ma:contentTypeScope="" ma:versionID="d8df6d23ee6a5f83aa11e07a1ef644fb">
  <xsd:schema xmlns:xsd="http://www.w3.org/2001/XMLSchema" xmlns:xs="http://www.w3.org/2001/XMLSchema" xmlns:p="http://schemas.microsoft.com/office/2006/metadata/properties" xmlns:ns2="82eea5c3-ee87-4049-adec-d89b69c56c15" xmlns:ns3="e9128a08-07ed-48b2-a100-69e70ef14da1" targetNamespace="http://schemas.microsoft.com/office/2006/metadata/properties" ma:root="true" ma:fieldsID="227ae80580e4fd8ad066968b91f1cddb" ns2:_="" ns3:_="">
    <xsd:import namespace="82eea5c3-ee87-4049-adec-d89b69c56c15"/>
    <xsd:import namespace="e9128a08-07ed-48b2-a100-69e70ef14d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ea5c3-ee87-4049-adec-d89b69c56c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28a08-07ed-48b2-a100-69e70ef14da1"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17A660-AC7C-4094-AD7E-86DBDD467B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FA2462-4413-44FD-9677-D4F245C4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ea5c3-ee87-4049-adec-d89b69c56c15"/>
    <ds:schemaRef ds:uri="e9128a08-07ed-48b2-a100-69e70ef14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53193-5529-4228-8B3F-CECF2248FF3E}">
  <ds:schemaRefs>
    <ds:schemaRef ds:uri="http://schemas.openxmlformats.org/officeDocument/2006/bibliography"/>
  </ds:schemaRefs>
</ds:datastoreItem>
</file>

<file path=customXml/itemProps4.xml><?xml version="1.0" encoding="utf-8"?>
<ds:datastoreItem xmlns:ds="http://schemas.openxmlformats.org/officeDocument/2006/customXml" ds:itemID="{FE98DFF2-1367-41CF-B43A-3C4ABDE912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49629</Words>
  <Characters>282886</Characters>
  <Application>Microsoft Office Word</Application>
  <DocSecurity>4</DocSecurity>
  <Lines>2357</Lines>
  <Paragraphs>663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331852</CharactersWithSpaces>
  <SharedDoc>false</SharedDoc>
  <HLinks>
    <vt:vector size="600" baseType="variant">
      <vt:variant>
        <vt:i4>7995443</vt:i4>
      </vt:variant>
      <vt:variant>
        <vt:i4>1383</vt:i4>
      </vt:variant>
      <vt:variant>
        <vt:i4>0</vt:i4>
      </vt:variant>
      <vt:variant>
        <vt:i4>5</vt:i4>
      </vt:variant>
      <vt:variant>
        <vt:lpwstr>https://mzoe.hr/hr/energetika/energetska-politika-i-planiranje.html</vt:lpwstr>
      </vt:variant>
      <vt:variant>
        <vt:lpwstr/>
      </vt:variant>
      <vt:variant>
        <vt:i4>1966132</vt:i4>
      </vt:variant>
      <vt:variant>
        <vt:i4>1376</vt:i4>
      </vt:variant>
      <vt:variant>
        <vt:i4>0</vt:i4>
      </vt:variant>
      <vt:variant>
        <vt:i4>5</vt:i4>
      </vt:variant>
      <vt:variant>
        <vt:lpwstr/>
      </vt:variant>
      <vt:variant>
        <vt:lpwstr>_Toc531935367</vt:lpwstr>
      </vt:variant>
      <vt:variant>
        <vt:i4>1966132</vt:i4>
      </vt:variant>
      <vt:variant>
        <vt:i4>1370</vt:i4>
      </vt:variant>
      <vt:variant>
        <vt:i4>0</vt:i4>
      </vt:variant>
      <vt:variant>
        <vt:i4>5</vt:i4>
      </vt:variant>
      <vt:variant>
        <vt:lpwstr/>
      </vt:variant>
      <vt:variant>
        <vt:lpwstr>_Toc531935366</vt:lpwstr>
      </vt:variant>
      <vt:variant>
        <vt:i4>1966132</vt:i4>
      </vt:variant>
      <vt:variant>
        <vt:i4>1364</vt:i4>
      </vt:variant>
      <vt:variant>
        <vt:i4>0</vt:i4>
      </vt:variant>
      <vt:variant>
        <vt:i4>5</vt:i4>
      </vt:variant>
      <vt:variant>
        <vt:lpwstr/>
      </vt:variant>
      <vt:variant>
        <vt:lpwstr>_Toc531935365</vt:lpwstr>
      </vt:variant>
      <vt:variant>
        <vt:i4>1966132</vt:i4>
      </vt:variant>
      <vt:variant>
        <vt:i4>1358</vt:i4>
      </vt:variant>
      <vt:variant>
        <vt:i4>0</vt:i4>
      </vt:variant>
      <vt:variant>
        <vt:i4>5</vt:i4>
      </vt:variant>
      <vt:variant>
        <vt:lpwstr/>
      </vt:variant>
      <vt:variant>
        <vt:lpwstr>_Toc531935364</vt:lpwstr>
      </vt:variant>
      <vt:variant>
        <vt:i4>1966132</vt:i4>
      </vt:variant>
      <vt:variant>
        <vt:i4>1352</vt:i4>
      </vt:variant>
      <vt:variant>
        <vt:i4>0</vt:i4>
      </vt:variant>
      <vt:variant>
        <vt:i4>5</vt:i4>
      </vt:variant>
      <vt:variant>
        <vt:lpwstr/>
      </vt:variant>
      <vt:variant>
        <vt:lpwstr>_Toc531935363</vt:lpwstr>
      </vt:variant>
      <vt:variant>
        <vt:i4>1966132</vt:i4>
      </vt:variant>
      <vt:variant>
        <vt:i4>1346</vt:i4>
      </vt:variant>
      <vt:variant>
        <vt:i4>0</vt:i4>
      </vt:variant>
      <vt:variant>
        <vt:i4>5</vt:i4>
      </vt:variant>
      <vt:variant>
        <vt:lpwstr/>
      </vt:variant>
      <vt:variant>
        <vt:lpwstr>_Toc531935362</vt:lpwstr>
      </vt:variant>
      <vt:variant>
        <vt:i4>1966132</vt:i4>
      </vt:variant>
      <vt:variant>
        <vt:i4>1340</vt:i4>
      </vt:variant>
      <vt:variant>
        <vt:i4>0</vt:i4>
      </vt:variant>
      <vt:variant>
        <vt:i4>5</vt:i4>
      </vt:variant>
      <vt:variant>
        <vt:lpwstr/>
      </vt:variant>
      <vt:variant>
        <vt:lpwstr>_Toc531935361</vt:lpwstr>
      </vt:variant>
      <vt:variant>
        <vt:i4>1966132</vt:i4>
      </vt:variant>
      <vt:variant>
        <vt:i4>1334</vt:i4>
      </vt:variant>
      <vt:variant>
        <vt:i4>0</vt:i4>
      </vt:variant>
      <vt:variant>
        <vt:i4>5</vt:i4>
      </vt:variant>
      <vt:variant>
        <vt:lpwstr/>
      </vt:variant>
      <vt:variant>
        <vt:lpwstr>_Toc531935360</vt:lpwstr>
      </vt:variant>
      <vt:variant>
        <vt:i4>1900596</vt:i4>
      </vt:variant>
      <vt:variant>
        <vt:i4>1328</vt:i4>
      </vt:variant>
      <vt:variant>
        <vt:i4>0</vt:i4>
      </vt:variant>
      <vt:variant>
        <vt:i4>5</vt:i4>
      </vt:variant>
      <vt:variant>
        <vt:lpwstr/>
      </vt:variant>
      <vt:variant>
        <vt:lpwstr>_Toc531935359</vt:lpwstr>
      </vt:variant>
      <vt:variant>
        <vt:i4>1900596</vt:i4>
      </vt:variant>
      <vt:variant>
        <vt:i4>1322</vt:i4>
      </vt:variant>
      <vt:variant>
        <vt:i4>0</vt:i4>
      </vt:variant>
      <vt:variant>
        <vt:i4>5</vt:i4>
      </vt:variant>
      <vt:variant>
        <vt:lpwstr/>
      </vt:variant>
      <vt:variant>
        <vt:lpwstr>_Toc531935358</vt:lpwstr>
      </vt:variant>
      <vt:variant>
        <vt:i4>1900596</vt:i4>
      </vt:variant>
      <vt:variant>
        <vt:i4>1316</vt:i4>
      </vt:variant>
      <vt:variant>
        <vt:i4>0</vt:i4>
      </vt:variant>
      <vt:variant>
        <vt:i4>5</vt:i4>
      </vt:variant>
      <vt:variant>
        <vt:lpwstr/>
      </vt:variant>
      <vt:variant>
        <vt:lpwstr>_Toc531935357</vt:lpwstr>
      </vt:variant>
      <vt:variant>
        <vt:i4>1900596</vt:i4>
      </vt:variant>
      <vt:variant>
        <vt:i4>1310</vt:i4>
      </vt:variant>
      <vt:variant>
        <vt:i4>0</vt:i4>
      </vt:variant>
      <vt:variant>
        <vt:i4>5</vt:i4>
      </vt:variant>
      <vt:variant>
        <vt:lpwstr/>
      </vt:variant>
      <vt:variant>
        <vt:lpwstr>_Toc531935356</vt:lpwstr>
      </vt:variant>
      <vt:variant>
        <vt:i4>1900596</vt:i4>
      </vt:variant>
      <vt:variant>
        <vt:i4>1304</vt:i4>
      </vt:variant>
      <vt:variant>
        <vt:i4>0</vt:i4>
      </vt:variant>
      <vt:variant>
        <vt:i4>5</vt:i4>
      </vt:variant>
      <vt:variant>
        <vt:lpwstr/>
      </vt:variant>
      <vt:variant>
        <vt:lpwstr>_Toc531935355</vt:lpwstr>
      </vt:variant>
      <vt:variant>
        <vt:i4>1900596</vt:i4>
      </vt:variant>
      <vt:variant>
        <vt:i4>1298</vt:i4>
      </vt:variant>
      <vt:variant>
        <vt:i4>0</vt:i4>
      </vt:variant>
      <vt:variant>
        <vt:i4>5</vt:i4>
      </vt:variant>
      <vt:variant>
        <vt:lpwstr/>
      </vt:variant>
      <vt:variant>
        <vt:lpwstr>_Toc531935354</vt:lpwstr>
      </vt:variant>
      <vt:variant>
        <vt:i4>1900596</vt:i4>
      </vt:variant>
      <vt:variant>
        <vt:i4>1292</vt:i4>
      </vt:variant>
      <vt:variant>
        <vt:i4>0</vt:i4>
      </vt:variant>
      <vt:variant>
        <vt:i4>5</vt:i4>
      </vt:variant>
      <vt:variant>
        <vt:lpwstr/>
      </vt:variant>
      <vt:variant>
        <vt:lpwstr>_Toc531935353</vt:lpwstr>
      </vt:variant>
      <vt:variant>
        <vt:i4>1900596</vt:i4>
      </vt:variant>
      <vt:variant>
        <vt:i4>1286</vt:i4>
      </vt:variant>
      <vt:variant>
        <vt:i4>0</vt:i4>
      </vt:variant>
      <vt:variant>
        <vt:i4>5</vt:i4>
      </vt:variant>
      <vt:variant>
        <vt:lpwstr/>
      </vt:variant>
      <vt:variant>
        <vt:lpwstr>_Toc531935352</vt:lpwstr>
      </vt:variant>
      <vt:variant>
        <vt:i4>1900596</vt:i4>
      </vt:variant>
      <vt:variant>
        <vt:i4>1280</vt:i4>
      </vt:variant>
      <vt:variant>
        <vt:i4>0</vt:i4>
      </vt:variant>
      <vt:variant>
        <vt:i4>5</vt:i4>
      </vt:variant>
      <vt:variant>
        <vt:lpwstr/>
      </vt:variant>
      <vt:variant>
        <vt:lpwstr>_Toc531935351</vt:lpwstr>
      </vt:variant>
      <vt:variant>
        <vt:i4>1900596</vt:i4>
      </vt:variant>
      <vt:variant>
        <vt:i4>1274</vt:i4>
      </vt:variant>
      <vt:variant>
        <vt:i4>0</vt:i4>
      </vt:variant>
      <vt:variant>
        <vt:i4>5</vt:i4>
      </vt:variant>
      <vt:variant>
        <vt:lpwstr/>
      </vt:variant>
      <vt:variant>
        <vt:lpwstr>_Toc531935350</vt:lpwstr>
      </vt:variant>
      <vt:variant>
        <vt:i4>1835060</vt:i4>
      </vt:variant>
      <vt:variant>
        <vt:i4>1268</vt:i4>
      </vt:variant>
      <vt:variant>
        <vt:i4>0</vt:i4>
      </vt:variant>
      <vt:variant>
        <vt:i4>5</vt:i4>
      </vt:variant>
      <vt:variant>
        <vt:lpwstr/>
      </vt:variant>
      <vt:variant>
        <vt:lpwstr>_Toc531935349</vt:lpwstr>
      </vt:variant>
      <vt:variant>
        <vt:i4>1835060</vt:i4>
      </vt:variant>
      <vt:variant>
        <vt:i4>1262</vt:i4>
      </vt:variant>
      <vt:variant>
        <vt:i4>0</vt:i4>
      </vt:variant>
      <vt:variant>
        <vt:i4>5</vt:i4>
      </vt:variant>
      <vt:variant>
        <vt:lpwstr/>
      </vt:variant>
      <vt:variant>
        <vt:lpwstr>_Toc531935348</vt:lpwstr>
      </vt:variant>
      <vt:variant>
        <vt:i4>1835060</vt:i4>
      </vt:variant>
      <vt:variant>
        <vt:i4>1256</vt:i4>
      </vt:variant>
      <vt:variant>
        <vt:i4>0</vt:i4>
      </vt:variant>
      <vt:variant>
        <vt:i4>5</vt:i4>
      </vt:variant>
      <vt:variant>
        <vt:lpwstr/>
      </vt:variant>
      <vt:variant>
        <vt:lpwstr>_Toc531935347</vt:lpwstr>
      </vt:variant>
      <vt:variant>
        <vt:i4>1835060</vt:i4>
      </vt:variant>
      <vt:variant>
        <vt:i4>1250</vt:i4>
      </vt:variant>
      <vt:variant>
        <vt:i4>0</vt:i4>
      </vt:variant>
      <vt:variant>
        <vt:i4>5</vt:i4>
      </vt:variant>
      <vt:variant>
        <vt:lpwstr/>
      </vt:variant>
      <vt:variant>
        <vt:lpwstr>_Toc531935346</vt:lpwstr>
      </vt:variant>
      <vt:variant>
        <vt:i4>1835060</vt:i4>
      </vt:variant>
      <vt:variant>
        <vt:i4>1244</vt:i4>
      </vt:variant>
      <vt:variant>
        <vt:i4>0</vt:i4>
      </vt:variant>
      <vt:variant>
        <vt:i4>5</vt:i4>
      </vt:variant>
      <vt:variant>
        <vt:lpwstr/>
      </vt:variant>
      <vt:variant>
        <vt:lpwstr>_Toc531935345</vt:lpwstr>
      </vt:variant>
      <vt:variant>
        <vt:i4>1835060</vt:i4>
      </vt:variant>
      <vt:variant>
        <vt:i4>1238</vt:i4>
      </vt:variant>
      <vt:variant>
        <vt:i4>0</vt:i4>
      </vt:variant>
      <vt:variant>
        <vt:i4>5</vt:i4>
      </vt:variant>
      <vt:variant>
        <vt:lpwstr/>
      </vt:variant>
      <vt:variant>
        <vt:lpwstr>_Toc531935344</vt:lpwstr>
      </vt:variant>
      <vt:variant>
        <vt:i4>1835060</vt:i4>
      </vt:variant>
      <vt:variant>
        <vt:i4>1232</vt:i4>
      </vt:variant>
      <vt:variant>
        <vt:i4>0</vt:i4>
      </vt:variant>
      <vt:variant>
        <vt:i4>5</vt:i4>
      </vt:variant>
      <vt:variant>
        <vt:lpwstr/>
      </vt:variant>
      <vt:variant>
        <vt:lpwstr>_Toc531935343</vt:lpwstr>
      </vt:variant>
      <vt:variant>
        <vt:i4>1835060</vt:i4>
      </vt:variant>
      <vt:variant>
        <vt:i4>1226</vt:i4>
      </vt:variant>
      <vt:variant>
        <vt:i4>0</vt:i4>
      </vt:variant>
      <vt:variant>
        <vt:i4>5</vt:i4>
      </vt:variant>
      <vt:variant>
        <vt:lpwstr/>
      </vt:variant>
      <vt:variant>
        <vt:lpwstr>_Toc531935342</vt:lpwstr>
      </vt:variant>
      <vt:variant>
        <vt:i4>1835060</vt:i4>
      </vt:variant>
      <vt:variant>
        <vt:i4>1220</vt:i4>
      </vt:variant>
      <vt:variant>
        <vt:i4>0</vt:i4>
      </vt:variant>
      <vt:variant>
        <vt:i4>5</vt:i4>
      </vt:variant>
      <vt:variant>
        <vt:lpwstr/>
      </vt:variant>
      <vt:variant>
        <vt:lpwstr>_Toc531935341</vt:lpwstr>
      </vt:variant>
      <vt:variant>
        <vt:i4>1835060</vt:i4>
      </vt:variant>
      <vt:variant>
        <vt:i4>1214</vt:i4>
      </vt:variant>
      <vt:variant>
        <vt:i4>0</vt:i4>
      </vt:variant>
      <vt:variant>
        <vt:i4>5</vt:i4>
      </vt:variant>
      <vt:variant>
        <vt:lpwstr/>
      </vt:variant>
      <vt:variant>
        <vt:lpwstr>_Toc531935340</vt:lpwstr>
      </vt:variant>
      <vt:variant>
        <vt:i4>1769524</vt:i4>
      </vt:variant>
      <vt:variant>
        <vt:i4>1208</vt:i4>
      </vt:variant>
      <vt:variant>
        <vt:i4>0</vt:i4>
      </vt:variant>
      <vt:variant>
        <vt:i4>5</vt:i4>
      </vt:variant>
      <vt:variant>
        <vt:lpwstr/>
      </vt:variant>
      <vt:variant>
        <vt:lpwstr>_Toc531935339</vt:lpwstr>
      </vt:variant>
      <vt:variant>
        <vt:i4>1769524</vt:i4>
      </vt:variant>
      <vt:variant>
        <vt:i4>1202</vt:i4>
      </vt:variant>
      <vt:variant>
        <vt:i4>0</vt:i4>
      </vt:variant>
      <vt:variant>
        <vt:i4>5</vt:i4>
      </vt:variant>
      <vt:variant>
        <vt:lpwstr/>
      </vt:variant>
      <vt:variant>
        <vt:lpwstr>_Toc531935338</vt:lpwstr>
      </vt:variant>
      <vt:variant>
        <vt:i4>1769524</vt:i4>
      </vt:variant>
      <vt:variant>
        <vt:i4>1196</vt:i4>
      </vt:variant>
      <vt:variant>
        <vt:i4>0</vt:i4>
      </vt:variant>
      <vt:variant>
        <vt:i4>5</vt:i4>
      </vt:variant>
      <vt:variant>
        <vt:lpwstr/>
      </vt:variant>
      <vt:variant>
        <vt:lpwstr>_Toc531935337</vt:lpwstr>
      </vt:variant>
      <vt:variant>
        <vt:i4>1769524</vt:i4>
      </vt:variant>
      <vt:variant>
        <vt:i4>1190</vt:i4>
      </vt:variant>
      <vt:variant>
        <vt:i4>0</vt:i4>
      </vt:variant>
      <vt:variant>
        <vt:i4>5</vt:i4>
      </vt:variant>
      <vt:variant>
        <vt:lpwstr/>
      </vt:variant>
      <vt:variant>
        <vt:lpwstr>_Toc531935336</vt:lpwstr>
      </vt:variant>
      <vt:variant>
        <vt:i4>1769524</vt:i4>
      </vt:variant>
      <vt:variant>
        <vt:i4>1184</vt:i4>
      </vt:variant>
      <vt:variant>
        <vt:i4>0</vt:i4>
      </vt:variant>
      <vt:variant>
        <vt:i4>5</vt:i4>
      </vt:variant>
      <vt:variant>
        <vt:lpwstr/>
      </vt:variant>
      <vt:variant>
        <vt:lpwstr>_Toc531935335</vt:lpwstr>
      </vt:variant>
      <vt:variant>
        <vt:i4>1769524</vt:i4>
      </vt:variant>
      <vt:variant>
        <vt:i4>1178</vt:i4>
      </vt:variant>
      <vt:variant>
        <vt:i4>0</vt:i4>
      </vt:variant>
      <vt:variant>
        <vt:i4>5</vt:i4>
      </vt:variant>
      <vt:variant>
        <vt:lpwstr/>
      </vt:variant>
      <vt:variant>
        <vt:lpwstr>_Toc531935334</vt:lpwstr>
      </vt:variant>
      <vt:variant>
        <vt:i4>1769524</vt:i4>
      </vt:variant>
      <vt:variant>
        <vt:i4>1172</vt:i4>
      </vt:variant>
      <vt:variant>
        <vt:i4>0</vt:i4>
      </vt:variant>
      <vt:variant>
        <vt:i4>5</vt:i4>
      </vt:variant>
      <vt:variant>
        <vt:lpwstr/>
      </vt:variant>
      <vt:variant>
        <vt:lpwstr>_Toc531935333</vt:lpwstr>
      </vt:variant>
      <vt:variant>
        <vt:i4>1769524</vt:i4>
      </vt:variant>
      <vt:variant>
        <vt:i4>1166</vt:i4>
      </vt:variant>
      <vt:variant>
        <vt:i4>0</vt:i4>
      </vt:variant>
      <vt:variant>
        <vt:i4>5</vt:i4>
      </vt:variant>
      <vt:variant>
        <vt:lpwstr/>
      </vt:variant>
      <vt:variant>
        <vt:lpwstr>_Toc531935332</vt:lpwstr>
      </vt:variant>
      <vt:variant>
        <vt:i4>1769524</vt:i4>
      </vt:variant>
      <vt:variant>
        <vt:i4>1160</vt:i4>
      </vt:variant>
      <vt:variant>
        <vt:i4>0</vt:i4>
      </vt:variant>
      <vt:variant>
        <vt:i4>5</vt:i4>
      </vt:variant>
      <vt:variant>
        <vt:lpwstr/>
      </vt:variant>
      <vt:variant>
        <vt:lpwstr>_Toc531935331</vt:lpwstr>
      </vt:variant>
      <vt:variant>
        <vt:i4>1769524</vt:i4>
      </vt:variant>
      <vt:variant>
        <vt:i4>1154</vt:i4>
      </vt:variant>
      <vt:variant>
        <vt:i4>0</vt:i4>
      </vt:variant>
      <vt:variant>
        <vt:i4>5</vt:i4>
      </vt:variant>
      <vt:variant>
        <vt:lpwstr/>
      </vt:variant>
      <vt:variant>
        <vt:lpwstr>_Toc531935330</vt:lpwstr>
      </vt:variant>
      <vt:variant>
        <vt:i4>1703988</vt:i4>
      </vt:variant>
      <vt:variant>
        <vt:i4>1148</vt:i4>
      </vt:variant>
      <vt:variant>
        <vt:i4>0</vt:i4>
      </vt:variant>
      <vt:variant>
        <vt:i4>5</vt:i4>
      </vt:variant>
      <vt:variant>
        <vt:lpwstr/>
      </vt:variant>
      <vt:variant>
        <vt:lpwstr>_Toc531935329</vt:lpwstr>
      </vt:variant>
      <vt:variant>
        <vt:i4>1703988</vt:i4>
      </vt:variant>
      <vt:variant>
        <vt:i4>1142</vt:i4>
      </vt:variant>
      <vt:variant>
        <vt:i4>0</vt:i4>
      </vt:variant>
      <vt:variant>
        <vt:i4>5</vt:i4>
      </vt:variant>
      <vt:variant>
        <vt:lpwstr/>
      </vt:variant>
      <vt:variant>
        <vt:lpwstr>_Toc531935328</vt:lpwstr>
      </vt:variant>
      <vt:variant>
        <vt:i4>1703988</vt:i4>
      </vt:variant>
      <vt:variant>
        <vt:i4>1136</vt:i4>
      </vt:variant>
      <vt:variant>
        <vt:i4>0</vt:i4>
      </vt:variant>
      <vt:variant>
        <vt:i4>5</vt:i4>
      </vt:variant>
      <vt:variant>
        <vt:lpwstr/>
      </vt:variant>
      <vt:variant>
        <vt:lpwstr>_Toc531935327</vt:lpwstr>
      </vt:variant>
      <vt:variant>
        <vt:i4>1703988</vt:i4>
      </vt:variant>
      <vt:variant>
        <vt:i4>1130</vt:i4>
      </vt:variant>
      <vt:variant>
        <vt:i4>0</vt:i4>
      </vt:variant>
      <vt:variant>
        <vt:i4>5</vt:i4>
      </vt:variant>
      <vt:variant>
        <vt:lpwstr/>
      </vt:variant>
      <vt:variant>
        <vt:lpwstr>_Toc531935326</vt:lpwstr>
      </vt:variant>
      <vt:variant>
        <vt:i4>1703988</vt:i4>
      </vt:variant>
      <vt:variant>
        <vt:i4>1124</vt:i4>
      </vt:variant>
      <vt:variant>
        <vt:i4>0</vt:i4>
      </vt:variant>
      <vt:variant>
        <vt:i4>5</vt:i4>
      </vt:variant>
      <vt:variant>
        <vt:lpwstr/>
      </vt:variant>
      <vt:variant>
        <vt:lpwstr>_Toc531935325</vt:lpwstr>
      </vt:variant>
      <vt:variant>
        <vt:i4>1703988</vt:i4>
      </vt:variant>
      <vt:variant>
        <vt:i4>1118</vt:i4>
      </vt:variant>
      <vt:variant>
        <vt:i4>0</vt:i4>
      </vt:variant>
      <vt:variant>
        <vt:i4>5</vt:i4>
      </vt:variant>
      <vt:variant>
        <vt:lpwstr/>
      </vt:variant>
      <vt:variant>
        <vt:lpwstr>_Toc531935324</vt:lpwstr>
      </vt:variant>
      <vt:variant>
        <vt:i4>1703988</vt:i4>
      </vt:variant>
      <vt:variant>
        <vt:i4>1112</vt:i4>
      </vt:variant>
      <vt:variant>
        <vt:i4>0</vt:i4>
      </vt:variant>
      <vt:variant>
        <vt:i4>5</vt:i4>
      </vt:variant>
      <vt:variant>
        <vt:lpwstr/>
      </vt:variant>
      <vt:variant>
        <vt:lpwstr>_Toc531935323</vt:lpwstr>
      </vt:variant>
      <vt:variant>
        <vt:i4>1703988</vt:i4>
      </vt:variant>
      <vt:variant>
        <vt:i4>1106</vt:i4>
      </vt:variant>
      <vt:variant>
        <vt:i4>0</vt:i4>
      </vt:variant>
      <vt:variant>
        <vt:i4>5</vt:i4>
      </vt:variant>
      <vt:variant>
        <vt:lpwstr/>
      </vt:variant>
      <vt:variant>
        <vt:lpwstr>_Toc531935322</vt:lpwstr>
      </vt:variant>
      <vt:variant>
        <vt:i4>1703988</vt:i4>
      </vt:variant>
      <vt:variant>
        <vt:i4>1100</vt:i4>
      </vt:variant>
      <vt:variant>
        <vt:i4>0</vt:i4>
      </vt:variant>
      <vt:variant>
        <vt:i4>5</vt:i4>
      </vt:variant>
      <vt:variant>
        <vt:lpwstr/>
      </vt:variant>
      <vt:variant>
        <vt:lpwstr>_Toc531935321</vt:lpwstr>
      </vt:variant>
      <vt:variant>
        <vt:i4>1703988</vt:i4>
      </vt:variant>
      <vt:variant>
        <vt:i4>1091</vt:i4>
      </vt:variant>
      <vt:variant>
        <vt:i4>0</vt:i4>
      </vt:variant>
      <vt:variant>
        <vt:i4>5</vt:i4>
      </vt:variant>
      <vt:variant>
        <vt:lpwstr/>
      </vt:variant>
      <vt:variant>
        <vt:lpwstr>_Toc531935320</vt:lpwstr>
      </vt:variant>
      <vt:variant>
        <vt:i4>1638452</vt:i4>
      </vt:variant>
      <vt:variant>
        <vt:i4>1085</vt:i4>
      </vt:variant>
      <vt:variant>
        <vt:i4>0</vt:i4>
      </vt:variant>
      <vt:variant>
        <vt:i4>5</vt:i4>
      </vt:variant>
      <vt:variant>
        <vt:lpwstr/>
      </vt:variant>
      <vt:variant>
        <vt:lpwstr>_Toc531935319</vt:lpwstr>
      </vt:variant>
      <vt:variant>
        <vt:i4>1638452</vt:i4>
      </vt:variant>
      <vt:variant>
        <vt:i4>1079</vt:i4>
      </vt:variant>
      <vt:variant>
        <vt:i4>0</vt:i4>
      </vt:variant>
      <vt:variant>
        <vt:i4>5</vt:i4>
      </vt:variant>
      <vt:variant>
        <vt:lpwstr/>
      </vt:variant>
      <vt:variant>
        <vt:lpwstr>_Toc531935318</vt:lpwstr>
      </vt:variant>
      <vt:variant>
        <vt:i4>1638452</vt:i4>
      </vt:variant>
      <vt:variant>
        <vt:i4>1073</vt:i4>
      </vt:variant>
      <vt:variant>
        <vt:i4>0</vt:i4>
      </vt:variant>
      <vt:variant>
        <vt:i4>5</vt:i4>
      </vt:variant>
      <vt:variant>
        <vt:lpwstr/>
      </vt:variant>
      <vt:variant>
        <vt:lpwstr>_Toc531935317</vt:lpwstr>
      </vt:variant>
      <vt:variant>
        <vt:i4>1638452</vt:i4>
      </vt:variant>
      <vt:variant>
        <vt:i4>1067</vt:i4>
      </vt:variant>
      <vt:variant>
        <vt:i4>0</vt:i4>
      </vt:variant>
      <vt:variant>
        <vt:i4>5</vt:i4>
      </vt:variant>
      <vt:variant>
        <vt:lpwstr/>
      </vt:variant>
      <vt:variant>
        <vt:lpwstr>_Toc531935316</vt:lpwstr>
      </vt:variant>
      <vt:variant>
        <vt:i4>1638452</vt:i4>
      </vt:variant>
      <vt:variant>
        <vt:i4>1061</vt:i4>
      </vt:variant>
      <vt:variant>
        <vt:i4>0</vt:i4>
      </vt:variant>
      <vt:variant>
        <vt:i4>5</vt:i4>
      </vt:variant>
      <vt:variant>
        <vt:lpwstr/>
      </vt:variant>
      <vt:variant>
        <vt:lpwstr>_Toc531935315</vt:lpwstr>
      </vt:variant>
      <vt:variant>
        <vt:i4>1638452</vt:i4>
      </vt:variant>
      <vt:variant>
        <vt:i4>1055</vt:i4>
      </vt:variant>
      <vt:variant>
        <vt:i4>0</vt:i4>
      </vt:variant>
      <vt:variant>
        <vt:i4>5</vt:i4>
      </vt:variant>
      <vt:variant>
        <vt:lpwstr/>
      </vt:variant>
      <vt:variant>
        <vt:lpwstr>_Toc531935314</vt:lpwstr>
      </vt:variant>
      <vt:variant>
        <vt:i4>1638452</vt:i4>
      </vt:variant>
      <vt:variant>
        <vt:i4>1049</vt:i4>
      </vt:variant>
      <vt:variant>
        <vt:i4>0</vt:i4>
      </vt:variant>
      <vt:variant>
        <vt:i4>5</vt:i4>
      </vt:variant>
      <vt:variant>
        <vt:lpwstr/>
      </vt:variant>
      <vt:variant>
        <vt:lpwstr>_Toc531935313</vt:lpwstr>
      </vt:variant>
      <vt:variant>
        <vt:i4>1638452</vt:i4>
      </vt:variant>
      <vt:variant>
        <vt:i4>1043</vt:i4>
      </vt:variant>
      <vt:variant>
        <vt:i4>0</vt:i4>
      </vt:variant>
      <vt:variant>
        <vt:i4>5</vt:i4>
      </vt:variant>
      <vt:variant>
        <vt:lpwstr/>
      </vt:variant>
      <vt:variant>
        <vt:lpwstr>_Toc531935312</vt:lpwstr>
      </vt:variant>
      <vt:variant>
        <vt:i4>1638452</vt:i4>
      </vt:variant>
      <vt:variant>
        <vt:i4>1037</vt:i4>
      </vt:variant>
      <vt:variant>
        <vt:i4>0</vt:i4>
      </vt:variant>
      <vt:variant>
        <vt:i4>5</vt:i4>
      </vt:variant>
      <vt:variant>
        <vt:lpwstr/>
      </vt:variant>
      <vt:variant>
        <vt:lpwstr>_Toc531935311</vt:lpwstr>
      </vt:variant>
      <vt:variant>
        <vt:i4>1638452</vt:i4>
      </vt:variant>
      <vt:variant>
        <vt:i4>1031</vt:i4>
      </vt:variant>
      <vt:variant>
        <vt:i4>0</vt:i4>
      </vt:variant>
      <vt:variant>
        <vt:i4>5</vt:i4>
      </vt:variant>
      <vt:variant>
        <vt:lpwstr/>
      </vt:variant>
      <vt:variant>
        <vt:lpwstr>_Toc531935310</vt:lpwstr>
      </vt:variant>
      <vt:variant>
        <vt:i4>1572916</vt:i4>
      </vt:variant>
      <vt:variant>
        <vt:i4>1025</vt:i4>
      </vt:variant>
      <vt:variant>
        <vt:i4>0</vt:i4>
      </vt:variant>
      <vt:variant>
        <vt:i4>5</vt:i4>
      </vt:variant>
      <vt:variant>
        <vt:lpwstr/>
      </vt:variant>
      <vt:variant>
        <vt:lpwstr>_Toc531935309</vt:lpwstr>
      </vt:variant>
      <vt:variant>
        <vt:i4>1572916</vt:i4>
      </vt:variant>
      <vt:variant>
        <vt:i4>1019</vt:i4>
      </vt:variant>
      <vt:variant>
        <vt:i4>0</vt:i4>
      </vt:variant>
      <vt:variant>
        <vt:i4>5</vt:i4>
      </vt:variant>
      <vt:variant>
        <vt:lpwstr/>
      </vt:variant>
      <vt:variant>
        <vt:lpwstr>_Toc531935308</vt:lpwstr>
      </vt:variant>
      <vt:variant>
        <vt:i4>1572916</vt:i4>
      </vt:variant>
      <vt:variant>
        <vt:i4>1013</vt:i4>
      </vt:variant>
      <vt:variant>
        <vt:i4>0</vt:i4>
      </vt:variant>
      <vt:variant>
        <vt:i4>5</vt:i4>
      </vt:variant>
      <vt:variant>
        <vt:lpwstr/>
      </vt:variant>
      <vt:variant>
        <vt:lpwstr>_Toc531935307</vt:lpwstr>
      </vt:variant>
      <vt:variant>
        <vt:i4>1572916</vt:i4>
      </vt:variant>
      <vt:variant>
        <vt:i4>1007</vt:i4>
      </vt:variant>
      <vt:variant>
        <vt:i4>0</vt:i4>
      </vt:variant>
      <vt:variant>
        <vt:i4>5</vt:i4>
      </vt:variant>
      <vt:variant>
        <vt:lpwstr/>
      </vt:variant>
      <vt:variant>
        <vt:lpwstr>_Toc531935306</vt:lpwstr>
      </vt:variant>
      <vt:variant>
        <vt:i4>1572916</vt:i4>
      </vt:variant>
      <vt:variant>
        <vt:i4>1001</vt:i4>
      </vt:variant>
      <vt:variant>
        <vt:i4>0</vt:i4>
      </vt:variant>
      <vt:variant>
        <vt:i4>5</vt:i4>
      </vt:variant>
      <vt:variant>
        <vt:lpwstr/>
      </vt:variant>
      <vt:variant>
        <vt:lpwstr>_Toc531935305</vt:lpwstr>
      </vt:variant>
      <vt:variant>
        <vt:i4>1572916</vt:i4>
      </vt:variant>
      <vt:variant>
        <vt:i4>995</vt:i4>
      </vt:variant>
      <vt:variant>
        <vt:i4>0</vt:i4>
      </vt:variant>
      <vt:variant>
        <vt:i4>5</vt:i4>
      </vt:variant>
      <vt:variant>
        <vt:lpwstr/>
      </vt:variant>
      <vt:variant>
        <vt:lpwstr>_Toc531935304</vt:lpwstr>
      </vt:variant>
      <vt:variant>
        <vt:i4>1572916</vt:i4>
      </vt:variant>
      <vt:variant>
        <vt:i4>989</vt:i4>
      </vt:variant>
      <vt:variant>
        <vt:i4>0</vt:i4>
      </vt:variant>
      <vt:variant>
        <vt:i4>5</vt:i4>
      </vt:variant>
      <vt:variant>
        <vt:lpwstr/>
      </vt:variant>
      <vt:variant>
        <vt:lpwstr>_Toc531935303</vt:lpwstr>
      </vt:variant>
      <vt:variant>
        <vt:i4>1572916</vt:i4>
      </vt:variant>
      <vt:variant>
        <vt:i4>983</vt:i4>
      </vt:variant>
      <vt:variant>
        <vt:i4>0</vt:i4>
      </vt:variant>
      <vt:variant>
        <vt:i4>5</vt:i4>
      </vt:variant>
      <vt:variant>
        <vt:lpwstr/>
      </vt:variant>
      <vt:variant>
        <vt:lpwstr>_Toc531935302</vt:lpwstr>
      </vt:variant>
      <vt:variant>
        <vt:i4>1572916</vt:i4>
      </vt:variant>
      <vt:variant>
        <vt:i4>977</vt:i4>
      </vt:variant>
      <vt:variant>
        <vt:i4>0</vt:i4>
      </vt:variant>
      <vt:variant>
        <vt:i4>5</vt:i4>
      </vt:variant>
      <vt:variant>
        <vt:lpwstr/>
      </vt:variant>
      <vt:variant>
        <vt:lpwstr>_Toc531935301</vt:lpwstr>
      </vt:variant>
      <vt:variant>
        <vt:i4>1572916</vt:i4>
      </vt:variant>
      <vt:variant>
        <vt:i4>971</vt:i4>
      </vt:variant>
      <vt:variant>
        <vt:i4>0</vt:i4>
      </vt:variant>
      <vt:variant>
        <vt:i4>5</vt:i4>
      </vt:variant>
      <vt:variant>
        <vt:lpwstr/>
      </vt:variant>
      <vt:variant>
        <vt:lpwstr>_Toc531935300</vt:lpwstr>
      </vt:variant>
      <vt:variant>
        <vt:i4>1114165</vt:i4>
      </vt:variant>
      <vt:variant>
        <vt:i4>965</vt:i4>
      </vt:variant>
      <vt:variant>
        <vt:i4>0</vt:i4>
      </vt:variant>
      <vt:variant>
        <vt:i4>5</vt:i4>
      </vt:variant>
      <vt:variant>
        <vt:lpwstr/>
      </vt:variant>
      <vt:variant>
        <vt:lpwstr>_Toc531935299</vt:lpwstr>
      </vt:variant>
      <vt:variant>
        <vt:i4>1114165</vt:i4>
      </vt:variant>
      <vt:variant>
        <vt:i4>959</vt:i4>
      </vt:variant>
      <vt:variant>
        <vt:i4>0</vt:i4>
      </vt:variant>
      <vt:variant>
        <vt:i4>5</vt:i4>
      </vt:variant>
      <vt:variant>
        <vt:lpwstr/>
      </vt:variant>
      <vt:variant>
        <vt:lpwstr>_Toc531935298</vt:lpwstr>
      </vt:variant>
      <vt:variant>
        <vt:i4>1114165</vt:i4>
      </vt:variant>
      <vt:variant>
        <vt:i4>953</vt:i4>
      </vt:variant>
      <vt:variant>
        <vt:i4>0</vt:i4>
      </vt:variant>
      <vt:variant>
        <vt:i4>5</vt:i4>
      </vt:variant>
      <vt:variant>
        <vt:lpwstr/>
      </vt:variant>
      <vt:variant>
        <vt:lpwstr>_Toc531935297</vt:lpwstr>
      </vt:variant>
      <vt:variant>
        <vt:i4>1114165</vt:i4>
      </vt:variant>
      <vt:variant>
        <vt:i4>947</vt:i4>
      </vt:variant>
      <vt:variant>
        <vt:i4>0</vt:i4>
      </vt:variant>
      <vt:variant>
        <vt:i4>5</vt:i4>
      </vt:variant>
      <vt:variant>
        <vt:lpwstr/>
      </vt:variant>
      <vt:variant>
        <vt:lpwstr>_Toc531935296</vt:lpwstr>
      </vt:variant>
      <vt:variant>
        <vt:i4>1114165</vt:i4>
      </vt:variant>
      <vt:variant>
        <vt:i4>941</vt:i4>
      </vt:variant>
      <vt:variant>
        <vt:i4>0</vt:i4>
      </vt:variant>
      <vt:variant>
        <vt:i4>5</vt:i4>
      </vt:variant>
      <vt:variant>
        <vt:lpwstr/>
      </vt:variant>
      <vt:variant>
        <vt:lpwstr>_Toc531935295</vt:lpwstr>
      </vt:variant>
      <vt:variant>
        <vt:i4>1114165</vt:i4>
      </vt:variant>
      <vt:variant>
        <vt:i4>935</vt:i4>
      </vt:variant>
      <vt:variant>
        <vt:i4>0</vt:i4>
      </vt:variant>
      <vt:variant>
        <vt:i4>5</vt:i4>
      </vt:variant>
      <vt:variant>
        <vt:lpwstr/>
      </vt:variant>
      <vt:variant>
        <vt:lpwstr>_Toc531935294</vt:lpwstr>
      </vt:variant>
      <vt:variant>
        <vt:i4>1114165</vt:i4>
      </vt:variant>
      <vt:variant>
        <vt:i4>929</vt:i4>
      </vt:variant>
      <vt:variant>
        <vt:i4>0</vt:i4>
      </vt:variant>
      <vt:variant>
        <vt:i4>5</vt:i4>
      </vt:variant>
      <vt:variant>
        <vt:lpwstr/>
      </vt:variant>
      <vt:variant>
        <vt:lpwstr>_Toc531935293</vt:lpwstr>
      </vt:variant>
      <vt:variant>
        <vt:i4>1114165</vt:i4>
      </vt:variant>
      <vt:variant>
        <vt:i4>923</vt:i4>
      </vt:variant>
      <vt:variant>
        <vt:i4>0</vt:i4>
      </vt:variant>
      <vt:variant>
        <vt:i4>5</vt:i4>
      </vt:variant>
      <vt:variant>
        <vt:lpwstr/>
      </vt:variant>
      <vt:variant>
        <vt:lpwstr>_Toc531935292</vt:lpwstr>
      </vt:variant>
      <vt:variant>
        <vt:i4>1114165</vt:i4>
      </vt:variant>
      <vt:variant>
        <vt:i4>917</vt:i4>
      </vt:variant>
      <vt:variant>
        <vt:i4>0</vt:i4>
      </vt:variant>
      <vt:variant>
        <vt:i4>5</vt:i4>
      </vt:variant>
      <vt:variant>
        <vt:lpwstr/>
      </vt:variant>
      <vt:variant>
        <vt:lpwstr>_Toc531935291</vt:lpwstr>
      </vt:variant>
      <vt:variant>
        <vt:i4>1114165</vt:i4>
      </vt:variant>
      <vt:variant>
        <vt:i4>911</vt:i4>
      </vt:variant>
      <vt:variant>
        <vt:i4>0</vt:i4>
      </vt:variant>
      <vt:variant>
        <vt:i4>5</vt:i4>
      </vt:variant>
      <vt:variant>
        <vt:lpwstr/>
      </vt:variant>
      <vt:variant>
        <vt:lpwstr>_Toc531935290</vt:lpwstr>
      </vt:variant>
      <vt:variant>
        <vt:i4>1048629</vt:i4>
      </vt:variant>
      <vt:variant>
        <vt:i4>905</vt:i4>
      </vt:variant>
      <vt:variant>
        <vt:i4>0</vt:i4>
      </vt:variant>
      <vt:variant>
        <vt:i4>5</vt:i4>
      </vt:variant>
      <vt:variant>
        <vt:lpwstr/>
      </vt:variant>
      <vt:variant>
        <vt:lpwstr>_Toc531935289</vt:lpwstr>
      </vt:variant>
      <vt:variant>
        <vt:i4>1048629</vt:i4>
      </vt:variant>
      <vt:variant>
        <vt:i4>899</vt:i4>
      </vt:variant>
      <vt:variant>
        <vt:i4>0</vt:i4>
      </vt:variant>
      <vt:variant>
        <vt:i4>5</vt:i4>
      </vt:variant>
      <vt:variant>
        <vt:lpwstr/>
      </vt:variant>
      <vt:variant>
        <vt:lpwstr>_Toc531935288</vt:lpwstr>
      </vt:variant>
      <vt:variant>
        <vt:i4>1048629</vt:i4>
      </vt:variant>
      <vt:variant>
        <vt:i4>893</vt:i4>
      </vt:variant>
      <vt:variant>
        <vt:i4>0</vt:i4>
      </vt:variant>
      <vt:variant>
        <vt:i4>5</vt:i4>
      </vt:variant>
      <vt:variant>
        <vt:lpwstr/>
      </vt:variant>
      <vt:variant>
        <vt:lpwstr>_Toc531935287</vt:lpwstr>
      </vt:variant>
      <vt:variant>
        <vt:i4>1048629</vt:i4>
      </vt:variant>
      <vt:variant>
        <vt:i4>887</vt:i4>
      </vt:variant>
      <vt:variant>
        <vt:i4>0</vt:i4>
      </vt:variant>
      <vt:variant>
        <vt:i4>5</vt:i4>
      </vt:variant>
      <vt:variant>
        <vt:lpwstr/>
      </vt:variant>
      <vt:variant>
        <vt:lpwstr>_Toc531935286</vt:lpwstr>
      </vt:variant>
      <vt:variant>
        <vt:i4>1048629</vt:i4>
      </vt:variant>
      <vt:variant>
        <vt:i4>881</vt:i4>
      </vt:variant>
      <vt:variant>
        <vt:i4>0</vt:i4>
      </vt:variant>
      <vt:variant>
        <vt:i4>5</vt:i4>
      </vt:variant>
      <vt:variant>
        <vt:lpwstr/>
      </vt:variant>
      <vt:variant>
        <vt:lpwstr>_Toc531935285</vt:lpwstr>
      </vt:variant>
      <vt:variant>
        <vt:i4>1048629</vt:i4>
      </vt:variant>
      <vt:variant>
        <vt:i4>875</vt:i4>
      </vt:variant>
      <vt:variant>
        <vt:i4>0</vt:i4>
      </vt:variant>
      <vt:variant>
        <vt:i4>5</vt:i4>
      </vt:variant>
      <vt:variant>
        <vt:lpwstr/>
      </vt:variant>
      <vt:variant>
        <vt:lpwstr>_Toc531935284</vt:lpwstr>
      </vt:variant>
      <vt:variant>
        <vt:i4>1048629</vt:i4>
      </vt:variant>
      <vt:variant>
        <vt:i4>869</vt:i4>
      </vt:variant>
      <vt:variant>
        <vt:i4>0</vt:i4>
      </vt:variant>
      <vt:variant>
        <vt:i4>5</vt:i4>
      </vt:variant>
      <vt:variant>
        <vt:lpwstr/>
      </vt:variant>
      <vt:variant>
        <vt:lpwstr>_Toc531935283</vt:lpwstr>
      </vt:variant>
      <vt:variant>
        <vt:i4>1048629</vt:i4>
      </vt:variant>
      <vt:variant>
        <vt:i4>863</vt:i4>
      </vt:variant>
      <vt:variant>
        <vt:i4>0</vt:i4>
      </vt:variant>
      <vt:variant>
        <vt:i4>5</vt:i4>
      </vt:variant>
      <vt:variant>
        <vt:lpwstr/>
      </vt:variant>
      <vt:variant>
        <vt:lpwstr>_Toc531935282</vt:lpwstr>
      </vt:variant>
      <vt:variant>
        <vt:i4>1048629</vt:i4>
      </vt:variant>
      <vt:variant>
        <vt:i4>857</vt:i4>
      </vt:variant>
      <vt:variant>
        <vt:i4>0</vt:i4>
      </vt:variant>
      <vt:variant>
        <vt:i4>5</vt:i4>
      </vt:variant>
      <vt:variant>
        <vt:lpwstr/>
      </vt:variant>
      <vt:variant>
        <vt:lpwstr>_Toc531935281</vt:lpwstr>
      </vt:variant>
      <vt:variant>
        <vt:i4>1048629</vt:i4>
      </vt:variant>
      <vt:variant>
        <vt:i4>851</vt:i4>
      </vt:variant>
      <vt:variant>
        <vt:i4>0</vt:i4>
      </vt:variant>
      <vt:variant>
        <vt:i4>5</vt:i4>
      </vt:variant>
      <vt:variant>
        <vt:lpwstr/>
      </vt:variant>
      <vt:variant>
        <vt:lpwstr>_Toc531935280</vt:lpwstr>
      </vt:variant>
      <vt:variant>
        <vt:i4>2031669</vt:i4>
      </vt:variant>
      <vt:variant>
        <vt:i4>845</vt:i4>
      </vt:variant>
      <vt:variant>
        <vt:i4>0</vt:i4>
      </vt:variant>
      <vt:variant>
        <vt:i4>5</vt:i4>
      </vt:variant>
      <vt:variant>
        <vt:lpwstr/>
      </vt:variant>
      <vt:variant>
        <vt:lpwstr>_Toc531935279</vt:lpwstr>
      </vt:variant>
      <vt:variant>
        <vt:i4>2031669</vt:i4>
      </vt:variant>
      <vt:variant>
        <vt:i4>839</vt:i4>
      </vt:variant>
      <vt:variant>
        <vt:i4>0</vt:i4>
      </vt:variant>
      <vt:variant>
        <vt:i4>5</vt:i4>
      </vt:variant>
      <vt:variant>
        <vt:lpwstr/>
      </vt:variant>
      <vt:variant>
        <vt:lpwstr>_Toc531935278</vt:lpwstr>
      </vt:variant>
      <vt:variant>
        <vt:i4>4980806</vt:i4>
      </vt:variant>
      <vt:variant>
        <vt:i4>291</vt:i4>
      </vt:variant>
      <vt:variant>
        <vt:i4>0</vt:i4>
      </vt:variant>
      <vt:variant>
        <vt:i4>5</vt:i4>
      </vt:variant>
      <vt:variant>
        <vt:lpwstr>http://www.zakon.hr/cms.htm?id=17725</vt:lpwstr>
      </vt:variant>
      <vt:variant>
        <vt:lpwstr/>
      </vt:variant>
      <vt:variant>
        <vt:i4>7929979</vt:i4>
      </vt:variant>
      <vt:variant>
        <vt:i4>288</vt:i4>
      </vt:variant>
      <vt:variant>
        <vt:i4>0</vt:i4>
      </vt:variant>
      <vt:variant>
        <vt:i4>5</vt:i4>
      </vt:variant>
      <vt:variant>
        <vt:lpwstr>http://www.zakon.hr/cms.htm?id=385</vt:lpwstr>
      </vt:variant>
      <vt:variant>
        <vt:lpwstr/>
      </vt:variant>
      <vt:variant>
        <vt:i4>7864443</vt:i4>
      </vt:variant>
      <vt:variant>
        <vt:i4>285</vt:i4>
      </vt:variant>
      <vt:variant>
        <vt:i4>0</vt:i4>
      </vt:variant>
      <vt:variant>
        <vt:i4>5</vt:i4>
      </vt:variant>
      <vt:variant>
        <vt:lpwstr>http://www.zakon.hr/cms.htm?id=384</vt:lpwstr>
      </vt:variant>
      <vt:variant>
        <vt:lpwstr/>
      </vt:variant>
      <vt:variant>
        <vt:i4>8323195</vt:i4>
      </vt:variant>
      <vt:variant>
        <vt:i4>282</vt:i4>
      </vt:variant>
      <vt:variant>
        <vt:i4>0</vt:i4>
      </vt:variant>
      <vt:variant>
        <vt:i4>5</vt:i4>
      </vt:variant>
      <vt:variant>
        <vt:lpwstr>http://www.zakon.hr/cms.htm?id=383</vt:lpwstr>
      </vt:variant>
      <vt:variant>
        <vt:lpwstr/>
      </vt:variant>
      <vt:variant>
        <vt:i4>8257659</vt:i4>
      </vt:variant>
      <vt:variant>
        <vt:i4>279</vt:i4>
      </vt:variant>
      <vt:variant>
        <vt:i4>0</vt:i4>
      </vt:variant>
      <vt:variant>
        <vt:i4>5</vt:i4>
      </vt:variant>
      <vt:variant>
        <vt:lpwstr>http://www.zakon.hr/cms.htm?id=382</vt:lpwstr>
      </vt:variant>
      <vt:variant>
        <vt:lpwstr/>
      </vt:variant>
      <vt:variant>
        <vt:i4>7995448</vt:i4>
      </vt:variant>
      <vt:variant>
        <vt:i4>195</vt:i4>
      </vt:variant>
      <vt:variant>
        <vt:i4>0</vt:i4>
      </vt:variant>
      <vt:variant>
        <vt:i4>5</vt:i4>
      </vt:variant>
      <vt:variant>
        <vt:lpwstr>https://www.enu.hr/</vt:lpwstr>
      </vt:variant>
      <vt:variant>
        <vt:lpwstr/>
      </vt:variant>
      <vt:variant>
        <vt:i4>5505059</vt:i4>
      </vt:variant>
      <vt:variant>
        <vt:i4>192</vt:i4>
      </vt:variant>
      <vt:variant>
        <vt:i4>0</vt:i4>
      </vt:variant>
      <vt:variant>
        <vt:i4>5</vt:i4>
      </vt:variant>
      <vt:variant>
        <vt:lpwstr>http://narodne-novine.nn.hr/clanci/sluzbeni/2015_02_18_389.html</vt:lpwstr>
      </vt:variant>
      <vt:variant>
        <vt:lpwstr/>
      </vt:variant>
      <vt:variant>
        <vt:i4>131074</vt:i4>
      </vt:variant>
      <vt:variant>
        <vt:i4>3</vt:i4>
      </vt:variant>
      <vt:variant>
        <vt:i4>0</vt:i4>
      </vt:variant>
      <vt:variant>
        <vt:i4>5</vt:i4>
      </vt:variant>
      <vt:variant>
        <vt:lpwstr>http://mgipu.hr/default.aspx?id=12841</vt:lpwstr>
      </vt:variant>
      <vt:variant>
        <vt:lpwstr/>
      </vt:variant>
      <vt:variant>
        <vt:i4>6422588</vt:i4>
      </vt:variant>
      <vt:variant>
        <vt:i4>0</vt:i4>
      </vt:variant>
      <vt:variant>
        <vt:i4>0</vt:i4>
      </vt:variant>
      <vt:variant>
        <vt:i4>5</vt:i4>
      </vt:variant>
      <vt:variant>
        <vt:lpwstr>https://www.hbor.hr/152-milijuna-kuna-povoljnih-kredita-za-javnu-rasvjetu/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2018-12-10T08:23:00Z</dcterms:created>
  <dcterms:modified xsi:type="dcterms:W3CDTF">2018-12-10T11:39:00Z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0x01010060C07A3557FB58408C384EA4F761FC1E</vt:lpwstr>
  </property>
</Properties>
</file>